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r>
        <w:t xml:space="preserve"> </w:t>
      </w:r>
      <w:r>
        <w:rPr>
          <w:b/>
          <w:bCs/>
        </w:rPr>
        <w:t xml:space="preserve">Prepared at the direction of the General Counsel in anticipation of litigation (including</w:t>
      </w:r>
      <w:r>
        <w:rPr>
          <w:b/>
          <w:bCs/>
        </w:rPr>
        <w:t xml:space="preserve"> </w:t>
      </w:r>
      <w:r>
        <w:rPr>
          <w:b/>
          <w:bCs/>
          <w:i/>
          <w:iCs/>
        </w:rPr>
        <w:t xml:space="preserve">Redmond Beverage Distributors, Inc. v. CIT</w:t>
      </w:r>
      <w:r>
        <w:rPr>
          <w:b/>
          <w:bCs/>
        </w:rPr>
        <w:t xml:space="preserve">)</w:t>
      </w:r>
    </w:p>
    <w:bookmarkStart w:id="60" w:name="memorandum"/>
    <w:p>
      <w:pPr>
        <w:pStyle w:val="Heading1"/>
      </w:pPr>
      <w:r>
        <w:t xml:space="preserve">MEMORANDUM</w:t>
      </w:r>
    </w:p>
    <w:tbl>
      <w:tblPr>
        <w:tblStyle w:val="Table"/>
        <w:tblW w:type="pct" w:w="5000"/>
        <w:jc w:val="left"/>
        <w:tblLayout w:type="fixed"/>
        <w:tblLook w:firstRow="0" w:lastRow="0" w:firstColumn="0" w:lastColumn="0" w:noHBand="0" w:noVBand="0" w:val="0000"/>
        <w:tblBorders>
          <w:top w:val="nil" w:sz="4" w:color="808080"/>
          <w:left w:val="nil" w:sz="4" w:color="808080"/>
          <w:bottom w:val="nil" w:sz="4" w:color="808080"/>
          <w:right w:val="nil" w:sz="4" w:color="808080"/>
          <w:insideH w:val="nil" w:sz="4" w:color="808080"/>
          <w:insideV w:val="nil" w:sz="4" w:color="808080"/>
        </w:tblBorders>
      </w:tblPr>
      <w:tblGrid>
        <w:gridCol w:w="3960"/>
        <w:gridCol w:w="3960"/>
      </w:tblGrid>
      <w:tr>
        <w:tc>
          <w:tcPr/>
          <w:p>
            <w:pPr>
              <w:pStyle w:val="Compact"/>
              <w:jc w:val="left"/>
            </w:pPr>
            <w:r>
              <w:rPr>
                <w:b/>
                <w:bCs/>
              </w:rPr>
              <w:t xml:space="preserve">TO:</w:t>
            </w:r>
          </w:p>
        </w:tc>
        <w:tc>
          <w:tcPr/>
          <w:p>
            <w:pPr>
              <w:pStyle w:val="Compact"/>
              <w:jc w:val="left"/>
            </w:pPr>
            <w:r>
              <w:rPr>
                <w:b/>
              </w:rPr>
              <w:t xml:space="preserve">Rachel Ogilvie, General Counsel</w:t>
            </w:r>
          </w:p>
        </w:tc>
      </w:tr>
      <w:tr>
        <w:tc>
          <w:tcPr/>
          <w:p>
            <w:pPr>
              <w:pStyle w:val="Compact"/>
              <w:jc w:val="left"/>
            </w:pPr>
            <w:r>
              <w:rPr>
                <w:b/>
                <w:bCs/>
              </w:rPr>
              <w:t xml:space="preserve">FROM:</w:t>
            </w:r>
          </w:p>
        </w:tc>
        <w:tc>
          <w:tcPr/>
          <w:p>
            <w:pPr>
              <w:pStyle w:val="Compact"/>
              <w:jc w:val="left"/>
            </w:pPr>
            <w:r>
              <w:t xml:space="preserve">Nathan Hsu, Senior In-House Counsel</w:t>
            </w:r>
          </w:p>
        </w:tc>
      </w:tr>
      <w:tr>
        <w:tc>
          <w:tcPr/>
          <w:p>
            <w:pPr>
              <w:pStyle w:val="Compact"/>
              <w:jc w:val="left"/>
            </w:pPr>
            <w:r>
              <w:rPr>
                <w:b/>
                <w:bCs/>
              </w:rPr>
              <w:t xml:space="preserve">CC (recommendations sections, at GC’s discretion):</w:t>
            </w:r>
          </w:p>
        </w:tc>
        <w:tc>
          <w:tcPr/>
          <w:p>
            <w:pPr>
              <w:pStyle w:val="Compact"/>
              <w:jc w:val="left"/>
            </w:pPr>
            <w:r>
              <w:t xml:space="preserve">Marcus Lindholm, Founder &amp; CEO; Priya Dasgupta, VP, Product Development</w:t>
            </w:r>
          </w:p>
        </w:tc>
      </w:tr>
      <w:tr>
        <w:tc>
          <w:tcPr/>
          <w:p>
            <w:pPr>
              <w:pStyle w:val="Compact"/>
              <w:jc w:val="left"/>
            </w:pPr>
            <w:r>
              <w:rPr>
                <w:b/>
                <w:bCs/>
              </w:rPr>
              <w:t xml:space="preserve">DATE:</w:t>
            </w:r>
          </w:p>
        </w:tc>
        <w:tc>
          <w:tcPr/>
          <w:p>
            <w:pPr>
              <w:pStyle w:val="Compact"/>
              <w:jc w:val="left"/>
            </w:pPr>
            <w:r>
              <w:t xml:space="preserve">March 3, 2025</w:t>
            </w:r>
          </w:p>
        </w:tc>
      </w:tr>
      <w:tr>
        <w:tc>
          <w:tcPr/>
          <w:p>
            <w:pPr>
              <w:pStyle w:val="Compact"/>
              <w:jc w:val="left"/>
            </w:pPr>
            <w:r>
              <w:rPr>
                <w:b/>
                <w:bCs/>
              </w:rPr>
              <w:t xml:space="preserve">RE:</w:t>
            </w:r>
          </w:p>
        </w:tc>
        <w:tc>
          <w:tcPr/>
          <w:p>
            <w:pPr>
              <w:pStyle w:val="Compact"/>
              <w:jc w:val="left"/>
            </w:pPr>
            <w:r>
              <w:t xml:space="preserve">UCC Warranty Analysis — AquaPure Max 9000 Launch,</w:t>
            </w:r>
            <w:r>
              <w:t xml:space="preserve"> </w:t>
            </w:r>
            <w:r>
              <w:t xml:space="preserve">“</w:t>
            </w:r>
            <w:r>
              <w:t xml:space="preserve">Total Performance Guarantee</w:t>
            </w:r>
            <w:r>
              <w:t xml:space="preserve">”</w:t>
            </w:r>
            <w:r>
              <w:t xml:space="preserve"> </w:t>
            </w:r>
            <w:r>
              <w:t xml:space="preserve">Program, and CIT Standard Limited Warranty (CIT-WRN-2021-001)</w:t>
            </w:r>
          </w:p>
        </w:tc>
      </w:tr>
    </w:tbl>
    <w:p>
      <w:r>
        <w:pict>
          <v:rect style="width:0;height:1.5pt" o:hralign="center" o:hrstd="t" o:hr="t"/>
        </w:pict>
      </w:r>
    </w:p>
    <w:bookmarkStart w:id="20" w:name="i.-bottom-line-for-all-readers"/>
    <w:p>
      <w:pPr>
        <w:pStyle w:val="Heading2"/>
      </w:pPr>
      <w:r>
        <w:t xml:space="preserve">I. BOTTOM LINE (for all readers)</w:t>
      </w:r>
    </w:p>
    <w:p>
      <w:pPr>
        <w:pStyle w:val="FirstParagraph"/>
      </w:pPr>
      <w:r>
        <w:rPr>
          <w:b/>
          <w:bCs/>
        </w:rPr>
        <w:t xml:space="preserve">You are right to be worried, but conspicuousness is not the biggest problem.</w:t>
      </w:r>
      <w:r>
        <w:t xml:space="preserve"> </w:t>
      </w:r>
      <w:r>
        <w:t xml:space="preserve">The warranty framework for the AquaPure Max 9000 fails at a more basic level, for five reasons:</w:t>
      </w:r>
    </w:p>
    <w:p>
      <w:pPr>
        <w:numPr>
          <w:ilvl w:val="0"/>
          <w:numId w:val="1001"/>
        </w:numPr>
      </w:pPr>
      <w:r>
        <w:rPr>
          <w:b/>
          <w:bCs/>
        </w:rPr>
        <w:t xml:space="preserve">The</w:t>
      </w:r>
      <w:r>
        <w:rPr>
          <w:b/>
          <w:bCs/>
        </w:rPr>
        <w:t xml:space="preserve"> </w:t>
      </w:r>
      <w:r>
        <w:rPr>
          <w:b/>
          <w:bCs/>
        </w:rPr>
        <w:t xml:space="preserve">“</w:t>
      </w:r>
      <w:r>
        <w:rPr>
          <w:b/>
          <w:bCs/>
        </w:rPr>
        <w:t xml:space="preserve">Total Performance Guarantee</w:t>
      </w:r>
      <w:r>
        <w:rPr>
          <w:b/>
          <w:bCs/>
        </w:rPr>
        <w:t xml:space="preserve">”</w:t>
      </w:r>
      <w:r>
        <w:rPr>
          <w:b/>
          <w:bCs/>
        </w:rPr>
        <w:t xml:space="preserve"> </w:t>
      </w:r>
      <w:r>
        <w:rPr>
          <w:b/>
          <w:bCs/>
        </w:rPr>
        <w:t xml:space="preserve">is an express warranty. The disclaimer cannot undo it.</w:t>
      </w:r>
      <w:r>
        <w:t xml:space="preserve"> </w:t>
      </w:r>
      <w:r>
        <w:t xml:space="preserve">The 99.97% contaminant-removal figure, the 98.5% uptime figure, the 500,000 gallons-per-day figure, and the promise that</w:t>
      </w:r>
      <w:r>
        <w:t xml:space="preserve"> </w:t>
      </w:r>
      <w:r>
        <w:t xml:space="preserve">“</w:t>
      </w:r>
      <w:r>
        <w:t xml:space="preserve">your water will meet or exceed all EPA and state purity standards</w:t>
      </w:r>
      <w:r>
        <w:t xml:space="preserve">”</w:t>
      </w:r>
      <w:r>
        <w:t xml:space="preserve"> </w:t>
      </w:r>
      <w:r>
        <w:t xml:space="preserve">all appear in the brochure, the sales deck, the quotation letter, and the sales scripts. Each is a specific, measurable statement of fact about the product, and CIT calls it a</w:t>
      </w:r>
      <w:r>
        <w:t xml:space="preserve"> </w:t>
      </w:r>
      <w:r>
        <w:t xml:space="preserve">“</w:t>
      </w:r>
      <w:r>
        <w:t xml:space="preserve">guarantee.</w:t>
      </w:r>
      <w:r>
        <w:t xml:space="preserve">”</w:t>
      </w:r>
      <w:r>
        <w:t xml:space="preserve"> </w:t>
      </w:r>
      <w:r>
        <w:t xml:space="preserve">Under UCC § 2-313 these are express warranties. Under UCC § 2-316(1), fine print cannot cancel an express warranty that is inconsistent with it. No formatting change to the disclaimer fixes this.</w:t>
      </w:r>
    </w:p>
    <w:p>
      <w:pPr>
        <w:numPr>
          <w:ilvl w:val="0"/>
          <w:numId w:val="1001"/>
        </w:numPr>
      </w:pPr>
      <w:r>
        <w:rPr>
          <w:b/>
          <w:bCs/>
        </w:rPr>
        <w:t xml:space="preserve">The disclaimer and remedy limits probably aren’t part of the contract at all.</w:t>
      </w:r>
      <w:r>
        <w:t xml:space="preserve"> </w:t>
      </w:r>
      <w:r>
        <w:t xml:space="preserve">The Standard Limited Warranty is handed over only at delivery. The January 8 sales memo tells reps</w:t>
      </w:r>
      <w:r>
        <w:t xml:space="preserve"> </w:t>
      </w:r>
      <w:r>
        <w:rPr>
          <w:i/>
          <w:iCs/>
        </w:rPr>
        <w:t xml:space="preserve">not</w:t>
      </w:r>
      <w:r>
        <w:t xml:space="preserve"> </w:t>
      </w:r>
      <w:r>
        <w:t xml:space="preserve">to give it to customers before purchase. For a negotiated purchase of $475,000–$525,000, a court is likely to treat terms first shown after the sale as proposals that never became part of the deal (UCC § 2-207; § 2-209). If they drop out, CIT is left with (a) the marketing warranties, (b) the implied warranties of merchantability and fitness for purpose, and (c) the full UCC damages remedies, which include consequential damages. There would be no liability cap.</w:t>
      </w:r>
    </w:p>
    <w:p>
      <w:pPr>
        <w:numPr>
          <w:ilvl w:val="0"/>
          <w:numId w:val="1001"/>
        </w:numPr>
      </w:pPr>
      <w:r>
        <w:rPr>
          <w:b/>
          <w:bCs/>
        </w:rPr>
        <w:t xml:space="preserve">The current warranty does not clearly cover the AquaMonitor v3.2 software, and it does not clearly</w:t>
      </w:r>
      <w:r>
        <w:rPr>
          <w:b/>
          <w:bCs/>
        </w:rPr>
        <w:t xml:space="preserve"> </w:t>
      </w:r>
      <w:r>
        <w:rPr>
          <w:b/>
          <w:bCs/>
          <w:i/>
          <w:iCs/>
        </w:rPr>
        <w:t xml:space="preserve">protect CIT</w:t>
      </w:r>
      <w:r>
        <w:rPr>
          <w:b/>
          <w:bCs/>
        </w:rPr>
        <w:t xml:space="preserve"> </w:t>
      </w:r>
      <w:r>
        <w:rPr>
          <w:b/>
          <w:bCs/>
        </w:rPr>
        <w:t xml:space="preserve">on it either.</w:t>
      </w:r>
      <w:r>
        <w:t xml:space="preserve"> </w:t>
      </w:r>
      <w:r>
        <w:t xml:space="preserve">The warranty defines</w:t>
      </w:r>
      <w:r>
        <w:t xml:space="preserve"> </w:t>
      </w:r>
      <w:r>
        <w:t xml:space="preserve">“</w:t>
      </w:r>
      <w:r>
        <w:t xml:space="preserve">Product</w:t>
      </w:r>
      <w:r>
        <w:t xml:space="preserve">”</w:t>
      </w:r>
      <w:r>
        <w:t xml:space="preserve"> </w:t>
      </w:r>
      <w:r>
        <w:t xml:space="preserve">as hardware. So the software may fall outside the warranty’s coverage</w:t>
      </w:r>
      <w:r>
        <w:t xml:space="preserve"> </w:t>
      </w:r>
      <w:r>
        <w:rPr>
          <w:i/>
          <w:iCs/>
        </w:rPr>
        <w:t xml:space="preserve">and</w:t>
      </w:r>
      <w:r>
        <w:t xml:space="preserve"> </w:t>
      </w:r>
      <w:r>
        <w:t xml:space="preserve">outside its disclaimer and liability cap. Meanwhile, the marketing says AquaMonitor gives</w:t>
      </w:r>
      <w:r>
        <w:t xml:space="preserve"> </w:t>
      </w:r>
      <w:r>
        <w:t xml:space="preserve">“</w:t>
      </w:r>
      <w:r>
        <w:t xml:space="preserve">accurate, real-time data you can rely on for regulatory compliance</w:t>
      </w:r>
      <w:r>
        <w:t xml:space="preserve">”</w:t>
      </w:r>
      <w:r>
        <w:t xml:space="preserve"> </w:t>
      </w:r>
      <w:r>
        <w:t xml:space="preserve">and is</w:t>
      </w:r>
      <w:r>
        <w:t xml:space="preserve"> </w:t>
      </w:r>
      <w:r>
        <w:t xml:space="preserve">“</w:t>
      </w:r>
      <w:r>
        <w:t xml:space="preserve">21 CFR Part 11 compliant.</w:t>
      </w:r>
      <w:r>
        <w:t xml:space="preserve">”</w:t>
      </w:r>
      <w:r>
        <w:t xml:space="preserve"> </w:t>
      </w:r>
      <w:r>
        <w:t xml:space="preserve">If AquaMonitor falsely shows an</w:t>
      </w:r>
      <w:r>
        <w:t xml:space="preserve"> </w:t>
      </w:r>
      <w:r>
        <w:t xml:space="preserve">“</w:t>
      </w:r>
      <w:r>
        <w:t xml:space="preserve">all clear,</w:t>
      </w:r>
      <w:r>
        <w:t xml:space="preserve">”</w:t>
      </w:r>
      <w:r>
        <w:t xml:space="preserve"> </w:t>
      </w:r>
      <w:r>
        <w:t xml:space="preserve">that is the largest exposure we have not addressed, and it reaches into bodily-injury and public-health liability.</w:t>
      </w:r>
    </w:p>
    <w:p>
      <w:pPr>
        <w:numPr>
          <w:ilvl w:val="0"/>
          <w:numId w:val="1001"/>
        </w:numPr>
      </w:pPr>
      <w:r>
        <w:rPr>
          <w:b/>
          <w:bCs/>
        </w:rPr>
        <w:t xml:space="preserve">The repair-or-replace remedy is already failing in practice. The Max 9000 guarantee makes it worse.</w:t>
      </w:r>
      <w:r>
        <w:t xml:space="preserve"> </w:t>
      </w:r>
      <w:r>
        <w:t xml:space="preserve">Average time to resolve a claim has risen from about 28 days to about 47 days. Full-unit replacements now take 78–85 days. CIT paid $680,000 in FY2024 to settle consequential-damages claims that argued the remedy had</w:t>
      </w:r>
      <w:r>
        <w:t xml:space="preserve"> </w:t>
      </w:r>
      <w:r>
        <w:t xml:space="preserve">“</w:t>
      </w:r>
      <w:r>
        <w:t xml:space="preserve">failed of its essential purpose.</w:t>
      </w:r>
      <w:r>
        <w:t xml:space="preserve">”</w:t>
      </w:r>
      <w:r>
        <w:t xml:space="preserve"> </w:t>
      </w:r>
      <w:r>
        <w:t xml:space="preserve">Repairing a unit cannot compensate a municipality or food processor for the weeks it spent producing out-of-spec water. Yet that is exactly the loss a performance guarantee invites customers to claim.</w:t>
      </w:r>
    </w:p>
    <w:p>
      <w:pPr>
        <w:numPr>
          <w:ilvl w:val="0"/>
          <w:numId w:val="1001"/>
        </w:numPr>
      </w:pPr>
      <w:r>
        <w:rPr>
          <w:b/>
          <w:bCs/>
        </w:rPr>
        <w:t xml:space="preserve">Insurance will probably not respond to the claims this program generates.</w:t>
      </w:r>
      <w:r>
        <w:t xml:space="preserve"> </w:t>
      </w:r>
      <w:r>
        <w:t xml:space="preserve">A standard CGL policy covers bodily injury and property damage. It does not cover a customer’s financial loss from a product that underperforms a promise. Stoneridge’s point about the contractual-liability exclusion is valid, but coverage is weaker still because of the</w:t>
      </w:r>
      <w:r>
        <w:t xml:space="preserve"> </w:t>
      </w:r>
      <w:r>
        <w:t xml:space="preserve">“</w:t>
      </w:r>
      <w:r>
        <w:t xml:space="preserve">your product,</w:t>
      </w:r>
      <w:r>
        <w:t xml:space="preserve">”</w:t>
      </w:r>
      <w:r>
        <w:t xml:space="preserve"> </w:t>
      </w:r>
      <w:r>
        <w:t xml:space="preserve">“</w:t>
      </w:r>
      <w:r>
        <w:t xml:space="preserve">impaired property,</w:t>
      </w:r>
      <w:r>
        <w:t xml:space="preserve">”</w:t>
      </w:r>
      <w:r>
        <w:t xml:space="preserve"> </w:t>
      </w:r>
      <w:r>
        <w:t xml:space="preserve">and recall exclusions. The $154,000 premium increase buys</w:t>
      </w:r>
      <w:r>
        <w:t xml:space="preserve"> </w:t>
      </w:r>
      <w:r>
        <w:rPr>
          <w:i/>
          <w:iCs/>
        </w:rPr>
        <w:t xml:space="preserve">no</w:t>
      </w:r>
      <w:r>
        <w:t xml:space="preserve"> </w:t>
      </w:r>
      <w:r>
        <w:t xml:space="preserve">added coverage for guarantee claims. The underwriter is signaling a risk assessment, not billing a rounding error.</w:t>
      </w:r>
    </w:p>
    <w:p>
      <w:pPr>
        <w:pStyle w:val="FirstParagraph"/>
      </w:pPr>
      <w:r>
        <w:rPr>
          <w:b/>
          <w:bCs/>
        </w:rPr>
        <w:t xml:space="preserve">What this means for the business.</w:t>
      </w:r>
      <w:r>
        <w:t xml:space="preserve"> </w:t>
      </w:r>
      <w:r>
        <w:t xml:space="preserve">We do</w:t>
      </w:r>
      <w:r>
        <w:t xml:space="preserve"> </w:t>
      </w:r>
      <w:r>
        <w:rPr>
          <w:b/>
          <w:bCs/>
        </w:rPr>
        <w:t xml:space="preserve">not</w:t>
      </w:r>
      <w:r>
        <w:t xml:space="preserve"> </w:t>
      </w:r>
      <w:r>
        <w:t xml:space="preserve">recommend dropping performance claims or walking away from the $12.3 million pipeline. We recommend turning the</w:t>
      </w:r>
      <w:r>
        <w:t xml:space="preserve"> </w:t>
      </w:r>
      <w:r>
        <w:t xml:space="preserve">“</w:t>
      </w:r>
      <w:r>
        <w:t xml:space="preserve">Total Performance Guarantee</w:t>
      </w:r>
      <w:r>
        <w:t xml:space="preserve">”</w:t>
      </w:r>
      <w:r>
        <w:t xml:space="preserve"> </w:t>
      </w:r>
      <w:r>
        <w:t xml:space="preserve">from an open-ended marketing promise into a</w:t>
      </w:r>
      <w:r>
        <w:t xml:space="preserve"> </w:t>
      </w:r>
      <w:r>
        <w:rPr>
          <w:b/>
          <w:bCs/>
        </w:rPr>
        <w:t xml:space="preserve">defined, contractual Performance Warranty</w:t>
      </w:r>
      <w:r>
        <w:t xml:space="preserve">. It would have measurable terms, a testing protocol, a cure period, a stepped set of remedies (repair, then performance credits, then buy-back), and a liability cap the customer signs</w:t>
      </w:r>
      <w:r>
        <w:t xml:space="preserve"> </w:t>
      </w:r>
      <w:r>
        <w:rPr>
          <w:i/>
          <w:iCs/>
        </w:rPr>
        <w:t xml:space="preserve">before</w:t>
      </w:r>
      <w:r>
        <w:t xml:space="preserve"> </w:t>
      </w:r>
      <w:r>
        <w:t xml:space="preserve">purchase. Well-drafted, this lets Sales keep saying</w:t>
      </w:r>
      <w:r>
        <w:t xml:space="preserve"> </w:t>
      </w:r>
      <w:r>
        <w:t xml:space="preserve">“</w:t>
      </w:r>
      <w:r>
        <w:t xml:space="preserve">guaranteed</w:t>
      </w:r>
      <w:r>
        <w:t xml:space="preserve">”</w:t>
      </w:r>
      <w:r>
        <w:t xml:space="preserve"> </w:t>
      </w:r>
      <w:r>
        <w:t xml:space="preserve">truthfully, while CIT knows what the guarantee costs when it is called. Four items cannot wait for March 17:</w:t>
      </w:r>
    </w:p>
    <w:p>
      <w:pPr>
        <w:pStyle w:val="Compact"/>
        <w:numPr>
          <w:ilvl w:val="0"/>
          <w:numId w:val="1002"/>
        </w:numPr>
      </w:pPr>
      <w:r>
        <w:rPr>
          <w:b/>
          <w:bCs/>
        </w:rPr>
        <w:t xml:space="preserve">Immediately:</w:t>
      </w:r>
      <w:r>
        <w:t xml:space="preserve"> </w:t>
      </w:r>
      <w:r>
        <w:t xml:space="preserve">withdraw and replace the January 8 sales-team memo. Stop the</w:t>
      </w:r>
      <w:r>
        <w:t xml:space="preserve"> </w:t>
      </w:r>
      <w:r>
        <w:t xml:space="preserve">“</w:t>
      </w:r>
      <w:r>
        <w:t xml:space="preserve">make customers whole,</w:t>
      </w:r>
      <w:r>
        <w:t xml:space="preserve">”</w:t>
      </w:r>
      <w:r>
        <w:t xml:space="preserve"> </w:t>
      </w:r>
      <w:r>
        <w:t xml:space="preserve">“</w:t>
      </w:r>
      <w:r>
        <w:t xml:space="preserve">don’t hedge,</w:t>
      </w:r>
      <w:r>
        <w:t xml:space="preserve">”</w:t>
      </w:r>
      <w:r>
        <w:t xml:space="preserve"> </w:t>
      </w:r>
      <w:r>
        <w:t xml:space="preserve">and</w:t>
      </w:r>
      <w:r>
        <w:t xml:space="preserve"> </w:t>
      </w:r>
      <w:r>
        <w:t xml:space="preserve">“</w:t>
      </w:r>
      <w:r>
        <w:t xml:space="preserve">don’t provide the warranty</w:t>
      </w:r>
      <w:r>
        <w:t xml:space="preserve">”</w:t>
      </w:r>
      <w:r>
        <w:t xml:space="preserve"> </w:t>
      </w:r>
      <w:r>
        <w:t xml:space="preserve">instructions. Reps are creating express warranties in live conversations with Triton, Great Lakes, and Harmon Valley right now.</w:t>
      </w:r>
    </w:p>
    <w:p>
      <w:pPr>
        <w:pStyle w:val="Compact"/>
        <w:numPr>
          <w:ilvl w:val="0"/>
          <w:numId w:val="1002"/>
        </w:numPr>
      </w:pPr>
      <w:r>
        <w:rPr>
          <w:b/>
          <w:bCs/>
        </w:rPr>
        <w:t xml:space="preserve">Immediately:</w:t>
      </w:r>
      <w:r>
        <w:t xml:space="preserve"> </w:t>
      </w:r>
      <w:r>
        <w:t xml:space="preserve">preserve all Max 9000 marketing and sales materials and communications, because the</w:t>
      </w:r>
      <w:r>
        <w:t xml:space="preserve"> </w:t>
      </w:r>
      <w:r>
        <w:rPr>
          <w:i/>
          <w:iCs/>
        </w:rPr>
        <w:t xml:space="preserve">Redmond</w:t>
      </w:r>
      <w:r>
        <w:t xml:space="preserve"> </w:t>
      </w:r>
      <w:r>
        <w:t xml:space="preserve">litigation enters discovery this month (see Part VIII.C).</w:t>
      </w:r>
    </w:p>
    <w:p>
      <w:pPr>
        <w:pStyle w:val="Compact"/>
        <w:numPr>
          <w:ilvl w:val="0"/>
          <w:numId w:val="1002"/>
        </w:numPr>
      </w:pPr>
      <w:r>
        <w:rPr>
          <w:b/>
          <w:bCs/>
        </w:rPr>
        <w:t xml:space="preserve">Before any pre-order is accepted (April 1):</w:t>
      </w:r>
      <w:r>
        <w:t xml:space="preserve"> </w:t>
      </w:r>
      <w:r>
        <w:t xml:space="preserve">put in place a pre-sale contract package: a master purchase agreement with the warranty attached, a signed acknowledgment, and separate software terms.</w:t>
      </w:r>
    </w:p>
    <w:p>
      <w:pPr>
        <w:pStyle w:val="Compact"/>
        <w:numPr>
          <w:ilvl w:val="0"/>
          <w:numId w:val="1002"/>
        </w:numPr>
      </w:pPr>
      <w:r>
        <w:rPr>
          <w:b/>
          <w:bCs/>
        </w:rPr>
        <w:t xml:space="preserve">Before the Board relies further on the launch plan:</w:t>
      </w:r>
      <w:r>
        <w:t xml:space="preserve"> </w:t>
      </w:r>
      <w:r>
        <w:t xml:space="preserve">brief the CEO, and through him the Board, on the insurance gap and the</w:t>
      </w:r>
      <w:r>
        <w:t xml:space="preserve"> </w:t>
      </w:r>
      <w:r>
        <w:rPr>
          <w:i/>
          <w:iCs/>
        </w:rPr>
        <w:t xml:space="preserve">Redmond</w:t>
      </w:r>
      <w:r>
        <w:t xml:space="preserve"> </w:t>
      </w:r>
      <w:r>
        <w:t xml:space="preserve">linkage.</w:t>
      </w:r>
    </w:p>
    <w:p>
      <w:pPr>
        <w:pStyle w:val="FirstParagraph"/>
      </w:pPr>
      <w:r>
        <w:t xml:space="preserve">A prioritized action plan with owners and deadlines is in Part X.</w:t>
      </w:r>
    </w:p>
    <w:p>
      <w:r>
        <w:pict>
          <v:rect style="width:0;height:1.5pt" o:hralign="center" o:hrstd="t" o:hr="t"/>
        </w:pict>
      </w:r>
    </w:p>
    <w:bookmarkEnd w:id="20"/>
    <w:bookmarkStart w:id="21" w:name="Xe93917f64c9a230762a3954d8866579a2b5e43a"/>
    <w:p>
      <w:pPr>
        <w:pStyle w:val="Heading2"/>
      </w:pPr>
      <w:r>
        <w:t xml:space="preserve">II. SCOPE, DOCUMENTS REVIEWED, AND LIMITATIONS</w:t>
      </w:r>
    </w:p>
    <w:p>
      <w:pPr>
        <w:pStyle w:val="FirstParagraph"/>
      </w:pPr>
      <w:r>
        <w:rPr>
          <w:b/>
          <w:bCs/>
        </w:rPr>
        <w:t xml:space="preserve">Documents reviewed:</w:t>
      </w:r>
      <w:r>
        <w:t xml:space="preserve"> </w:t>
      </w:r>
      <w:r>
        <w:t xml:space="preserve">(1) Standard Limited Warranty, AquaPure Series, Doc. No. CIT-WRN-2021-001, rev. March 15, 2021 (</w:t>
      </w:r>
      <w:r>
        <w:t xml:space="preserve">“</w:t>
      </w:r>
      <w:r>
        <w:t xml:space="preserve">SLW</w:t>
      </w:r>
      <w:r>
        <w:t xml:space="preserve">”</w:t>
      </w:r>
      <w:r>
        <w:t xml:space="preserve">); (2) draft</w:t>
      </w:r>
      <w:r>
        <w:t xml:space="preserve"> </w:t>
      </w:r>
      <w:r>
        <w:t xml:space="preserve">“</w:t>
      </w:r>
      <w:r>
        <w:t xml:space="preserve">Total Performance Guarantee</w:t>
      </w:r>
      <w:r>
        <w:t xml:space="preserve">”</w:t>
      </w:r>
      <w:r>
        <w:t xml:space="preserve"> </w:t>
      </w:r>
      <w:r>
        <w:t xml:space="preserve">brochure (circulated January 6, 2025); (3) AquaPure Max 9000 sales presentation deck (January 2025); (4) draft Quotation Letter Template v1.0 (January 2025); (5) Birchwood, Sato &amp; Klein LLP memorandum from Elaine Sato, March 22, 2021 (</w:t>
      </w:r>
      <w:r>
        <w:t xml:space="preserve">“</w:t>
      </w:r>
      <w:r>
        <w:t xml:space="preserve">BSK Memo</w:t>
      </w:r>
      <w:r>
        <w:t xml:space="preserve">”</w:t>
      </w:r>
      <w:r>
        <w:t xml:space="preserve">); (6) Stoneridge Risk Advisors letter from David Kellner, January 22, 2025; (7) warranty claims workbook FY2022–FY2024 (Summary, Claim Detail, and Pending Claims &amp; Exposure tabs); (8) sales-team instruction memo from Priya Dasgupta, January 8, 2025; and (9) your February 10 assignment email, with Ms. Dasgupta’s February 7 email.</w:t>
      </w:r>
    </w:p>
    <w:p>
      <w:pPr>
        <w:pStyle w:val="BodyText"/>
      </w:pPr>
      <w:r>
        <w:rPr>
          <w:b/>
          <w:bCs/>
        </w:rPr>
        <w:t xml:space="preserve">Not reviewed / gaps:</w:t>
      </w:r>
    </w:p>
    <w:p>
      <w:pPr>
        <w:pStyle w:val="Compact"/>
        <w:numPr>
          <w:ilvl w:val="0"/>
          <w:numId w:val="1003"/>
        </w:numPr>
      </w:pPr>
      <w:r>
        <w:rPr>
          <w:b/>
          <w:bCs/>
        </w:rPr>
        <w:t xml:space="preserve">AquaMonitor v3.2 product documentation</w:t>
      </w:r>
      <w:r>
        <w:t xml:space="preserve"> </w:t>
      </w:r>
      <w:r>
        <w:t xml:space="preserve">was on the list but has not been provided. My software analysis (Part VI) is therefore based on how the marketing describes the software. Per your instruction, I have not contacted Product Development directly. I ask that you request the functional specification, sensor architecture, validation data, Part 11 assessment, cybersecurity documentation, and any existing EULA or terms of service.</w:t>
      </w:r>
    </w:p>
    <w:p>
      <w:pPr>
        <w:pStyle w:val="Compact"/>
        <w:numPr>
          <w:ilvl w:val="0"/>
          <w:numId w:val="1003"/>
        </w:numPr>
      </w:pPr>
      <w:r>
        <w:rPr>
          <w:b/>
          <w:bCs/>
        </w:rPr>
        <w:t xml:space="preserve">CIT’s</w:t>
      </w:r>
      <w:r>
        <w:rPr>
          <w:b/>
          <w:bCs/>
        </w:rPr>
        <w:t xml:space="preserve"> </w:t>
      </w:r>
      <w:r>
        <w:rPr>
          <w:b/>
          <w:bCs/>
        </w:rPr>
        <w:t xml:space="preserve">“</w:t>
      </w:r>
      <w:r>
        <w:rPr>
          <w:b/>
          <w:bCs/>
        </w:rPr>
        <w:t xml:space="preserve">standard terms and conditions of sale</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standard purchase order terms.</w:t>
      </w:r>
      <w:r>
        <w:rPr>
          <w:b/>
          <w:bCs/>
        </w:rPr>
        <w:t xml:space="preserve">”</w:t>
      </w:r>
      <w:r>
        <w:t xml:space="preserve"> </w:t>
      </w:r>
      <w:r>
        <w:t xml:space="preserve">Both the SLW (§ 7.3) and the Quotation Template (§ 7) refer to them, but I have not located a current version. Whether those terms contain a warranty disclaimer the buyer actually sees before purchase changes the Part IV analysis significantly.</w:t>
      </w:r>
    </w:p>
    <w:p>
      <w:pPr>
        <w:pStyle w:val="Compact"/>
        <w:numPr>
          <w:ilvl w:val="0"/>
          <w:numId w:val="1003"/>
        </w:numPr>
      </w:pPr>
      <w:r>
        <w:rPr>
          <w:b/>
          <w:bCs/>
        </w:rPr>
        <w:t xml:space="preserve">The Great Lakes letter of intent</w:t>
      </w:r>
      <w:r>
        <w:t xml:space="preserve"> </w:t>
      </w:r>
      <w:r>
        <w:t xml:space="preserve">(the sales memo reports it was signed). I need to confirm whether it references performance specifications or the</w:t>
      </w:r>
      <w:r>
        <w:t xml:space="preserve"> </w:t>
      </w:r>
      <w:r>
        <w:t xml:space="preserve">“</w:t>
      </w:r>
      <w:r>
        <w:t xml:space="preserve">guarantee.</w:t>
      </w:r>
      <w:r>
        <w:t xml:space="preserve">”</w:t>
      </w:r>
    </w:p>
    <w:p>
      <w:pPr>
        <w:pStyle w:val="Compact"/>
        <w:numPr>
          <w:ilvl w:val="0"/>
          <w:numId w:val="1003"/>
        </w:numPr>
      </w:pPr>
      <w:r>
        <w:rPr>
          <w:b/>
          <w:bCs/>
        </w:rPr>
        <w:t xml:space="preserve">The engineering validation data</w:t>
      </w:r>
      <w:r>
        <w:t xml:space="preserve"> </w:t>
      </w:r>
      <w:r>
        <w:t xml:space="preserve">(14 months, six beta installations) behind the 99.97% and 98.5% figures.</w:t>
      </w:r>
    </w:p>
    <w:p>
      <w:pPr>
        <w:pStyle w:val="Compact"/>
        <w:numPr>
          <w:ilvl w:val="0"/>
          <w:numId w:val="1003"/>
        </w:numPr>
      </w:pPr>
      <w:r>
        <w:rPr>
          <w:b/>
          <w:bCs/>
        </w:rPr>
        <w:t xml:space="preserve">The</w:t>
      </w:r>
      <w:r>
        <w:rPr>
          <w:b/>
          <w:bCs/>
        </w:rPr>
        <w:t xml:space="preserve"> </w:t>
      </w:r>
      <w:r>
        <w:rPr>
          <w:b/>
          <w:bCs/>
        </w:rPr>
        <w:t xml:space="preserve">“</w:t>
      </w:r>
      <w:r>
        <w:rPr>
          <w:b/>
          <w:bCs/>
        </w:rPr>
        <w:t xml:space="preserve">email campaign</w:t>
      </w:r>
      <w:r>
        <w:rPr>
          <w:b/>
          <w:bCs/>
        </w:rPr>
        <w:t xml:space="preserve">”</w:t>
      </w:r>
      <w:r>
        <w:rPr>
          <w:b/>
          <w:bCs/>
        </w:rPr>
        <w:t xml:space="preserve"> </w:t>
      </w:r>
      <w:r>
        <w:rPr>
          <w:b/>
          <w:bCs/>
        </w:rPr>
        <w:t xml:space="preserve">language</w:t>
      </w:r>
      <w:r>
        <w:t xml:space="preserve"> </w:t>
      </w:r>
      <w:r>
        <w:t xml:space="preserve">that Stoneridge quotes (</w:t>
      </w:r>
      <w:r>
        <w:t xml:space="preserve">“</w:t>
      </w:r>
      <w:r>
        <w:t xml:space="preserve">98.5% uptime and 99.97% purity — that’s our commitment to your operations</w:t>
      </w:r>
      <w:r>
        <w:t xml:space="preserve">”</w:t>
      </w:r>
      <w:r>
        <w:t xml:space="preserve">). The same wording appears in the brochure. I have not seen a separate email campaign, and if one exists it should be collected.</w:t>
      </w:r>
    </w:p>
    <w:p>
      <w:pPr>
        <w:pStyle w:val="Compact"/>
        <w:numPr>
          <w:ilvl w:val="0"/>
          <w:numId w:val="1003"/>
        </w:numPr>
      </w:pPr>
      <w:r>
        <w:rPr>
          <w:b/>
          <w:bCs/>
        </w:rPr>
        <w:t xml:space="preserve">Triton’s procurement documents</w:t>
      </w:r>
      <w:r>
        <w:t xml:space="preserve"> </w:t>
      </w:r>
      <w:r>
        <w:t xml:space="preserve">(RFP, bid specifications, or the Authority’s standard contract form), if any have been issued.</w:t>
      </w:r>
    </w:p>
    <w:p>
      <w:pPr>
        <w:pStyle w:val="FirstParagraph"/>
      </w:pPr>
      <w:r>
        <w:rPr>
          <w:b/>
          <w:bCs/>
        </w:rPr>
        <w:t xml:space="preserve">Legal limitations.</w:t>
      </w:r>
      <w:r>
        <w:t xml:space="preserve"> </w:t>
      </w:r>
      <w:r>
        <w:t xml:space="preserve">This memo applies UCC Article 2 as generally enacted, plus the state statutes identified. Case citations are for orientation and must be cite-checked before anyone relies on them externally. The state-law conclusions in Part V are preliminary screening conclusions, not formal opinions. Where I flag that further research or local counsel is needed, I mean it. Pursuant to your instruction, I have not contacted Birchwood, Sato &amp; Klein.</w:t>
      </w:r>
    </w:p>
    <w:p>
      <w:pPr>
        <w:pStyle w:val="BodyText"/>
      </w:pPr>
      <w:r>
        <w:rPr>
          <w:b/>
          <w:bCs/>
        </w:rPr>
        <w:t xml:space="preserve">A document-control discrepancy you should know about.</w:t>
      </w:r>
      <w:r>
        <w:t xml:space="preserve"> </w:t>
      </w:r>
      <w:r>
        <w:t xml:space="preserve">The BSK Memo describes the March 15, 2021 warranty as having</w:t>
      </w:r>
      <w:r>
        <w:t xml:space="preserve"> </w:t>
      </w:r>
      <w:r>
        <w:rPr>
          <w:i/>
          <w:iCs/>
        </w:rPr>
        <w:t xml:space="preserve">no</w:t>
      </w:r>
      <w:r>
        <w:t xml:space="preserve"> </w:t>
      </w:r>
      <w:r>
        <w:t xml:space="preserve">integration clause,</w:t>
      </w:r>
      <w:r>
        <w:t xml:space="preserve"> </w:t>
      </w:r>
      <w:r>
        <w:rPr>
          <w:i/>
          <w:iCs/>
        </w:rPr>
        <w:t xml:space="preserve">no</w:t>
      </w:r>
      <w:r>
        <w:t xml:space="preserve"> </w:t>
      </w:r>
      <w:r>
        <w:t xml:space="preserve">governing-law or forum clause, and</w:t>
      </w:r>
      <w:r>
        <w:t xml:space="preserve"> </w:t>
      </w:r>
      <w:r>
        <w:rPr>
          <w:i/>
          <w:iCs/>
        </w:rPr>
        <w:t xml:space="preserve">no</w:t>
      </w:r>
      <w:r>
        <w:t xml:space="preserve"> </w:t>
      </w:r>
      <w:r>
        <w:t xml:space="preserve">registration program. It also quotes disclaimer and limitation language that differs from the text in our file copy. The copy I reviewed, which carries the</w:t>
      </w:r>
      <w:r>
        <w:t xml:space="preserve"> </w:t>
      </w:r>
      <w:r>
        <w:rPr>
          <w:i/>
          <w:iCs/>
        </w:rPr>
        <w:t xml:space="preserve">same</w:t>
      </w:r>
      <w:r>
        <w:t xml:space="preserve"> </w:t>
      </w:r>
      <w:r>
        <w:t xml:space="preserve">document number and revision date, contains an integration clause (§ 7.3), an Oregon governing-law clause (§ 7.1), an exclusive Multnomah County forum clause (§ 7.2), a registration program (§ 8), and a clause saying the liability limits survive</w:t>
      </w:r>
      <w:r>
        <w:t xml:space="preserve"> </w:t>
      </w:r>
      <w:r>
        <w:t xml:space="preserve">“</w:t>
      </w:r>
      <w:r>
        <w:t xml:space="preserve">regardless of whether any remedy . . . fails of its essential purpose</w:t>
      </w:r>
      <w:r>
        <w:t xml:space="preserve">”</w:t>
      </w:r>
      <w:r>
        <w:t xml:space="preserve"> </w:t>
      </w:r>
      <w:r>
        <w:t xml:space="preserve">(§ 6).</w:t>
      </w:r>
    </w:p>
    <w:p>
      <w:pPr>
        <w:pStyle w:val="BodyText"/>
      </w:pPr>
      <w:r>
        <w:t xml:space="preserve">So either (a) the document was revised after BSK’s review without a new revision date, or (b) BSK reviewed a different draft. This matters in two ways. First, some of BSK’s recommendations may in fact have been partly implemented, which is contrary to the understanding in your email. The two most important ones were not: pre-sale disclosure, and conspicuousness beyond capitals. Second, and more urgently, in</w:t>
      </w:r>
      <w:r>
        <w:t xml:space="preserve"> </w:t>
      </w:r>
      <w:r>
        <w:rPr>
          <w:i/>
          <w:iCs/>
        </w:rPr>
        <w:t xml:space="preserve">Redmond</w:t>
      </w:r>
      <w:r>
        <w:t xml:space="preserve"> </w:t>
      </w:r>
      <w:r>
        <w:t xml:space="preserve">CIT will have to prove</w:t>
      </w:r>
      <w:r>
        <w:t xml:space="preserve"> </w:t>
      </w:r>
      <w:r>
        <w:rPr>
          <w:i/>
          <w:iCs/>
        </w:rPr>
        <w:t xml:space="preserve">which</w:t>
      </w:r>
      <w:r>
        <w:t xml:space="preserve"> </w:t>
      </w:r>
      <w:r>
        <w:t xml:space="preserve">version of the warranty governed Redmond’s March 2023 unit. Two different texts carrying one revision date is a discovery and credibility problem. I recommend we pin down the version history now (Part X, item 6).</w:t>
      </w:r>
    </w:p>
    <w:p>
      <w:r>
        <w:pict>
          <v:rect style="width:0;height:1.5pt" o:hralign="center" o:hrstd="t" o:hr="t"/>
        </w:pict>
      </w:r>
    </w:p>
    <w:bookmarkEnd w:id="21"/>
    <w:bookmarkStart w:id="25" w:name="X3ce3006dc8175e28351863e1e63d5a196d43934"/>
    <w:p>
      <w:pPr>
        <w:pStyle w:val="Heading2"/>
      </w:pPr>
      <w:r>
        <w:t xml:space="preserve">III. FACTUAL BACKGROUND RELEVANT TO THE ANALYSIS</w:t>
      </w:r>
    </w:p>
    <w:bookmarkStart w:id="22" w:name="a.-the-product-and-the-pipeline"/>
    <w:p>
      <w:pPr>
        <w:pStyle w:val="Heading3"/>
      </w:pPr>
      <w:r>
        <w:t xml:space="preserve">A. The product and the pipeline</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jc w:val="left"/>
            </w:pPr>
            <w:r>
              <w:rPr>
                <w:b/>
              </w:rPr>
              <w:t xml:space="preserve">Deal</w:t>
            </w:r>
          </w:p>
        </w:tc>
        <w:tc>
          <w:tcPr/>
          <w:p>
            <w:pPr>
              <w:pStyle w:val="Compact"/>
              <w:jc w:val="left"/>
            </w:pPr>
            <w:r>
              <w:rPr>
                <w:b/>
              </w:rPr>
              <w:t xml:space="preserve">Buyer type / location</w:t>
            </w:r>
          </w:p>
        </w:tc>
        <w:tc>
          <w:tcPr/>
          <w:p>
            <w:pPr>
              <w:pStyle w:val="Compact"/>
              <w:jc w:val="left"/>
            </w:pPr>
            <w:r>
              <w:rPr>
                <w:b/>
              </w:rPr>
              <w:t xml:space="preserve">Configuration</w:t>
            </w:r>
          </w:p>
        </w:tc>
        <w:tc>
          <w:tcPr/>
          <w:p>
            <w:pPr>
              <w:pStyle w:val="Compact"/>
              <w:jc w:val="left"/>
            </w:pPr>
            <w:r>
              <w:rPr>
                <w:b/>
              </w:rPr>
              <w:t xml:space="preserve">Value</w:t>
            </w:r>
          </w:p>
        </w:tc>
      </w:tr>
      <w:tr>
        <w:tc>
          <w:tcPr/>
          <w:p>
            <w:pPr>
              <w:pStyle w:val="Compact"/>
              <w:jc w:val="left"/>
            </w:pPr>
            <w:r>
              <w:t xml:space="preserve">Triton Municipal Water Authority</w:t>
            </w:r>
          </w:p>
        </w:tc>
        <w:tc>
          <w:tcPr/>
          <w:p>
            <w:pPr>
              <w:pStyle w:val="Compact"/>
              <w:jc w:val="left"/>
            </w:pPr>
            <w:r>
              <w:t xml:space="preserve">Governmental entity; Austin, TX</w:t>
            </w:r>
          </w:p>
        </w:tc>
        <w:tc>
          <w:tcPr/>
          <w:p>
            <w:pPr>
              <w:pStyle w:val="Compact"/>
              <w:jc w:val="left"/>
            </w:pPr>
            <w:r>
              <w:t xml:space="preserve">12 Base units @ $475,000</w:t>
            </w:r>
          </w:p>
        </w:tc>
        <w:tc>
          <w:tcPr/>
          <w:p>
            <w:pPr>
              <w:pStyle w:val="Compact"/>
              <w:jc w:val="left"/>
            </w:pPr>
            <w:r>
              <w:t xml:space="preserve">$5,700,000</w:t>
            </w:r>
          </w:p>
        </w:tc>
      </w:tr>
      <w:tr>
        <w:tc>
          <w:tcPr/>
          <w:p>
            <w:pPr>
              <w:pStyle w:val="Compact"/>
              <w:jc w:val="left"/>
            </w:pPr>
            <w:r>
              <w:t xml:space="preserve">Great Lakes Processing Corp.</w:t>
            </w:r>
          </w:p>
        </w:tc>
        <w:tc>
          <w:tcPr/>
          <w:p>
            <w:pPr>
              <w:pStyle w:val="Compact"/>
              <w:jc w:val="left"/>
            </w:pPr>
            <w:r>
              <w:t xml:space="preserve">Food processor (FDA-regulated); Chicago, IL</w:t>
            </w:r>
          </w:p>
        </w:tc>
        <w:tc>
          <w:tcPr/>
          <w:p>
            <w:pPr>
              <w:pStyle w:val="Compact"/>
              <w:jc w:val="left"/>
            </w:pPr>
            <w:r>
              <w:t xml:space="preserve">8 Enhanced units @ $525,000; LOI signed</w:t>
            </w:r>
          </w:p>
        </w:tc>
        <w:tc>
          <w:tcPr/>
          <w:p>
            <w:pPr>
              <w:pStyle w:val="Compact"/>
              <w:jc w:val="left"/>
            </w:pPr>
            <w:r>
              <w:t xml:space="preserve">$4,200,000</w:t>
            </w:r>
          </w:p>
        </w:tc>
      </w:tr>
      <w:tr>
        <w:tc>
          <w:tcPr/>
          <w:p>
            <w:pPr>
              <w:pStyle w:val="Compact"/>
              <w:jc w:val="left"/>
            </w:pPr>
            <w:r>
              <w:t xml:space="preserve">Harmon Valley Agricultural Cooperative</w:t>
            </w:r>
          </w:p>
        </w:tc>
        <w:tc>
          <w:tcPr/>
          <w:p>
            <w:pPr>
              <w:pStyle w:val="Compact"/>
              <w:jc w:val="left"/>
            </w:pPr>
            <w:r>
              <w:t xml:space="preserve">Agricultural co-op buying for members; Fresno, CA</w:t>
            </w:r>
          </w:p>
        </w:tc>
        <w:tc>
          <w:tcPr/>
          <w:p>
            <w:pPr>
              <w:pStyle w:val="Compact"/>
              <w:jc w:val="left"/>
            </w:pPr>
            <w:r>
              <w:t xml:space="preserve">3 Base + 2 Enhanced, less $75,000 volume discount</w:t>
            </w:r>
          </w:p>
        </w:tc>
        <w:tc>
          <w:tcPr/>
          <w:p>
            <w:pPr>
              <w:pStyle w:val="Compact"/>
              <w:jc w:val="left"/>
            </w:pPr>
            <w:r>
              <w:t xml:space="preserve">$2,400,000</w:t>
            </w:r>
          </w:p>
        </w:tc>
      </w:tr>
      <w:tr>
        <w:tc>
          <w:tcPr/>
          <w:p>
            <w:pPr>
              <w:pStyle w:val="Compact"/>
              <w:jc w:val="left"/>
            </w:pPr>
            <w:r>
              <w:rPr>
                <w:b/>
                <w:bCs/>
              </w:rPr>
              <w:t xml:space="preserve">Total identified pipeline</w:t>
            </w:r>
          </w:p>
        </w:tc>
        <w:tc>
          <w:tcPr/>
          <w:p>
            <w:pPr>
              <w:pStyle w:val="Compact"/>
            </w:pPr>
          </w:p>
        </w:tc>
        <w:tc>
          <w:tcPr/>
          <w:p>
            <w:pPr>
              <w:pStyle w:val="Compact"/>
              <w:jc w:val="left"/>
            </w:pPr>
            <w:r>
              <w:rPr>
                <w:b/>
                <w:bCs/>
              </w:rPr>
              <w:t xml:space="preserve">25 units</w:t>
            </w:r>
          </w:p>
        </w:tc>
        <w:tc>
          <w:tcPr/>
          <w:p>
            <w:pPr>
              <w:pStyle w:val="Compact"/>
              <w:jc w:val="left"/>
            </w:pPr>
            <w:r>
              <w:rPr>
                <w:b/>
                <w:bCs/>
              </w:rPr>
              <w:t xml:space="preserve">$12,300,000</w:t>
            </w:r>
          </w:p>
        </w:tc>
      </w:tr>
    </w:tbl>
    <w:p>
      <w:pPr>
        <w:pStyle w:val="BodyText"/>
      </w:pPr>
      <w:r>
        <w:t xml:space="preserve">Launch timeline: pre-orders April 1, 2025; production June 15; first deliveries September 1. Ms. Dasgupta has set March 17 as the deadline to lock the warranty framework and marketing language. Other launch markets: New York City-area municipal buyers and Massachusetts pharmaceutical manufacturers.</w:t>
      </w:r>
    </w:p>
    <w:bookmarkEnd w:id="22"/>
    <w:bookmarkStart w:id="23" w:name="b.-what-cit-is-telling-customers"/>
    <w:p>
      <w:pPr>
        <w:pStyle w:val="Heading3"/>
      </w:pPr>
      <w:r>
        <w:t xml:space="preserve">B. What CIT is telling customers</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jc w:val="left"/>
            </w:pPr>
            <w:r>
              <w:rPr>
                <w:b/>
              </w:rPr>
              <w:t xml:space="preserve">Statement</w:t>
            </w:r>
          </w:p>
        </w:tc>
        <w:tc>
          <w:tcPr/>
          <w:p>
            <w:pPr>
              <w:pStyle w:val="Compact"/>
              <w:jc w:val="left"/>
            </w:pPr>
            <w:r>
              <w:rPr>
                <w:b/>
              </w:rPr>
              <w:t xml:space="preserve">Brochure</w:t>
            </w:r>
          </w:p>
        </w:tc>
        <w:tc>
          <w:tcPr/>
          <w:p>
            <w:pPr>
              <w:pStyle w:val="Compact"/>
              <w:jc w:val="left"/>
            </w:pPr>
            <w:r>
              <w:rPr>
                <w:b/>
              </w:rPr>
              <w:t xml:space="preserve">Sales Deck</w:t>
            </w:r>
          </w:p>
        </w:tc>
        <w:tc>
          <w:tcPr/>
          <w:p>
            <w:pPr>
              <w:pStyle w:val="Compact"/>
              <w:jc w:val="left"/>
            </w:pPr>
            <w:r>
              <w:rPr>
                <w:b/>
              </w:rPr>
              <w:t xml:space="preserve">Quotation Letter</w:t>
            </w:r>
          </w:p>
        </w:tc>
        <w:tc>
          <w:tcPr/>
          <w:p>
            <w:pPr>
              <w:pStyle w:val="Compact"/>
              <w:jc w:val="left"/>
            </w:pPr>
            <w:r>
              <w:rPr>
                <w:b/>
              </w:rPr>
              <w:t xml:space="preserve">Sales Memo (scripts)</w:t>
            </w:r>
          </w:p>
        </w:tc>
      </w:tr>
      <w:tr>
        <w:tc>
          <w:tcPr/>
          <w:p>
            <w:pPr>
              <w:pStyle w:val="Compact"/>
              <w:jc w:val="left"/>
            </w:pPr>
            <w:r>
              <w:t xml:space="preserve">99.97% contaminant removal (heavy metals, microplastics, PFAS, VOCs)</w:t>
            </w:r>
          </w:p>
        </w:tc>
        <w:tc>
          <w:tcPr/>
          <w:p>
            <w:pPr>
              <w:pStyle w:val="Compact"/>
              <w:jc w:val="left"/>
            </w:pPr>
            <w:r>
              <w:t xml:space="preserve">“</w:t>
            </w:r>
            <w:r>
              <w:t xml:space="preserve">We guarantee . . . or we’ll make it right — guaranteed</w:t>
            </w:r>
            <w:r>
              <w:t xml:space="preserve">”</w:t>
            </w:r>
            <w:r>
              <w:t xml:space="preserve">;</w:t>
            </w:r>
            <w:r>
              <w:t xml:space="preserve"> </w:t>
            </w:r>
            <w:r>
              <w:t xml:space="preserve">“</w:t>
            </w:r>
            <w:r>
              <w:t xml:space="preserve">Verified</w:t>
            </w:r>
            <w:r>
              <w:t xml:space="preserve">”</w:t>
            </w:r>
          </w:p>
        </w:tc>
        <w:tc>
          <w:tcPr/>
          <w:p>
            <w:pPr>
              <w:pStyle w:val="Compact"/>
              <w:jc w:val="left"/>
            </w:pPr>
            <w:r>
              <w:t xml:space="preserve">“</w:t>
            </w:r>
            <w:r>
              <w:t xml:space="preserve">guaranteed</w:t>
            </w:r>
            <w:r>
              <w:t xml:space="preserve">”</w:t>
            </w:r>
            <w:r>
              <w:t xml:space="preserve"> </w:t>
            </w:r>
            <w:r>
              <w:t xml:space="preserve">(slides 7, 17)</w:t>
            </w:r>
          </w:p>
        </w:tc>
        <w:tc>
          <w:tcPr/>
          <w:p>
            <w:pPr>
              <w:pStyle w:val="Compact"/>
              <w:jc w:val="left"/>
            </w:pPr>
            <w:r>
              <w:t xml:space="preserve">“</w:t>
            </w:r>
            <w:r>
              <w:t xml:space="preserve">designed to achieve . . . under standard operating conditions</w:t>
            </w:r>
            <w:r>
              <w:t xml:space="preserve">”</w:t>
            </w:r>
          </w:p>
        </w:tc>
        <w:tc>
          <w:tcPr/>
          <w:p>
            <w:pPr>
              <w:pStyle w:val="Compact"/>
              <w:jc w:val="left"/>
            </w:pPr>
            <w:r>
              <w:t xml:space="preserve">“</w:t>
            </w:r>
            <w:r>
              <w:t xml:space="preserve">guaranteed to remove 99.97% . . . that’s our promise</w:t>
            </w:r>
            <w:r>
              <w:t xml:space="preserve">”</w:t>
            </w:r>
          </w:p>
        </w:tc>
      </w:tr>
      <w:tr>
        <w:tc>
          <w:tcPr/>
          <w:p>
            <w:pPr>
              <w:pStyle w:val="Compact"/>
              <w:jc w:val="left"/>
            </w:pPr>
            <w:r>
              <w:t xml:space="preserve">98.5% annual uptime</w:t>
            </w:r>
          </w:p>
        </w:tc>
        <w:tc>
          <w:tcPr/>
          <w:p>
            <w:pPr>
              <w:pStyle w:val="Compact"/>
              <w:jc w:val="left"/>
            </w:pPr>
            <w:r>
              <w:t xml:space="preserve">“</w:t>
            </w:r>
            <w:r>
              <w:t xml:space="preserve">you can count on</w:t>
            </w:r>
            <w:r>
              <w:t xml:space="preserve">”</w:t>
            </w:r>
          </w:p>
        </w:tc>
        <w:tc>
          <w:tcPr/>
          <w:p>
            <w:pPr>
              <w:pStyle w:val="Compact"/>
              <w:jc w:val="left"/>
            </w:pPr>
            <w:r>
              <w:t xml:space="preserve">“</w:t>
            </w:r>
            <w:r>
              <w:t xml:space="preserve">guaranteed</w:t>
            </w:r>
            <w:r>
              <w:t xml:space="preserve">”</w:t>
            </w:r>
          </w:p>
        </w:tc>
        <w:tc>
          <w:tcPr/>
          <w:p>
            <w:pPr>
              <w:pStyle w:val="Compact"/>
              <w:jc w:val="left"/>
            </w:pPr>
            <w:r>
              <w:t xml:space="preserve">“</w:t>
            </w:r>
            <w:r>
              <w:t xml:space="preserve">designed to achieve</w:t>
            </w:r>
            <w:r>
              <w:t xml:space="preserve">”</w:t>
            </w:r>
          </w:p>
        </w:tc>
        <w:tc>
          <w:tcPr/>
          <w:p>
            <w:pPr>
              <w:pStyle w:val="Compact"/>
              <w:jc w:val="left"/>
            </w:pPr>
            <w:r>
              <w:t xml:space="preserve">“</w:t>
            </w:r>
            <w:r>
              <w:t xml:space="preserve">guaranteed uptime</w:t>
            </w:r>
            <w:r>
              <w:t xml:space="preserve">”</w:t>
            </w:r>
          </w:p>
        </w:tc>
      </w:tr>
      <w:tr>
        <w:tc>
          <w:tcPr/>
          <w:p>
            <w:pPr>
              <w:pStyle w:val="Compact"/>
              <w:jc w:val="left"/>
            </w:pPr>
            <w:r>
              <w:t xml:space="preserve">500,000 gal/day</w:t>
            </w:r>
          </w:p>
        </w:tc>
        <w:tc>
          <w:tcPr/>
          <w:p>
            <w:pPr>
              <w:pStyle w:val="Compact"/>
              <w:jc w:val="left"/>
            </w:pPr>
            <w:r>
              <w:t xml:space="preserve">“</w:t>
            </w:r>
            <w:r>
              <w:t xml:space="preserve">every day</w:t>
            </w:r>
            <w:r>
              <w:t xml:space="preserve">”</w:t>
            </w:r>
          </w:p>
        </w:tc>
        <w:tc>
          <w:tcPr/>
          <w:p>
            <w:pPr>
              <w:pStyle w:val="Compact"/>
              <w:jc w:val="left"/>
            </w:pPr>
            <w:r>
              <w:t xml:space="preserve">spec</w:t>
            </w:r>
          </w:p>
        </w:tc>
        <w:tc>
          <w:tcPr/>
          <w:p>
            <w:pPr>
              <w:pStyle w:val="Compact"/>
              <w:jc w:val="left"/>
            </w:pPr>
            <w:r>
              <w:t xml:space="preserve">spec</w:t>
            </w:r>
          </w:p>
        </w:tc>
        <w:tc>
          <w:tcPr/>
          <w:p>
            <w:pPr>
              <w:pStyle w:val="Compact"/>
              <w:jc w:val="left"/>
            </w:pPr>
            <w:r>
              <w:t xml:space="preserve">spec</w:t>
            </w:r>
          </w:p>
        </w:tc>
      </w:tr>
      <w:tr>
        <w:tc>
          <w:tcPr/>
          <w:p>
            <w:pPr>
              <w:pStyle w:val="Compact"/>
              <w:jc w:val="left"/>
            </w:pPr>
            <w:r>
              <w:t xml:space="preserve">Meets/exceeds all EPA and state standards, including PFAS</w:t>
            </w:r>
          </w:p>
        </w:tc>
        <w:tc>
          <w:tcPr/>
          <w:p>
            <w:pPr>
              <w:pStyle w:val="Compact"/>
              <w:jc w:val="left"/>
            </w:pPr>
            <w:r>
              <w:t xml:space="preserve">Yes; municipal</w:t>
            </w:r>
            <w:r>
              <w:t xml:space="preserve"> </w:t>
            </w:r>
            <w:r>
              <w:t xml:space="preserve">“</w:t>
            </w:r>
            <w:r>
              <w:t xml:space="preserve">ensures</w:t>
            </w:r>
            <w:r>
              <w:t xml:space="preserve">”</w:t>
            </w:r>
          </w:p>
        </w:tc>
        <w:tc>
          <w:tcPr/>
          <w:p>
            <w:pPr>
              <w:pStyle w:val="Compact"/>
              <w:jc w:val="left"/>
            </w:pPr>
            <w:r>
              <w:t xml:space="preserve">Yes;</w:t>
            </w:r>
            <w:r>
              <w:t xml:space="preserve"> </w:t>
            </w:r>
            <w:r>
              <w:t xml:space="preserve">“</w:t>
            </w:r>
            <w:r>
              <w:t xml:space="preserve">Meets and exceeds all EPA Safe Drinking Water Act standards</w:t>
            </w:r>
            <w:r>
              <w:t xml:space="preserve">”</w:t>
            </w:r>
          </w:p>
        </w:tc>
        <w:tc>
          <w:tcPr/>
          <w:p>
            <w:pPr>
              <w:pStyle w:val="Compact"/>
              <w:jc w:val="left"/>
            </w:pPr>
            <w:r>
              <w:t xml:space="preserve">“</w:t>
            </w:r>
            <w:r>
              <w:t xml:space="preserve">meets or exceeds</w:t>
            </w:r>
            <w:r>
              <w:t xml:space="preserve">”</w:t>
            </w:r>
            <w:r>
              <w:t xml:space="preserve"> </w:t>
            </w:r>
            <w:r>
              <w:t xml:space="preserve">(twice)</w:t>
            </w:r>
          </w:p>
        </w:tc>
        <w:tc>
          <w:tcPr/>
          <w:p>
            <w:pPr>
              <w:pStyle w:val="Compact"/>
              <w:jc w:val="left"/>
            </w:pPr>
            <w:r>
              <w:t xml:space="preserve">“</w:t>
            </w:r>
            <w:r>
              <w:t xml:space="preserve">will meet or exceed all EPA and state water purity standards</w:t>
            </w:r>
            <w:r>
              <w:t xml:space="preserve">”</w:t>
            </w:r>
          </w:p>
        </w:tc>
      </w:tr>
      <w:tr>
        <w:tc>
          <w:tcPr/>
          <w:p>
            <w:pPr>
              <w:pStyle w:val="Compact"/>
              <w:jc w:val="left"/>
            </w:pPr>
            <w:r>
              <w:t xml:space="preserve">FDA/USDA food-contact compliance</w:t>
            </w:r>
          </w:p>
        </w:tc>
        <w:tc>
          <w:tcPr/>
          <w:p>
            <w:pPr>
              <w:pStyle w:val="Compact"/>
              <w:jc w:val="left"/>
            </w:pPr>
            <w:r>
              <w:t xml:space="preserve">“</w:t>
            </w:r>
            <w:r>
              <w:t xml:space="preserve">Achieve consistent water quality that meets FDA and USDA requirements</w:t>
            </w:r>
            <w:r>
              <w:t xml:space="preserve">”</w:t>
            </w:r>
          </w:p>
        </w:tc>
        <w:tc>
          <w:tcPr/>
          <w:p>
            <w:pPr>
              <w:pStyle w:val="Compact"/>
              <w:jc w:val="left"/>
            </w:pPr>
            <w:r>
              <w:t xml:space="preserve">“</w:t>
            </w:r>
            <w:r>
              <w:t xml:space="preserve">ensures your process water exceeds food-grade standards</w:t>
            </w:r>
            <w:r>
              <w:t xml:space="preserve">”</w:t>
            </w:r>
            <w:r>
              <w:t xml:space="preserve">;</w:t>
            </w:r>
            <w:r>
              <w:t xml:space="preserve"> </w:t>
            </w:r>
            <w:r>
              <w:t xml:space="preserve">“</w:t>
            </w:r>
            <w:r>
              <w:t xml:space="preserve">reduces risk of product recalls</w:t>
            </w:r>
            <w:r>
              <w:t xml:space="preserve">”</w:t>
            </w:r>
          </w:p>
        </w:tc>
        <w:tc>
          <w:tcPr/>
          <w:p>
            <w:pPr>
              <w:pStyle w:val="Compact"/>
              <w:jc w:val="left"/>
            </w:pPr>
            <w:r>
              <w:t xml:space="preserve">—</w:t>
            </w:r>
          </w:p>
        </w:tc>
        <w:tc>
          <w:tcPr/>
          <w:p>
            <w:pPr>
              <w:pStyle w:val="Compact"/>
              <w:jc w:val="left"/>
            </w:pPr>
            <w:r>
              <w:t xml:space="preserve">“</w:t>
            </w:r>
            <w:r>
              <w:t xml:space="preserve">we guarantee</w:t>
            </w:r>
            <w:r>
              <w:t xml:space="preserve">”</w:t>
            </w:r>
            <w:r>
              <w:t xml:space="preserve">; buyers</w:t>
            </w:r>
            <w:r>
              <w:t xml:space="preserve"> </w:t>
            </w:r>
            <w:r>
              <w:t xml:space="preserve">“</w:t>
            </w:r>
            <w:r>
              <w:t xml:space="preserve">need assurance that product recalls and contamination risks are eliminated</w:t>
            </w:r>
            <w:r>
              <w:t xml:space="preserve">”</w:t>
            </w:r>
          </w:p>
        </w:tc>
      </w:tr>
      <w:tr>
        <w:tc>
          <w:tcPr/>
          <w:p>
            <w:pPr>
              <w:pStyle w:val="Compact"/>
              <w:jc w:val="left"/>
            </w:pPr>
            <w:r>
              <w:t xml:space="preserve">Pharma: USP purified water, WFI, cGMP, 21 CFR Part 11</w:t>
            </w:r>
          </w:p>
        </w:tc>
        <w:tc>
          <w:tcPr/>
          <w:p>
            <w:pPr>
              <w:pStyle w:val="Compact"/>
              <w:jc w:val="left"/>
            </w:pPr>
            <w:r>
              <w:t xml:space="preserve">“</w:t>
            </w:r>
            <w:r>
              <w:t xml:space="preserve">validated for pharmaceutical-grade water production</w:t>
            </w:r>
            <w:r>
              <w:t xml:space="preserve">”</w:t>
            </w:r>
          </w:p>
        </w:tc>
        <w:tc>
          <w:tcPr/>
          <w:p>
            <w:pPr>
              <w:pStyle w:val="Compact"/>
              <w:jc w:val="left"/>
            </w:pPr>
            <w:r>
              <w:t xml:space="preserve">USP/WFI;</w:t>
            </w:r>
            <w:r>
              <w:t xml:space="preserve"> </w:t>
            </w:r>
            <w:r>
              <w:t xml:space="preserve">“</w:t>
            </w:r>
            <w:r>
              <w:t xml:space="preserve">Validated performance for GMP</w:t>
            </w:r>
            <w:r>
              <w:t xml:space="preserve">”</w:t>
            </w:r>
            <w:r>
              <w:t xml:space="preserve">;</w:t>
            </w:r>
            <w:r>
              <w:t xml:space="preserve"> </w:t>
            </w:r>
            <w:r>
              <w:t xml:space="preserve">“</w:t>
            </w:r>
            <w:r>
              <w:t xml:space="preserve">21 CFR Part 11 compliant data logging</w:t>
            </w:r>
            <w:r>
              <w:t xml:space="preserve">”</w:t>
            </w:r>
          </w:p>
        </w:tc>
        <w:tc>
          <w:tcPr/>
          <w:p>
            <w:pPr>
              <w:pStyle w:val="Compact"/>
              <w:jc w:val="left"/>
            </w:pPr>
            <w:r>
              <w:t xml:space="preserve">—</w:t>
            </w:r>
          </w:p>
        </w:tc>
        <w:tc>
          <w:tcPr/>
          <w:p>
            <w:pPr>
              <w:pStyle w:val="Compact"/>
              <w:jc w:val="left"/>
            </w:pPr>
            <w:r>
              <w:t xml:space="preserve">USP compliance</w:t>
            </w:r>
          </w:p>
        </w:tc>
      </w:tr>
      <w:tr>
        <w:tc>
          <w:tcPr/>
          <w:p>
            <w:pPr>
              <w:pStyle w:val="Compact"/>
              <w:jc w:val="left"/>
            </w:pPr>
            <w:r>
              <w:t xml:space="preserve">AquaMonitor accuracy</w:t>
            </w:r>
          </w:p>
        </w:tc>
        <w:tc>
          <w:tcPr/>
          <w:p>
            <w:pPr>
              <w:pStyle w:val="Compact"/>
              <w:jc w:val="left"/>
            </w:pPr>
            <w:r>
              <w:t xml:space="preserve">“</w:t>
            </w:r>
            <w:r>
              <w:t xml:space="preserve">accurate, real-time data you can rely on for regulatory compliance</w:t>
            </w:r>
            <w:r>
              <w:t xml:space="preserve">”</w:t>
            </w:r>
            <w:r>
              <w:t xml:space="preserve">;</w:t>
            </w:r>
            <w:r>
              <w:t xml:space="preserve"> </w:t>
            </w:r>
            <w:r>
              <w:t xml:space="preserve">“</w:t>
            </w:r>
            <w:r>
              <w:t xml:space="preserve">continuously verifies</w:t>
            </w:r>
            <w:r>
              <w:t xml:space="preserve">”</w:t>
            </w:r>
            <w:r>
              <w:t xml:space="preserve"> </w:t>
            </w:r>
            <w:r>
              <w:t xml:space="preserve">performance</w:t>
            </w:r>
          </w:p>
        </w:tc>
        <w:tc>
          <w:tcPr/>
          <w:p>
            <w:pPr>
              <w:pStyle w:val="Compact"/>
              <w:jc w:val="left"/>
            </w:pPr>
            <w:r>
              <w:t xml:space="preserve">“</w:t>
            </w:r>
            <w:r>
              <w:t xml:space="preserve">Automated compliance reporting for regulatory audits</w:t>
            </w:r>
            <w:r>
              <w:t xml:space="preserve">”</w:t>
            </w:r>
          </w:p>
        </w:tc>
        <w:tc>
          <w:tcPr/>
          <w:p>
            <w:pPr>
              <w:pStyle w:val="Compact"/>
              <w:jc w:val="left"/>
            </w:pPr>
            <w:r>
              <w:t xml:space="preserve">“</w:t>
            </w:r>
            <w:r>
              <w:t xml:space="preserve">continuous, real-time visibility</w:t>
            </w:r>
            <w:r>
              <w:t xml:space="preserve">”</w:t>
            </w:r>
          </w:p>
        </w:tc>
        <w:tc>
          <w:tcPr/>
          <w:p>
            <w:pPr>
              <w:pStyle w:val="Compact"/>
              <w:jc w:val="left"/>
            </w:pPr>
            <w:r>
              <w:t xml:space="preserve">—</w:t>
            </w:r>
          </w:p>
        </w:tc>
      </w:tr>
      <w:tr>
        <w:tc>
          <w:tcPr/>
          <w:p>
            <w:pPr>
              <w:pStyle w:val="Compact"/>
              <w:jc w:val="left"/>
            </w:pPr>
            <w:r>
              <w:t xml:space="preserve">Remedy promised</w:t>
            </w:r>
          </w:p>
        </w:tc>
        <w:tc>
          <w:tcPr/>
          <w:p>
            <w:pPr>
              <w:pStyle w:val="Compact"/>
              <w:jc w:val="left"/>
            </w:pPr>
            <w:r>
              <w:t xml:space="preserve">“</w:t>
            </w:r>
            <w:r>
              <w:t xml:space="preserve">CIT will make it right. Period.</w:t>
            </w:r>
            <w:r>
              <w:t xml:space="preserve">”</w:t>
            </w:r>
            <w:r>
              <w:t xml:space="preserve"> </w:t>
            </w:r>
            <w:r>
              <w:t xml:space="preserve">(CEO quote)</w:t>
            </w:r>
          </w:p>
        </w:tc>
        <w:tc>
          <w:tcPr/>
          <w:p>
            <w:pPr>
              <w:pStyle w:val="Compact"/>
              <w:jc w:val="left"/>
            </w:pPr>
            <w:r>
              <w:t xml:space="preserve">“</w:t>
            </w:r>
            <w:r>
              <w:t xml:space="preserve">make customers whole if the system doesn’t deliver</w:t>
            </w:r>
            <w:r>
              <w:t xml:space="preserve">”</w:t>
            </w:r>
          </w:p>
        </w:tc>
        <w:tc>
          <w:tcPr/>
          <w:p>
            <w:pPr>
              <w:pStyle w:val="Compact"/>
              <w:jc w:val="left"/>
            </w:pPr>
            <w:r>
              <w:t xml:space="preserve">“</w:t>
            </w:r>
            <w:r>
              <w:t xml:space="preserve">stand behind</w:t>
            </w:r>
            <w:r>
              <w:t xml:space="preserve">”</w:t>
            </w:r>
          </w:p>
        </w:tc>
        <w:tc>
          <w:tcPr/>
          <w:p>
            <w:pPr>
              <w:pStyle w:val="Compact"/>
              <w:jc w:val="left"/>
            </w:pPr>
            <w:r>
              <w:t xml:space="preserve">“</w:t>
            </w:r>
            <w:r>
              <w:t xml:space="preserve">We make customers whole</w:t>
            </w:r>
            <w:r>
              <w:t xml:space="preserve">”</w:t>
            </w:r>
            <w:r>
              <w:t xml:space="preserve">; answer to consequential-damages questions:</w:t>
            </w:r>
            <w:r>
              <w:t xml:space="preserve"> </w:t>
            </w:r>
            <w:r>
              <w:t xml:space="preserve">“</w:t>
            </w:r>
            <w:r>
              <w:t xml:space="preserve">CIT is committed to making our customers whole</w:t>
            </w:r>
            <w:r>
              <w:t xml:space="preserve">”</w:t>
            </w:r>
          </w:p>
        </w:tc>
      </w:tr>
      <w:tr>
        <w:tc>
          <w:tcPr/>
          <w:p>
            <w:pPr>
              <w:pStyle w:val="Compact"/>
              <w:jc w:val="left"/>
            </w:pPr>
            <w:r>
              <w:t xml:space="preserve">15-year design life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p>
      <w:pPr>
        <w:pStyle w:val="BodyText"/>
      </w:pPr>
      <w:r>
        <w:t xml:space="preserve">Two further facts matter a great deal:</w:t>
      </w:r>
    </w:p>
    <w:p>
      <w:pPr>
        <w:pStyle w:val="Compact"/>
        <w:numPr>
          <w:ilvl w:val="0"/>
          <w:numId w:val="1004"/>
        </w:numPr>
      </w:pPr>
      <w:r>
        <w:rPr>
          <w:b/>
          <w:bCs/>
        </w:rPr>
        <w:t xml:space="preserve">Warranty withheld before sale.</w:t>
      </w:r>
      <w:r>
        <w:t xml:space="preserve"> </w:t>
      </w:r>
      <w:r>
        <w:t xml:space="preserve">The sales memo (§ 5) instructs:</w:t>
      </w:r>
      <w:r>
        <w:t xml:space="preserve"> </w:t>
      </w:r>
      <w:r>
        <w:t xml:space="preserve">“</w:t>
      </w:r>
      <w:r>
        <w:rPr>
          <w:b/>
          <w:bCs/>
        </w:rPr>
        <w:t xml:space="preserve">Do not provide customers with a copy of the warranty document prior to purchase.</w:t>
      </w:r>
      <w:r>
        <w:t xml:space="preserve"> </w:t>
      </w:r>
      <w:r>
        <w:t xml:space="preserve">Direct their attention instead to the Total Performance Guarantee.</w:t>
      </w:r>
      <w:r>
        <w:t xml:space="preserve">”</w:t>
      </w:r>
      <w:r>
        <w:t xml:space="preserve"> </w:t>
      </w:r>
      <w:r>
        <w:t xml:space="preserve">The Quotation Template says the SLW terms</w:t>
      </w:r>
      <w:r>
        <w:t xml:space="preserve"> </w:t>
      </w:r>
      <w:r>
        <w:t xml:space="preserve">“</w:t>
      </w:r>
      <w:r>
        <w:t xml:space="preserve">are included with product delivery.</w:t>
      </w:r>
      <w:r>
        <w:t xml:space="preserve">”</w:t>
      </w:r>
    </w:p>
    <w:p>
      <w:pPr>
        <w:pStyle w:val="Compact"/>
        <w:numPr>
          <w:ilvl w:val="0"/>
          <w:numId w:val="1004"/>
        </w:numPr>
      </w:pPr>
      <w:r>
        <w:rPr>
          <w:b/>
          <w:bCs/>
        </w:rPr>
        <w:t xml:space="preserve">The product descriptions don’t match each other.</w:t>
      </w:r>
      <w:r>
        <w:t xml:space="preserve"> </w:t>
      </w:r>
      <w:r>
        <w:t xml:space="preserve">The sales memo says</w:t>
      </w:r>
      <w:r>
        <w:t xml:space="preserve"> </w:t>
      </w:r>
      <w:r>
        <w:rPr>
          <w:i/>
          <w:iCs/>
        </w:rPr>
        <w:t xml:space="preserve">both</w:t>
      </w:r>
      <w:r>
        <w:t xml:space="preserve"> </w:t>
      </w:r>
      <w:r>
        <w:t xml:space="preserve">configurations include AquaMonitor v3.2. The brochure says AquaMonitor comes</w:t>
      </w:r>
      <w:r>
        <w:t xml:space="preserve"> </w:t>
      </w:r>
      <w:r>
        <w:rPr>
          <w:i/>
          <w:iCs/>
        </w:rPr>
        <w:t xml:space="preserve">only</w:t>
      </w:r>
      <w:r>
        <w:t xml:space="preserve"> </w:t>
      </w:r>
      <w:r>
        <w:t xml:space="preserve">with the Enhanced configuration. The deck lists</w:t>
      </w:r>
      <w:r>
        <w:t xml:space="preserve"> </w:t>
      </w:r>
      <w:r>
        <w:t xml:space="preserve">“</w:t>
      </w:r>
      <w:r>
        <w:t xml:space="preserve">AquaMonitor v3.2 on-site monitoring</w:t>
      </w:r>
      <w:r>
        <w:t xml:space="preserve">”</w:t>
      </w:r>
      <w:r>
        <w:t xml:space="preserve"> </w:t>
      </w:r>
      <w:r>
        <w:t xml:space="preserve">in the Base configuration. The Quotation Template describes Base as having a</w:t>
      </w:r>
      <w:r>
        <w:t xml:space="preserve"> </w:t>
      </w:r>
      <w:r>
        <w:t xml:space="preserve">“</w:t>
      </w:r>
      <w:r>
        <w:t xml:space="preserve">standard control panel with on-unit diagnostics</w:t>
      </w:r>
      <w:r>
        <w:t xml:space="preserve">”</w:t>
      </w:r>
      <w:r>
        <w:t xml:space="preserve"> </w:t>
      </w:r>
      <w:r>
        <w:t xml:space="preserve">only. The deck also says municipal units serve populations of</w:t>
      </w:r>
      <w:r>
        <w:t xml:space="preserve"> </w:t>
      </w:r>
      <w:r>
        <w:t xml:space="preserve">“</w:t>
      </w:r>
      <w:r>
        <w:t xml:space="preserve">10,000 to 250,000,</w:t>
      </w:r>
      <w:r>
        <w:t xml:space="preserve">”</w:t>
      </w:r>
      <w:r>
        <w:t xml:space="preserve"> </w:t>
      </w:r>
      <w:r>
        <w:t xml:space="preserve">while the brochure says</w:t>
      </w:r>
      <w:r>
        <w:t xml:space="preserve"> </w:t>
      </w:r>
      <w:r>
        <w:t xml:space="preserve">“</w:t>
      </w:r>
      <w:r>
        <w:t xml:space="preserve">10,000 or 500,000.</w:t>
      </w:r>
      <w:r>
        <w:t xml:space="preserve">”</w:t>
      </w:r>
      <w:r>
        <w:t xml:space="preserve"> </w:t>
      </w:r>
      <w:r>
        <w:t xml:space="preserve">Descriptions of goods are themselves express warranties under § 2-313(1)(b), so these inconsistencies create warranty ambiguity that will be read against CIT as drafter.</w:t>
      </w:r>
    </w:p>
    <w:bookmarkEnd w:id="23"/>
    <w:bookmarkStart w:id="24" w:name="X7c110129fe0ad8c2f1feaf18a002f87b346ceb3"/>
    <w:p>
      <w:pPr>
        <w:pStyle w:val="Heading3"/>
      </w:pPr>
      <w:r>
        <w:t xml:space="preserve">C. The claims record (FY2022–FY2024, legacy AquaPure 5000/7000)</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jc w:val="left"/>
            </w:pPr>
            <w:r>
              <w:rPr>
                <w:b/>
              </w:rPr>
              <w:t xml:space="preserve">Metric</w:t>
            </w:r>
          </w:p>
        </w:tc>
        <w:tc>
          <w:tcPr/>
          <w:p>
            <w:pPr>
              <w:pStyle w:val="Compact"/>
              <w:jc w:val="left"/>
            </w:pPr>
            <w:r>
              <w:rPr>
                <w:b/>
              </w:rPr>
              <w:t xml:space="preserve">FY2022</w:t>
            </w:r>
          </w:p>
        </w:tc>
        <w:tc>
          <w:tcPr/>
          <w:p>
            <w:pPr>
              <w:pStyle w:val="Compact"/>
              <w:jc w:val="left"/>
            </w:pPr>
            <w:r>
              <w:rPr>
                <w:b/>
              </w:rPr>
              <w:t xml:space="preserve">FY2023</w:t>
            </w:r>
          </w:p>
        </w:tc>
        <w:tc>
          <w:tcPr/>
          <w:p>
            <w:pPr>
              <w:pStyle w:val="Compact"/>
              <w:jc w:val="left"/>
            </w:pPr>
            <w:r>
              <w:rPr>
                <w:b/>
              </w:rPr>
              <w:t xml:space="preserve">FY2024</w:t>
            </w:r>
          </w:p>
        </w:tc>
        <w:tc>
          <w:tcPr/>
          <w:p>
            <w:pPr>
              <w:pStyle w:val="Compact"/>
              <w:jc w:val="left"/>
            </w:pPr>
            <w:r>
              <w:rPr>
                <w:b/>
              </w:rPr>
              <w:t xml:space="preserve">Change</w:t>
            </w:r>
          </w:p>
        </w:tc>
      </w:tr>
      <w:tr>
        <w:tc>
          <w:tcPr/>
          <w:p>
            <w:pPr>
              <w:pStyle w:val="Compact"/>
              <w:jc w:val="left"/>
            </w:pPr>
            <w:r>
              <w:t xml:space="preserve">Claims filed</w:t>
            </w:r>
          </w:p>
        </w:tc>
        <w:tc>
          <w:tcPr/>
          <w:p>
            <w:pPr>
              <w:pStyle w:val="Compact"/>
              <w:jc w:val="left"/>
            </w:pPr>
            <w:r>
              <w:t xml:space="preserve">47</w:t>
            </w:r>
          </w:p>
        </w:tc>
        <w:tc>
          <w:tcPr/>
          <w:p>
            <w:pPr>
              <w:pStyle w:val="Compact"/>
              <w:jc w:val="left"/>
            </w:pPr>
            <w:r>
              <w:t xml:space="preserve">62</w:t>
            </w:r>
          </w:p>
        </w:tc>
        <w:tc>
          <w:tcPr/>
          <w:p>
            <w:pPr>
              <w:pStyle w:val="Compact"/>
              <w:jc w:val="left"/>
            </w:pPr>
            <w:r>
              <w:t xml:space="preserve">71</w:t>
            </w:r>
          </w:p>
        </w:tc>
        <w:tc>
          <w:tcPr/>
          <w:p>
            <w:pPr>
              <w:pStyle w:val="Compact"/>
              <w:jc w:val="left"/>
            </w:pPr>
            <w:r>
              <w:t xml:space="preserve">+51% (CAGR 22.9%)</w:t>
            </w:r>
          </w:p>
        </w:tc>
      </w:tr>
      <w:tr>
        <w:tc>
          <w:tcPr/>
          <w:p>
            <w:pPr>
              <w:pStyle w:val="Compact"/>
              <w:jc w:val="left"/>
            </w:pPr>
            <w:r>
              <w:t xml:space="preserve">Repair/replacement cost</w:t>
            </w:r>
          </w:p>
        </w:tc>
        <w:tc>
          <w:tcPr/>
          <w:p>
            <w:pPr>
              <w:pStyle w:val="Compact"/>
              <w:jc w:val="left"/>
            </w:pPr>
            <w:r>
              <w:t xml:space="preserve">$1.34M</w:t>
            </w:r>
          </w:p>
        </w:tc>
        <w:tc>
          <w:tcPr/>
          <w:p>
            <w:pPr>
              <w:pStyle w:val="Compact"/>
              <w:jc w:val="left"/>
            </w:pPr>
            <w:r>
              <w:t xml:space="preserve">$1.87M</w:t>
            </w:r>
          </w:p>
        </w:tc>
        <w:tc>
          <w:tcPr/>
          <w:p>
            <w:pPr>
              <w:pStyle w:val="Compact"/>
              <w:jc w:val="left"/>
            </w:pPr>
            <w:r>
              <w:t xml:space="preserve">$2.21M</w:t>
            </w:r>
          </w:p>
        </w:tc>
        <w:tc>
          <w:tcPr/>
          <w:p>
            <w:pPr>
              <w:pStyle w:val="Compact"/>
              <w:jc w:val="left"/>
            </w:pPr>
            <w:r>
              <w:t xml:space="preserve">+65%</w:t>
            </w:r>
          </w:p>
        </w:tc>
      </w:tr>
      <w:tr>
        <w:tc>
          <w:tcPr/>
          <w:p>
            <w:pPr>
              <w:pStyle w:val="Compact"/>
              <w:jc w:val="left"/>
            </w:pPr>
            <w:r>
              <w:t xml:space="preserve">Consequential-damages settlements</w:t>
            </w:r>
          </w:p>
        </w:tc>
        <w:tc>
          <w:tcPr/>
          <w:p>
            <w:pPr>
              <w:pStyle w:val="Compact"/>
              <w:jc w:val="left"/>
            </w:pPr>
            <w:r>
              <w:t xml:space="preserve">$0</w:t>
            </w:r>
          </w:p>
        </w:tc>
        <w:tc>
          <w:tcPr/>
          <w:p>
            <w:pPr>
              <w:pStyle w:val="Compact"/>
              <w:jc w:val="left"/>
            </w:pPr>
            <w:r>
              <w:t xml:space="preserve">$0</w:t>
            </w:r>
          </w:p>
        </w:tc>
        <w:tc>
          <w:tcPr/>
          <w:p>
            <w:pPr>
              <w:pStyle w:val="Compact"/>
              <w:jc w:val="left"/>
            </w:pPr>
            <w:r>
              <w:t xml:space="preserve">$680,000</w:t>
            </w:r>
          </w:p>
        </w:tc>
        <w:tc>
          <w:tcPr/>
          <w:p>
            <w:pPr>
              <w:pStyle w:val="Compact"/>
              <w:jc w:val="left"/>
            </w:pPr>
            <w:r>
              <w:t xml:space="preserve">new</w:t>
            </w:r>
          </w:p>
        </w:tc>
      </w:tr>
      <w:tr>
        <w:tc>
          <w:tcPr/>
          <w:p>
            <w:pPr>
              <w:pStyle w:val="Compact"/>
              <w:jc w:val="left"/>
            </w:pPr>
            <w:r>
              <w:t xml:space="preserve">Total warranty expense</w:t>
            </w:r>
          </w:p>
        </w:tc>
        <w:tc>
          <w:tcPr/>
          <w:p>
            <w:pPr>
              <w:pStyle w:val="Compact"/>
              <w:jc w:val="left"/>
            </w:pPr>
            <w:r>
              <w:t xml:space="preserve">$1.34M</w:t>
            </w:r>
          </w:p>
        </w:tc>
        <w:tc>
          <w:tcPr/>
          <w:p>
            <w:pPr>
              <w:pStyle w:val="Compact"/>
              <w:jc w:val="left"/>
            </w:pPr>
            <w:r>
              <w:t xml:space="preserve">$1.87M</w:t>
            </w:r>
          </w:p>
        </w:tc>
        <w:tc>
          <w:tcPr/>
          <w:p>
            <w:pPr>
              <w:pStyle w:val="Compact"/>
              <w:jc w:val="left"/>
            </w:pPr>
            <w:r>
              <w:t xml:space="preserve">$2.89M</w:t>
            </w:r>
          </w:p>
        </w:tc>
        <w:tc>
          <w:tcPr/>
          <w:p>
            <w:pPr>
              <w:pStyle w:val="Compact"/>
              <w:jc w:val="left"/>
            </w:pPr>
            <w:r>
              <w:rPr>
                <w:b/>
                <w:bCs/>
              </w:rPr>
              <w:t xml:space="preserve">+116%</w:t>
            </w:r>
          </w:p>
        </w:tc>
      </w:tr>
      <w:tr>
        <w:tc>
          <w:tcPr/>
          <w:p>
            <w:pPr>
              <w:pStyle w:val="Compact"/>
              <w:jc w:val="left"/>
            </w:pPr>
            <w:r>
              <w:t xml:space="preserve">AquaPure 7000 claims (closest analog to Max 9000)</w:t>
            </w:r>
          </w:p>
        </w:tc>
        <w:tc>
          <w:tcPr/>
          <w:p>
            <w:pPr>
              <w:pStyle w:val="Compact"/>
              <w:jc w:val="left"/>
            </w:pPr>
            <w:r>
              <w:t xml:space="preserve">18</w:t>
            </w:r>
          </w:p>
        </w:tc>
        <w:tc>
          <w:tcPr/>
          <w:p>
            <w:pPr>
              <w:pStyle w:val="Compact"/>
              <w:jc w:val="left"/>
            </w:pPr>
            <w:r>
              <w:t xml:space="preserve">28</w:t>
            </w:r>
          </w:p>
        </w:tc>
        <w:tc>
          <w:tcPr/>
          <w:p>
            <w:pPr>
              <w:pStyle w:val="Compact"/>
              <w:jc w:val="left"/>
            </w:pPr>
            <w:r>
              <w:t xml:space="preserve">36</w:t>
            </w:r>
          </w:p>
        </w:tc>
        <w:tc>
          <w:tcPr/>
          <w:p>
            <w:pPr>
              <w:pStyle w:val="Compact"/>
              <w:jc w:val="left"/>
            </w:pPr>
            <w:r>
              <w:t xml:space="preserve">+100%</w:t>
            </w:r>
          </w:p>
        </w:tc>
      </w:tr>
      <w:tr>
        <w:tc>
          <w:tcPr/>
          <w:p>
            <w:pPr>
              <w:pStyle w:val="Compact"/>
              <w:jc w:val="left"/>
            </w:pPr>
            <w:r>
              <w:t xml:space="preserve">Full-unit replacements</w:t>
            </w:r>
          </w:p>
        </w:tc>
        <w:tc>
          <w:tcPr/>
          <w:p>
            <w:pPr>
              <w:pStyle w:val="Compact"/>
              <w:jc w:val="left"/>
            </w:pPr>
            <w:r>
              <w:t xml:space="preserve">2</w:t>
            </w:r>
          </w:p>
        </w:tc>
        <w:tc>
          <w:tcPr/>
          <w:p>
            <w:pPr>
              <w:pStyle w:val="Compact"/>
              <w:jc w:val="left"/>
            </w:pPr>
            <w:r>
              <w:t xml:space="preserve">5</w:t>
            </w:r>
          </w:p>
        </w:tc>
        <w:tc>
          <w:tcPr/>
          <w:p>
            <w:pPr>
              <w:pStyle w:val="Compact"/>
              <w:jc w:val="left"/>
            </w:pPr>
            <w:r>
              <w:t xml:space="preserve">8</w:t>
            </w:r>
          </w:p>
        </w:tc>
        <w:tc>
          <w:tcPr/>
          <w:p>
            <w:pPr>
              <w:pStyle w:val="Compact"/>
              <w:jc w:val="left"/>
            </w:pPr>
            <w:r>
              <w:t xml:space="preserve">+300%</w:t>
            </w:r>
          </w:p>
        </w:tc>
      </w:tr>
      <w:tr>
        <w:tc>
          <w:tcPr/>
          <w:p>
            <w:pPr>
              <w:pStyle w:val="Compact"/>
              <w:jc w:val="left"/>
            </w:pPr>
            <w:r>
              <w:t xml:space="preserve">Avg. days to resolution</w:t>
            </w:r>
          </w:p>
        </w:tc>
        <w:tc>
          <w:tcPr/>
          <w:p>
            <w:pPr>
              <w:pStyle w:val="Compact"/>
              <w:jc w:val="left"/>
            </w:pPr>
            <w:r>
              <w:t xml:space="preserve">~28</w:t>
            </w:r>
          </w:p>
        </w:tc>
        <w:tc>
          <w:tcPr/>
          <w:p>
            <w:pPr>
              <w:pStyle w:val="Compact"/>
              <w:jc w:val="left"/>
            </w:pPr>
            <w:r>
              <w:t xml:space="preserve">~35</w:t>
            </w:r>
          </w:p>
        </w:tc>
        <w:tc>
          <w:tcPr/>
          <w:p>
            <w:pPr>
              <w:pStyle w:val="Compact"/>
              <w:jc w:val="left"/>
            </w:pPr>
            <w:r>
              <w:t xml:space="preserve">~47</w:t>
            </w:r>
          </w:p>
        </w:tc>
        <w:tc>
          <w:tcPr/>
          <w:p>
            <w:pPr>
              <w:pStyle w:val="Compact"/>
              <w:jc w:val="left"/>
            </w:pPr>
            <w:r>
              <w:t xml:space="preserve">+68%</w:t>
            </w:r>
          </w:p>
        </w:tc>
      </w:tr>
      <w:tr>
        <w:tc>
          <w:tcPr/>
          <w:p>
            <w:pPr>
              <w:pStyle w:val="Compact"/>
              <w:jc w:val="left"/>
            </w:pPr>
            <w:r>
              <w:t xml:space="preserve">Performance-specification disputes (share of claims)</w:t>
            </w:r>
          </w:p>
        </w:tc>
        <w:tc>
          <w:tcPr/>
          <w:p>
            <w:pPr>
              <w:pStyle w:val="Compact"/>
              <w:jc w:val="left"/>
            </w:pPr>
            <w:r>
              <w:t xml:space="preserve">1 (2%)</w:t>
            </w:r>
          </w:p>
        </w:tc>
        <w:tc>
          <w:tcPr/>
          <w:p>
            <w:pPr>
              <w:pStyle w:val="Compact"/>
              <w:jc w:val="left"/>
            </w:pPr>
            <w:r>
              <w:t xml:space="preserve">3 (5%)</w:t>
            </w:r>
          </w:p>
        </w:tc>
        <w:tc>
          <w:tcPr/>
          <w:p>
            <w:pPr>
              <w:pStyle w:val="Compact"/>
              <w:jc w:val="left"/>
            </w:pPr>
            <w:r>
              <w:t xml:space="preserve">8 (11%)</w:t>
            </w:r>
          </w:p>
        </w:tc>
        <w:tc>
          <w:tcPr/>
          <w:p>
            <w:pPr>
              <w:pStyle w:val="Compact"/>
              <w:jc w:val="left"/>
            </w:pPr>
            <w:r>
              <w:t xml:space="preserve">5.5x</w:t>
            </w:r>
          </w:p>
        </w:tc>
      </w:tr>
    </w:tbl>
    <w:p>
      <w:pPr>
        <w:pStyle w:val="BodyText"/>
      </w:pPr>
      <w:r>
        <w:t xml:space="preserve">Note that the Stoneridge letter’s</w:t>
      </w:r>
      <w:r>
        <w:t xml:space="preserve"> </w:t>
      </w:r>
      <w:r>
        <w:t xml:space="preserve">“</w:t>
      </w:r>
      <w:r>
        <w:t xml:space="preserve">65% increase in costs</w:t>
      </w:r>
      <w:r>
        <w:t xml:space="preserve">”</w:t>
      </w:r>
      <w:r>
        <w:t xml:space="preserve"> </w:t>
      </w:r>
      <w:r>
        <w:t xml:space="preserve">counts repair and replacement only. Once the FY2024 settlements are included, total warranty expense more than doubled.</w:t>
      </w:r>
    </w:p>
    <w:p>
      <w:pPr>
        <w:pStyle w:val="BodyText"/>
      </w:pPr>
      <w:r>
        <w:rPr>
          <w:b/>
          <w:bCs/>
        </w:rPr>
        <w:t xml:space="preserve">Key claims:</w:t>
      </w:r>
    </w:p>
    <w:p>
      <w:pPr>
        <w:pStyle w:val="Compact"/>
        <w:numPr>
          <w:ilvl w:val="0"/>
          <w:numId w:val="1005"/>
        </w:numPr>
      </w:pPr>
      <w:r>
        <w:rPr>
          <w:b/>
          <w:bCs/>
        </w:rPr>
        <w:t xml:space="preserve">WC-2024-022 (Meridian Pharmaceutical, NJ):</w:t>
      </w:r>
      <w:r>
        <w:t xml:space="preserve"> </w:t>
      </w:r>
      <w:r>
        <w:t xml:space="preserve">$145,000 consequential settlement. Claimant argued failure of essential purpose because repair was not timely (136 days).</w:t>
      </w:r>
    </w:p>
    <w:p>
      <w:pPr>
        <w:pStyle w:val="Compact"/>
        <w:numPr>
          <w:ilvl w:val="0"/>
          <w:numId w:val="1005"/>
        </w:numPr>
      </w:pPr>
      <w:r>
        <w:rPr>
          <w:b/>
          <w:bCs/>
        </w:rPr>
        <w:t xml:space="preserve">WC-2024-039 (Cascade Bottling Works, WA):</w:t>
      </w:r>
      <w:r>
        <w:t xml:space="preserve"> </w:t>
      </w:r>
      <w:r>
        <w:t xml:space="preserve">$535,000 consequential settlement on an $890,000 demand after a pressure-vessel weld failure. This is the largest claim in CIT history.</w:t>
      </w:r>
    </w:p>
    <w:p>
      <w:pPr>
        <w:pStyle w:val="Compact"/>
        <w:numPr>
          <w:ilvl w:val="0"/>
          <w:numId w:val="1005"/>
        </w:numPr>
      </w:pPr>
      <w:r>
        <w:rPr>
          <w:b/>
          <w:bCs/>
        </w:rPr>
        <w:t xml:space="preserve">WC-2024-063 (Redmond Beverage Distributors, MO):</w:t>
      </w:r>
      <w:r>
        <w:t xml:space="preserve"> </w:t>
      </w:r>
      <w:r>
        <w:t xml:space="preserve">in litigation, Greene County Circuit Court. $1.2M claimed. Redmond’s theory: the sales-presentation specification of 99.5% is an express warranty, the remedy failed of its essential purpose, and the consequential-damages exclusion falls with it. Estimated exposure $150,000 (low), $475,000 (mid), $1.4M (high). Coverage is uncertain. Discovery begins March 2025.</w:t>
      </w:r>
    </w:p>
    <w:p>
      <w:pPr>
        <w:pStyle w:val="FirstParagraph"/>
      </w:pPr>
      <w:r>
        <w:rPr>
          <w:b/>
          <w:bCs/>
        </w:rPr>
        <w:t xml:space="preserve">Sensor and software false-reading history:</w:t>
      </w:r>
    </w:p>
    <w:p>
      <w:pPr>
        <w:pStyle w:val="Compact"/>
        <w:numPr>
          <w:ilvl w:val="0"/>
          <w:numId w:val="1006"/>
        </w:numPr>
      </w:pPr>
      <w:r>
        <w:t xml:space="preserve">WC-2022-006: turbidity sensor causing</w:t>
      </w:r>
      <w:r>
        <w:t xml:space="preserve"> </w:t>
      </w:r>
      <w:r>
        <w:t xml:space="preserve">“</w:t>
      </w:r>
      <w:r>
        <w:t xml:space="preserve">false compliance readings.</w:t>
      </w:r>
      <w:r>
        <w:t xml:space="preserve">”</w:t>
      </w:r>
    </w:p>
    <w:p>
      <w:pPr>
        <w:pStyle w:val="Compact"/>
        <w:numPr>
          <w:ilvl w:val="0"/>
          <w:numId w:val="1006"/>
        </w:numPr>
      </w:pPr>
      <w:r>
        <w:t xml:space="preserve">WC-2023-021: municipal customer produced out-of-limit water for 5 days.</w:t>
      </w:r>
    </w:p>
    <w:p>
      <w:pPr>
        <w:pStyle w:val="Compact"/>
        <w:numPr>
          <w:ilvl w:val="0"/>
          <w:numId w:val="1006"/>
        </w:numPr>
      </w:pPr>
      <w:r>
        <w:t xml:space="preserve">WC-2024-056: endotoxin monitor</w:t>
      </w:r>
      <w:r>
        <w:t xml:space="preserve"> </w:t>
      </w:r>
      <w:r>
        <w:t xml:space="preserve">“</w:t>
      </w:r>
      <w:r>
        <w:t xml:space="preserve">false negative.</w:t>
      </w:r>
      <w:r>
        <w:t xml:space="preserve">”</w:t>
      </w:r>
    </w:p>
    <w:p>
      <w:pPr>
        <w:pStyle w:val="Compact"/>
        <w:numPr>
          <w:ilvl w:val="0"/>
          <w:numId w:val="1006"/>
        </w:numPr>
      </w:pPr>
      <w:r>
        <w:t xml:space="preserve">WC-2024-071 (Summit Ridge, NV, open): customer cannot verify purity and is on backup supply.</w:t>
      </w:r>
    </w:p>
    <w:p>
      <w:pPr>
        <w:pStyle w:val="FirstParagraph"/>
      </w:pPr>
      <w:r>
        <w:rPr>
          <w:b/>
          <w:bCs/>
        </w:rPr>
        <w:t xml:space="preserve">Recurring manufacturing defect.</w:t>
      </w:r>
      <w:r>
        <w:t xml:space="preserve"> </w:t>
      </w:r>
      <w:r>
        <w:t xml:space="preserve">There have been six pressure-vessel structural failures, and a manufacturing investigation has been escalated.</w:t>
      </w:r>
    </w:p>
    <w:p>
      <w:pPr>
        <w:pStyle w:val="BodyText"/>
      </w:pPr>
      <w:r>
        <w:rPr>
          <w:b/>
          <w:bCs/>
        </w:rPr>
        <w:t xml:space="preserve">Parts availability.</w:t>
      </w:r>
      <w:r>
        <w:t xml:space="preserve"> </w:t>
      </w:r>
      <w:r>
        <w:t xml:space="preserve">WC-2024-069 is on an 8-week pump backorder, with the unit running at about 65% capacity.</w:t>
      </w:r>
    </w:p>
    <w:p>
      <w:r>
        <w:pict>
          <v:rect style="width:0;height:1.5pt" o:hralign="center" o:hrstd="t" o:hr="t"/>
        </w:pict>
      </w:r>
    </w:p>
    <w:bookmarkEnd w:id="24"/>
    <w:bookmarkEnd w:id="25"/>
    <w:bookmarkStart w:id="29" w:name="Xa0e638f90ab9ab8c3b8629fb96b1cb0ea9dd323"/>
    <w:p>
      <w:pPr>
        <w:pStyle w:val="Heading2"/>
      </w:pPr>
      <w:r>
        <w:t xml:space="preserve">IV. ISSUE 1 — COMPLIANCE OF THE CURRENT WARRANTY FRAMEWORK WITH UCC ARTICLE 2</w:t>
      </w:r>
    </w:p>
    <w:bookmarkStart w:id="26" w:name="a.-question-presented"/>
    <w:p>
      <w:pPr>
        <w:pStyle w:val="Heading3"/>
      </w:pPr>
      <w:r>
        <w:t xml:space="preserve">A. Question presented</w:t>
      </w:r>
    </w:p>
    <w:p>
      <w:pPr>
        <w:pStyle w:val="FirstParagraph"/>
      </w:pPr>
      <w:r>
        <w:t xml:space="preserve">Does the SLW effectively (i) exclude the implied warranties of merchantability and fitness, (ii) limit the buyer to repair or replacement, and (iii) exclude consequential damages and cap liability, for a Max 9000 sale?</w:t>
      </w:r>
    </w:p>
    <w:bookmarkEnd w:id="26"/>
    <w:bookmarkStart w:id="27" w:name="b.-short-answer"/>
    <w:p>
      <w:pPr>
        <w:pStyle w:val="Heading3"/>
      </w:pPr>
      <w:r>
        <w:t xml:space="preserve">B. Short answer</w:t>
      </w:r>
    </w:p>
    <w:p>
      <w:pPr>
        <w:pStyle w:val="FirstParagraph"/>
      </w:pPr>
      <w:r>
        <w:t xml:space="preserve">On paper, the SLW’s language is largely adequate. It is also better than the version BSK described. In practice it is</w:t>
      </w:r>
      <w:r>
        <w:t xml:space="preserve"> </w:t>
      </w:r>
      <w:r>
        <w:rPr>
          <w:b/>
          <w:bCs/>
        </w:rPr>
        <w:t xml:space="preserve">unlikely to be enforced as written in a Max 9000 sale</w:t>
      </w:r>
      <w:r>
        <w:t xml:space="preserve">, for three reasons, listed in order of importance:</w:t>
      </w:r>
    </w:p>
    <w:p>
      <w:pPr>
        <w:pStyle w:val="Compact"/>
        <w:numPr>
          <w:ilvl w:val="0"/>
          <w:numId w:val="1007"/>
        </w:numPr>
      </w:pPr>
    </w:p>
    <w:p>
      <w:pPr>
        <w:pStyle w:val="Compact"/>
        <w:numPr>
          <w:ilvl w:val="1"/>
          <w:numId w:val="1008"/>
        </w:numPr>
      </w:pPr>
      <w:r>
        <w:t xml:space="preserve">It is not presented before the contract is formed, so it probably never becomes part of the contract.</w:t>
      </w:r>
    </w:p>
    <w:p>
      <w:pPr>
        <w:pStyle w:val="Compact"/>
        <w:numPr>
          <w:ilvl w:val="0"/>
          <w:numId w:val="1007"/>
        </w:numPr>
      </w:pPr>
    </w:p>
    <w:p>
      <w:pPr>
        <w:pStyle w:val="Compact"/>
        <w:numPr>
          <w:ilvl w:val="1"/>
          <w:numId w:val="1009"/>
        </w:numPr>
      </w:pPr>
      <w:r>
        <w:t xml:space="preserve">It is inconsistent with the express performance warranties, and § 2-316(1) resolves that conflict in the buyer’s favor.</w:t>
      </w:r>
    </w:p>
    <w:p>
      <w:pPr>
        <w:pStyle w:val="Compact"/>
        <w:numPr>
          <w:ilvl w:val="0"/>
          <w:numId w:val="1007"/>
        </w:numPr>
      </w:pPr>
    </w:p>
    <w:p>
      <w:pPr>
        <w:pStyle w:val="Compact"/>
        <w:numPr>
          <w:ilvl w:val="1"/>
          <w:numId w:val="1010"/>
        </w:numPr>
      </w:pPr>
      <w:r>
        <w:t xml:space="preserve">The conspicuousness concern you raised is real but secondary. It is also</w:t>
      </w:r>
      <w:r>
        <w:t xml:space="preserve"> </w:t>
      </w:r>
      <w:r>
        <w:rPr>
          <w:i/>
          <w:iCs/>
        </w:rPr>
        <w:t xml:space="preserve">more</w:t>
      </w:r>
      <w:r>
        <w:t xml:space="preserve"> </w:t>
      </w:r>
      <w:r>
        <w:t xml:space="preserve">serious in Texas than elsewhere.</w:t>
      </w:r>
    </w:p>
    <w:bookmarkEnd w:id="27"/>
    <w:bookmarkStart w:id="28" w:name="c.-analysis"/>
    <w:p>
      <w:pPr>
        <w:pStyle w:val="Heading3"/>
      </w:pPr>
      <w:r>
        <w:t xml:space="preserve">C. Analysis</w:t>
      </w:r>
    </w:p>
    <w:p>
      <w:pPr>
        <w:pStyle w:val="FirstParagraph"/>
      </w:pPr>
      <w:r>
        <w:rPr>
          <w:b/>
          <w:bCs/>
        </w:rPr>
        <w:t xml:space="preserve">1. Requirements for an effective disclaimer (§ 2-316(2)–(3)).</w:t>
      </w:r>
      <w:r>
        <w:t xml:space="preserve"> </w:t>
      </w:r>
      <w:r>
        <w:t xml:space="preserve">To exclude merchantability, the language must mention</w:t>
      </w:r>
      <w:r>
        <w:t xml:space="preserve"> </w:t>
      </w:r>
      <w:r>
        <w:t xml:space="preserve">“</w:t>
      </w:r>
      <w:r>
        <w:t xml:space="preserve">merchantability</w:t>
      </w:r>
      <w:r>
        <w:t xml:space="preserve">”</w:t>
      </w:r>
      <w:r>
        <w:t xml:space="preserve"> </w:t>
      </w:r>
      <w:r>
        <w:t xml:space="preserve">and, if in writing, be conspicuous. To exclude fitness for a particular purpose, the exclusion must be in writing and conspicuous. SLW § 5 meets the</w:t>
      </w:r>
      <w:r>
        <w:t xml:space="preserve"> </w:t>
      </w:r>
      <w:r>
        <w:rPr>
          <w:i/>
          <w:iCs/>
        </w:rPr>
        <w:t xml:space="preserve">content</w:t>
      </w:r>
      <w:r>
        <w:t xml:space="preserve"> </w:t>
      </w:r>
      <w:r>
        <w:t xml:space="preserve">requirements: it names both warranties, cites §§ 2-314 and 2-315, and also disclaims course-of-dealing and usage-of-trade warranties.</w:t>
      </w:r>
    </w:p>
    <w:p>
      <w:pPr>
        <w:pStyle w:val="BodyText"/>
      </w:pPr>
      <w:r>
        <w:rPr>
          <w:b/>
          <w:bCs/>
        </w:rPr>
        <w:t xml:space="preserve">2. Conspicuousness (§ 1-201(b)(10)).</w:t>
      </w:r>
      <w:r>
        <w:t xml:space="preserve"> </w:t>
      </w:r>
      <w:r>
        <w:t xml:space="preserve">A term is conspicuous if</w:t>
      </w:r>
      <w:r>
        <w:t xml:space="preserve"> </w:t>
      </w:r>
      <w:r>
        <w:t xml:space="preserve">“</w:t>
      </w:r>
      <w:r>
        <w:t xml:space="preserve">a reasonable person against which it is to operate ought to have noticed it.</w:t>
      </w:r>
      <w:r>
        <w:t xml:space="preserve">”</w:t>
      </w:r>
      <w:r>
        <w:t xml:space="preserve"> </w:t>
      </w:r>
      <w:r>
        <w:t xml:space="preserve">Whether it is conspicuous is a question of law for the court. The statute gives safe-harbor examples: a heading in capitals, or body text in larger or contrasting type, font, or color, or set off by symbols or marks. Working through our document:</w:t>
      </w:r>
    </w:p>
    <w:p>
      <w:pPr>
        <w:pStyle w:val="Compact"/>
        <w:numPr>
          <w:ilvl w:val="0"/>
          <w:numId w:val="1011"/>
        </w:numPr>
      </w:pPr>
      <w:r>
        <w:rPr>
          <w:i/>
          <w:iCs/>
        </w:rPr>
        <w:t xml:space="preserve">In CIT’s favor:</w:t>
      </w:r>
      <w:r>
        <w:t xml:space="preserve"> </w:t>
      </w:r>
      <w:r>
        <w:t xml:space="preserve">the disclaimer sits under a bold, underlined heading,</w:t>
      </w:r>
      <w:r>
        <w:t xml:space="preserve"> </w:t>
      </w:r>
      <w:r>
        <w:t xml:space="preserve">“</w:t>
      </w:r>
      <w:r>
        <w:t xml:space="preserve">SECTION 5: DISCLAIMER OF WARRANTIES,</w:t>
      </w:r>
      <w:r>
        <w:t xml:space="preserve">”</w:t>
      </w:r>
      <w:r>
        <w:t xml:space="preserve"> </w:t>
      </w:r>
      <w:r>
        <w:t xml:space="preserve">and the body is in all capitals. Many courts treat a capitalized, labeled paragraph as conspicuous, especially between merchants.</w:t>
      </w:r>
    </w:p>
    <w:p>
      <w:pPr>
        <w:pStyle w:val="Compact"/>
        <w:numPr>
          <w:ilvl w:val="0"/>
          <w:numId w:val="1011"/>
        </w:numPr>
      </w:pPr>
      <w:r>
        <w:rPr>
          <w:i/>
          <w:iCs/>
        </w:rPr>
        <w:t xml:space="preserve">Against CIT:</w:t>
      </w:r>
      <w:r>
        <w:t xml:space="preserve"> </w:t>
      </w:r>
      <w:r>
        <w:t xml:space="preserve">per your description, the disclaimer is in the same font and size as the surrounding text. The warranty</w:t>
      </w:r>
      <w:r>
        <w:t xml:space="preserve"> </w:t>
      </w:r>
      <w:r>
        <w:rPr>
          <w:i/>
          <w:iCs/>
        </w:rPr>
        <w:t xml:space="preserve">also</w:t>
      </w:r>
      <w:r>
        <w:t xml:space="preserve"> </w:t>
      </w:r>
      <w:r>
        <w:t xml:space="preserve">sets § 6 in all capitals, so capitals do not distinguish the disclaimer from other text. The document is multi-page, uniform, and received after delivery, often by operations staff rather than the purchasing decision-maker.</w:t>
      </w:r>
    </w:p>
    <w:p>
      <w:pPr>
        <w:pStyle w:val="Compact"/>
        <w:numPr>
          <w:ilvl w:val="0"/>
          <w:numId w:val="1011"/>
        </w:numPr>
      </w:pPr>
      <w:r>
        <w:rPr>
          <w:i/>
          <w:iCs/>
        </w:rPr>
        <w:t xml:space="preserve">Texas specifically:</w:t>
      </w:r>
      <w:r>
        <w:t xml:space="preserve"> </w:t>
      </w:r>
      <w:r>
        <w:t xml:space="preserve">in</w:t>
      </w:r>
      <w:r>
        <w:t xml:space="preserve"> </w:t>
      </w:r>
      <w:r>
        <w:rPr>
          <w:i/>
          <w:iCs/>
        </w:rPr>
        <w:t xml:space="preserve">Cate v. Dover Corp.</w:t>
      </w:r>
      <w:r>
        <w:t xml:space="preserve">, 790 S.W.2d 559 (Tex. 1990), the Texas Supreme Court held a disclaimer not conspicuous where it was printed in the same typeface and size as the surrounding text and was not set apart. The Court also held that a buyer’s</w:t>
      </w:r>
      <w:r>
        <w:t xml:space="preserve"> </w:t>
      </w:r>
      <w:r>
        <w:rPr>
          <w:i/>
          <w:iCs/>
        </w:rPr>
        <w:t xml:space="preserve">actual knowledge</w:t>
      </w:r>
      <w:r>
        <w:t xml:space="preserve"> </w:t>
      </w:r>
      <w:r>
        <w:t xml:space="preserve">of the disclaimer can cure a lack of conspicuousness. That second point is precisely what a signed pre-sale acknowledgment establishes. For the Triton transaction, the current formatting is a material weakness.</w:t>
      </w:r>
    </w:p>
    <w:p>
      <w:pPr>
        <w:pStyle w:val="Compact"/>
        <w:numPr>
          <w:ilvl w:val="0"/>
          <w:numId w:val="1011"/>
        </w:numPr>
      </w:pPr>
      <w:r>
        <w:rPr>
          <w:i/>
          <w:iCs/>
        </w:rPr>
        <w:t xml:space="preserve">The price-point factor you identified:</w:t>
      </w:r>
      <w:r>
        <w:t xml:space="preserve"> </w:t>
      </w:r>
      <w:r>
        <w:t xml:space="preserve">the test is objective, but courts do look at context. A $475,000 negotiated purchase built around a</w:t>
      </w:r>
      <w:r>
        <w:t xml:space="preserve"> </w:t>
      </w:r>
      <w:r>
        <w:t xml:space="preserve">“</w:t>
      </w:r>
      <w:r>
        <w:t xml:space="preserve">guarantee</w:t>
      </w:r>
      <w:r>
        <w:t xml:space="preserve">”</w:t>
      </w:r>
      <w:r>
        <w:t xml:space="preserve"> </w:t>
      </w:r>
      <w:r>
        <w:t xml:space="preserve">is exactly the setting in which a court will ask whether a reasonable buyer ought to have noticed that the guarantee was being taken away in the fine print.</w:t>
      </w:r>
    </w:p>
    <w:p>
      <w:pPr>
        <w:pStyle w:val="FirstParagraph"/>
      </w:pPr>
      <w:r>
        <w:rPr>
          <w:i/>
          <w:iCs/>
        </w:rPr>
        <w:t xml:space="preserve">Conclusion:</w:t>
      </w:r>
      <w:r>
        <w:t xml:space="preserve"> </w:t>
      </w:r>
      <w:r>
        <w:t xml:space="preserve">your concern is well founded. A court could plausibly find § 5 conspicuous. But it is a genuine litigation risk, it is acute in Texas, and it costs almost nothing to remove. BSK’s 2021 formatting recommendations should be implemented now: bold, larger type, a bordered or shaded box, a stand-alone</w:t>
      </w:r>
      <w:r>
        <w:t xml:space="preserve"> </w:t>
      </w:r>
      <w:r>
        <w:t xml:space="preserve">“</w:t>
      </w:r>
      <w:r>
        <w:t xml:space="preserve">IMPORTANT — DISCLAIMER OF WARRANTIES</w:t>
      </w:r>
      <w:r>
        <w:t xml:space="preserve">”</w:t>
      </w:r>
      <w:r>
        <w:t xml:space="preserve"> </w:t>
      </w:r>
      <w:r>
        <w:t xml:space="preserve">heading, and buyer initials. The same treatment should apply to § 4 (exclusive remedy) and § 6 (limitation of liability).</w:t>
      </w:r>
      <w:r>
        <w:t xml:space="preserve"> </w:t>
      </w:r>
      <w:r>
        <w:rPr>
          <w:b/>
          <w:bCs/>
        </w:rPr>
        <w:t xml:space="preserve">But formatting alone will not save the framework.</w:t>
      </w:r>
    </w:p>
    <w:p>
      <w:pPr>
        <w:pStyle w:val="BodyText"/>
      </w:pPr>
      <w:r>
        <w:rPr>
          <w:b/>
          <w:bCs/>
        </w:rPr>
        <w:t xml:space="preserve">3. Assent and timing: the threshold defect.</w:t>
      </w:r>
      <w:r>
        <w:t xml:space="preserve"> </w:t>
      </w:r>
      <w:r>
        <w:t xml:space="preserve">Contract terms are fixed when the contract is formed. Under CIT’s current practice, the contract forms when CIT sends its written order acknowledgment in response to the buyer’s purchase order. The SLW arrives weeks or months later, in the crate. At that point it can operate only as (a) a proposal for additional terms under § 2-207(2), or (b) a proposed modification under § 2-209. Between merchants, additional terms do not become part of the contract if they</w:t>
      </w:r>
      <w:r>
        <w:t xml:space="preserve"> </w:t>
      </w:r>
      <w:r>
        <w:t xml:space="preserve">“</w:t>
      </w:r>
      <w:r>
        <w:t xml:space="preserve">materially alter</w:t>
      </w:r>
      <w:r>
        <w:t xml:space="preserve">”</w:t>
      </w:r>
      <w:r>
        <w:t xml:space="preserve"> </w:t>
      </w:r>
      <w:r>
        <w:t xml:space="preserve">it. Official Comment 4 to § 2-207 gives, as its lead example of material alteration, a clause</w:t>
      </w:r>
      <w:r>
        <w:t xml:space="preserve"> </w:t>
      </w:r>
      <w:r>
        <w:t xml:space="preserve">“</w:t>
      </w:r>
      <w:r>
        <w:t xml:space="preserve">negating such standard warranties as that of merchantability or fitness.</w:t>
      </w:r>
      <w:r>
        <w:t xml:space="preserve">”</w:t>
      </w:r>
      <w:r>
        <w:t xml:space="preserve"> </w:t>
      </w:r>
      <w:r>
        <w:t xml:space="preserve">A modification requires assent, and here the buyer has already paid 70% and taken delivery.</w:t>
      </w:r>
    </w:p>
    <w:p>
      <w:pPr>
        <w:pStyle w:val="BodyText"/>
      </w:pPr>
      <w:r>
        <w:t xml:space="preserve">The</w:t>
      </w:r>
      <w:r>
        <w:t xml:space="preserve"> </w:t>
      </w:r>
      <w:r>
        <w:t xml:space="preserve">“</w:t>
      </w:r>
      <w:r>
        <w:t xml:space="preserve">rolling contract</w:t>
      </w:r>
      <w:r>
        <w:t xml:space="preserve">”</w:t>
      </w:r>
      <w:r>
        <w:t xml:space="preserve"> </w:t>
      </w:r>
      <w:r>
        <w:t xml:space="preserve">cases that uphold terms-in-the-box,</w:t>
      </w:r>
      <w:r>
        <w:t xml:space="preserve"> </w:t>
      </w:r>
      <w:r>
        <w:rPr>
          <w:i/>
          <w:iCs/>
        </w:rPr>
        <w:t xml:space="preserve">ProCD, Inc. v. Zeidenberg</w:t>
      </w:r>
      <w:r>
        <w:t xml:space="preserve">, 86 F.3d 1447 (7th Cir. 1996) and</w:t>
      </w:r>
      <w:r>
        <w:t xml:space="preserve"> </w:t>
      </w:r>
      <w:r>
        <w:rPr>
          <w:i/>
          <w:iCs/>
        </w:rPr>
        <w:t xml:space="preserve">Hill v. Gateway 2000, Inc.</w:t>
      </w:r>
      <w:r>
        <w:t xml:space="preserve">, 105 F.3d 1147 (7th Cir. 1997), involve consumer mass-market goods that can be returned. They are hard to extend to an 8,500-lb unit that has been custom-configured, installed, and commissioned, and no one can realistically</w:t>
      </w:r>
      <w:r>
        <w:t xml:space="preserve"> </w:t>
      </w:r>
      <w:r>
        <w:t xml:space="preserve">“</w:t>
      </w:r>
      <w:r>
        <w:t xml:space="preserve">return it if you don’t like the terms.</w:t>
      </w:r>
      <w:r>
        <w:t xml:space="preserve">”</w:t>
      </w:r>
      <w:r>
        <w:t xml:space="preserve"> </w:t>
      </w:r>
      <w:r>
        <w:t xml:space="preserve">Contrast</w:t>
      </w:r>
      <w:r>
        <w:t xml:space="preserve"> </w:t>
      </w:r>
      <w:r>
        <w:rPr>
          <w:i/>
          <w:iCs/>
        </w:rPr>
        <w:t xml:space="preserve">Step-Saver Data Systems, Inc. v. Wyse Technology</w:t>
      </w:r>
      <w:r>
        <w:t xml:space="preserve">, 939 F.2d 91 (3d Cir. 1991), which treated post-formation box-top terms as § 2-207 proposals. BSK reached the same conclusion in 2021 and called it the</w:t>
      </w:r>
      <w:r>
        <w:t xml:space="preserve"> </w:t>
      </w:r>
      <w:r>
        <w:t xml:space="preserve">“</w:t>
      </w:r>
      <w:r>
        <w:t xml:space="preserve">highest-priority</w:t>
      </w:r>
      <w:r>
        <w:t xml:space="preserve">”</w:t>
      </w:r>
      <w:r>
        <w:t xml:space="preserve"> </w:t>
      </w:r>
      <w:r>
        <w:t xml:space="preserve">issue. It has not been fixed, and the January 8 sales memo now instructs reps to</w:t>
      </w:r>
      <w:r>
        <w:t xml:space="preserve"> </w:t>
      </w:r>
      <w:r>
        <w:rPr>
          <w:i/>
          <w:iCs/>
        </w:rPr>
        <w:t xml:space="preserve">withhold</w:t>
      </w:r>
      <w:r>
        <w:t xml:space="preserve"> </w:t>
      </w:r>
      <w:r>
        <w:t xml:space="preserve">the warranty. That instruction converts an oversight into documented intent. It will support unconscionability and fraudulent-concealment arguments, and it will read badly in front of a jury.</w:t>
      </w:r>
    </w:p>
    <w:p>
      <w:pPr>
        <w:pStyle w:val="BodyText"/>
      </w:pPr>
      <w:r>
        <w:rPr>
          <w:b/>
          <w:bCs/>
        </w:rPr>
        <w:t xml:space="preserve">Consequence if the SLW drops out:</w:t>
      </w:r>
    </w:p>
    <w:p>
      <w:pPr>
        <w:pStyle w:val="Compact"/>
        <w:numPr>
          <w:ilvl w:val="0"/>
          <w:numId w:val="1012"/>
        </w:numPr>
      </w:pPr>
      <w:r>
        <w:t xml:space="preserve">The implied warranties of merchantability (§ 2-314) and fitness for purpose (§ 2-315) apply undisclaimed. The fitness warranty is especially potent here, because the sales memo tells reps to</w:t>
      </w:r>
      <w:r>
        <w:t xml:space="preserve"> </w:t>
      </w:r>
      <w:r>
        <w:t xml:space="preserve">“</w:t>
      </w:r>
      <w:r>
        <w:t xml:space="preserve">tailor performance commitments</w:t>
      </w:r>
      <w:r>
        <w:t xml:space="preserve">”</w:t>
      </w:r>
      <w:r>
        <w:t xml:space="preserve"> </w:t>
      </w:r>
      <w:r>
        <w:t xml:space="preserve">to each customer’s water challenges and regulatory needs. That is the § 2-315 fact pattern: the seller has reason to know the particular purpose, and the buyer relies on the seller’s skill.</w:t>
      </w:r>
    </w:p>
    <w:p>
      <w:pPr>
        <w:pStyle w:val="Compact"/>
        <w:numPr>
          <w:ilvl w:val="0"/>
          <w:numId w:val="1012"/>
        </w:numPr>
      </w:pPr>
      <w:r>
        <w:t xml:space="preserve">The buyer has the full Article 2 remedies (§§ 2-711 through 2-715), including incidental and consequential damages.</w:t>
      </w:r>
    </w:p>
    <w:p>
      <w:pPr>
        <w:pStyle w:val="Compact"/>
        <w:numPr>
          <w:ilvl w:val="0"/>
          <w:numId w:val="1012"/>
        </w:numPr>
      </w:pPr>
      <w:r>
        <w:t xml:space="preserve">There is no liability cap.</w:t>
      </w:r>
    </w:p>
    <w:p>
      <w:pPr>
        <w:pStyle w:val="Compact"/>
        <w:numPr>
          <w:ilvl w:val="0"/>
          <w:numId w:val="1012"/>
        </w:numPr>
      </w:pPr>
      <w:r>
        <w:t xml:space="preserve">The SLW’s integration clause (§ 7.3), Oregon choice of law (§ 7.1), and Oregon forum (§ 7.2) fall with the rest of it.</w:t>
      </w:r>
    </w:p>
    <w:p>
      <w:pPr>
        <w:pStyle w:val="FirstParagraph"/>
      </w:pPr>
      <w:r>
        <w:rPr>
          <w:b/>
          <w:bCs/>
        </w:rPr>
        <w:t xml:space="preserve">4. Parol evidence and the integration clause (§ 2-202).</w:t>
      </w:r>
      <w:r>
        <w:t xml:space="preserve"> </w:t>
      </w:r>
      <w:r>
        <w:t xml:space="preserve">Even if the SLW were part of the contract, its merger clause does less than the drafting suggests:</w:t>
      </w:r>
    </w:p>
    <w:p>
      <w:pPr>
        <w:pStyle w:val="Compact"/>
        <w:numPr>
          <w:ilvl w:val="0"/>
          <w:numId w:val="1013"/>
        </w:numPr>
      </w:pPr>
    </w:p>
    <w:p>
      <w:pPr>
        <w:pStyle w:val="Compact"/>
        <w:numPr>
          <w:ilvl w:val="1"/>
          <w:numId w:val="1014"/>
        </w:numPr>
      </w:pPr>
      <w:r>
        <w:t xml:space="preserve">The quotation letter will likely be the pre-contract document the parties actually negotiated from, and it recites the 99.97% and 98.5% specifications.</w:t>
      </w:r>
    </w:p>
    <w:p>
      <w:pPr>
        <w:pStyle w:val="Compact"/>
        <w:numPr>
          <w:ilvl w:val="0"/>
          <w:numId w:val="1013"/>
        </w:numPr>
      </w:pPr>
    </w:p>
    <w:p>
      <w:pPr>
        <w:pStyle w:val="Compact"/>
        <w:numPr>
          <w:ilvl w:val="1"/>
          <w:numId w:val="1015"/>
        </w:numPr>
      </w:pPr>
      <w:r>
        <w:t xml:space="preserve">Written specifications in the parties’ transaction documents are not</w:t>
      </w:r>
      <w:r>
        <w:t xml:space="preserve"> </w:t>
      </w:r>
      <w:r>
        <w:t xml:space="preserve">“</w:t>
      </w:r>
      <w:r>
        <w:t xml:space="preserve">prior</w:t>
      </w:r>
      <w:r>
        <w:t xml:space="preserve">”</w:t>
      </w:r>
      <w:r>
        <w:t xml:space="preserve"> </w:t>
      </w:r>
      <w:r>
        <w:t xml:space="preserve">statements that a merger clause excludes. They are part of the writings that make up the agreement.</w:t>
      </w:r>
    </w:p>
    <w:p>
      <w:pPr>
        <w:pStyle w:val="Compact"/>
        <w:numPr>
          <w:ilvl w:val="0"/>
          <w:numId w:val="1013"/>
        </w:numPr>
      </w:pPr>
    </w:p>
    <w:p>
      <w:pPr>
        <w:pStyle w:val="Compact"/>
        <w:numPr>
          <w:ilvl w:val="1"/>
          <w:numId w:val="1016"/>
        </w:numPr>
      </w:pPr>
      <w:r>
        <w:t xml:space="preserve">The SLW purports to be</w:t>
      </w:r>
      <w:r>
        <w:t xml:space="preserve"> </w:t>
      </w:r>
      <w:r>
        <w:t xml:space="preserve">“</w:t>
      </w:r>
      <w:r>
        <w:t xml:space="preserve">the entire agreement . . . with respect to warranty coverage</w:t>
      </w:r>
      <w:r>
        <w:t xml:space="preserve">”</w:t>
      </w:r>
      <w:r>
        <w:t xml:space="preserve"> </w:t>
      </w:r>
      <w:r>
        <w:t xml:space="preserve">together with</w:t>
      </w:r>
      <w:r>
        <w:t xml:space="preserve"> </w:t>
      </w:r>
      <w:r>
        <w:t xml:space="preserve">“</w:t>
      </w:r>
      <w:r>
        <w:t xml:space="preserve">CIT’s standard purchase order terms,</w:t>
      </w:r>
      <w:r>
        <w:t xml:space="preserve">”</w:t>
      </w:r>
      <w:r>
        <w:t xml:space="preserve"> </w:t>
      </w:r>
      <w:r>
        <w:t xml:space="preserve">which I have not located. If the buyer’s purchase order or CIT’s acknowledgment incorporates the quotation, the specifications come in.</w:t>
      </w:r>
    </w:p>
    <w:p>
      <w:pPr>
        <w:pStyle w:val="Compact"/>
        <w:numPr>
          <w:ilvl w:val="0"/>
          <w:numId w:val="1013"/>
        </w:numPr>
      </w:pPr>
    </w:p>
    <w:p>
      <w:pPr>
        <w:pStyle w:val="Compact"/>
        <w:numPr>
          <w:ilvl w:val="1"/>
          <w:numId w:val="1017"/>
        </w:numPr>
      </w:pPr>
      <w:r>
        <w:t xml:space="preserve">Merger clauses do not bar fraud-in-the-inducement claims in most states.</w:t>
      </w:r>
    </w:p>
    <w:p>
      <w:pPr>
        <w:pStyle w:val="FirstParagraph"/>
      </w:pPr>
      <w:r>
        <w:rPr>
          <w:b/>
          <w:bCs/>
        </w:rPr>
        <w:t xml:space="preserve">5. Other drafting issues in the SLW:</w:t>
      </w:r>
    </w:p>
    <w:p>
      <w:pPr>
        <w:pStyle w:val="Compact"/>
        <w:numPr>
          <w:ilvl w:val="0"/>
          <w:numId w:val="1018"/>
        </w:numPr>
      </w:pPr>
      <w:r>
        <w:rPr>
          <w:b/>
          <w:bCs/>
        </w:rPr>
        <w:t xml:space="preserve">30-day notice condition (§ 3.3(e)).</w:t>
      </w:r>
      <w:r>
        <w:t xml:space="preserve"> </w:t>
      </w:r>
      <w:r>
        <w:t xml:space="preserve">§ 2-607(3)(a) requires notice within a</w:t>
      </w:r>
      <w:r>
        <w:t xml:space="preserve"> </w:t>
      </w:r>
      <w:r>
        <w:t xml:space="preserve">“</w:t>
      </w:r>
      <w:r>
        <w:t xml:space="preserve">reasonable time.</w:t>
      </w:r>
      <w:r>
        <w:t xml:space="preserve">”</w:t>
      </w:r>
      <w:r>
        <w:t xml:space="preserve"> </w:t>
      </w:r>
      <w:r>
        <w:t xml:space="preserve">A contractual shortening is generally enforceable between merchants if reasonable. Thirty days from</w:t>
      </w:r>
      <w:r>
        <w:t xml:space="preserve"> </w:t>
      </w:r>
      <w:r>
        <w:rPr>
          <w:i/>
          <w:iCs/>
        </w:rPr>
        <w:t xml:space="preserve">discovery</w:t>
      </w:r>
      <w:r>
        <w:t xml:space="preserve"> </w:t>
      </w:r>
      <w:r>
        <w:t xml:space="preserve">is probably defensible, but a court may refuse to enforce it against slow-developing performance degradation. The Meridian and Oceanview claims involved drift over 2–4 months.</w:t>
      </w:r>
    </w:p>
    <w:p>
      <w:pPr>
        <w:pStyle w:val="Compact"/>
        <w:numPr>
          <w:ilvl w:val="0"/>
          <w:numId w:val="1018"/>
        </w:numPr>
      </w:pPr>
      <w:r>
        <w:rPr>
          <w:b/>
          <w:bCs/>
        </w:rPr>
        <w:t xml:space="preserve">Coverage limited to</w:t>
      </w:r>
      <w:r>
        <w:rPr>
          <w:b/>
          <w:bCs/>
        </w:rPr>
        <w:t xml:space="preserve"> </w:t>
      </w:r>
      <w:r>
        <w:rPr>
          <w:b/>
          <w:bCs/>
        </w:rPr>
        <w:t xml:space="preserve">“</w:t>
      </w:r>
      <w:r>
        <w:rPr>
          <w:b/>
          <w:bCs/>
        </w:rPr>
        <w:t xml:space="preserve">materials and workmanship</w:t>
      </w:r>
      <w:r>
        <w:rPr>
          <w:b/>
          <w:bCs/>
        </w:rPr>
        <w:t xml:space="preserve">”</w:t>
      </w:r>
      <w:r>
        <w:rPr>
          <w:b/>
          <w:bCs/>
        </w:rPr>
        <w:t xml:space="preserve"> </w:t>
      </w:r>
      <w:r>
        <w:rPr>
          <w:b/>
          <w:bCs/>
        </w:rPr>
        <w:t xml:space="preserve">(§ 3.1).</w:t>
      </w:r>
      <w:r>
        <w:t xml:space="preserve"> </w:t>
      </w:r>
      <w:r>
        <w:t xml:space="preserve">This excludes design defects and performance shortfalls. It does not match the product CIT is actually selling. Design-based performance shortfalls, such as a membrane that cannot reach 99.97% on certain feed water, would fall</w:t>
      </w:r>
      <w:r>
        <w:t xml:space="preserve"> </w:t>
      </w:r>
      <w:r>
        <w:rPr>
          <w:i/>
          <w:iCs/>
        </w:rPr>
        <w:t xml:space="preserve">outside</w:t>
      </w:r>
      <w:r>
        <w:t xml:space="preserve"> </w:t>
      </w:r>
      <w:r>
        <w:t xml:space="preserve">the SLW entirely and be governed only by the marketing warranties.</w:t>
      </w:r>
    </w:p>
    <w:p>
      <w:pPr>
        <w:pStyle w:val="Compact"/>
        <w:numPr>
          <w:ilvl w:val="0"/>
          <w:numId w:val="1018"/>
        </w:numPr>
      </w:pPr>
      <w:r>
        <w:rPr>
          <w:b/>
          <w:bCs/>
        </w:rPr>
        <w:t xml:space="preserve">“</w:t>
      </w:r>
      <w:r>
        <w:rPr>
          <w:b/>
          <w:bCs/>
        </w:rPr>
        <w:t xml:space="preserve">CIT determines, in its reasonable judgment</w:t>
      </w:r>
      <w:r>
        <w:rPr>
          <w:b/>
          <w:bCs/>
        </w:rPr>
        <w:t xml:space="preserve">”</w:t>
      </w:r>
      <w:r>
        <w:rPr>
          <w:b/>
          <w:bCs/>
        </w:rPr>
        <w:t xml:space="preserve"> </w:t>
      </w:r>
      <w:r>
        <w:rPr>
          <w:b/>
          <w:bCs/>
        </w:rPr>
        <w:t xml:space="preserve">(§ 4.1).</w:t>
      </w:r>
      <w:r>
        <w:t xml:space="preserve"> </w:t>
      </w:r>
      <w:r>
        <w:t xml:space="preserve">Letting the warrantor decide whether a defect exists is acceptable, but it invites a bad-faith argument if claims are denied while the performance</w:t>
      </w:r>
      <w:r>
        <w:t xml:space="preserve"> </w:t>
      </w:r>
      <w:r>
        <w:t xml:space="preserve">“</w:t>
      </w:r>
      <w:r>
        <w:t xml:space="preserve">guarantee</w:t>
      </w:r>
      <w:r>
        <w:t xml:space="preserve">”</w:t>
      </w:r>
      <w:r>
        <w:t xml:space="preserve"> </w:t>
      </w:r>
      <w:r>
        <w:t xml:space="preserve">is being marketed.</w:t>
      </w:r>
    </w:p>
    <w:p>
      <w:pPr>
        <w:pStyle w:val="Compact"/>
        <w:numPr>
          <w:ilvl w:val="0"/>
          <w:numId w:val="1018"/>
        </w:numPr>
      </w:pPr>
      <w:r>
        <w:rPr>
          <w:b/>
          <w:bCs/>
        </w:rPr>
        <w:t xml:space="preserve">The</w:t>
      </w:r>
      <w:r>
        <w:rPr>
          <w:b/>
          <w:bCs/>
        </w:rPr>
        <w:t xml:space="preserve"> </w:t>
      </w:r>
      <w:r>
        <w:rPr>
          <w:b/>
          <w:bCs/>
        </w:rPr>
        <w:t xml:space="preserve">“</w:t>
      </w:r>
      <w:r>
        <w:rPr>
          <w:b/>
          <w:bCs/>
        </w:rPr>
        <w:t xml:space="preserve">basis of the bargain</w:t>
      </w:r>
      <w:r>
        <w:rPr>
          <w:b/>
          <w:bCs/>
        </w:rPr>
        <w:t xml:space="preserve">”</w:t>
      </w:r>
      <w:r>
        <w:rPr>
          <w:b/>
          <w:bCs/>
        </w:rPr>
        <w:t xml:space="preserve"> </w:t>
      </w:r>
      <w:r>
        <w:rPr>
          <w:b/>
          <w:bCs/>
        </w:rPr>
        <w:t xml:space="preserve">risk-allocation acknowledgment (§ 5, final paragraph).</w:t>
      </w:r>
      <w:r>
        <w:t xml:space="preserve"> </w:t>
      </w:r>
      <w:r>
        <w:t xml:space="preserve">This is useful</w:t>
      </w:r>
      <w:r>
        <w:t xml:space="preserve"> </w:t>
      </w:r>
      <w:r>
        <w:rPr>
          <w:i/>
          <w:iCs/>
        </w:rPr>
        <w:t xml:space="preserve">only</w:t>
      </w:r>
      <w:r>
        <w:t xml:space="preserve"> </w:t>
      </w:r>
      <w:r>
        <w:t xml:space="preserve">if the buyer saw it before contracting. Delivered afterward, it is unsupported by any assent.</w:t>
      </w:r>
    </w:p>
    <w:p>
      <w:pPr>
        <w:pStyle w:val="Compact"/>
        <w:numPr>
          <w:ilvl w:val="0"/>
          <w:numId w:val="1018"/>
        </w:numPr>
      </w:pPr>
      <w:r>
        <w:rPr>
          <w:b/>
          <w:bCs/>
        </w:rPr>
        <w:t xml:space="preserve">§ 1 says the Buyer</w:t>
      </w:r>
      <w:r>
        <w:rPr>
          <w:b/>
          <w:bCs/>
        </w:rPr>
        <w:t xml:space="preserve"> </w:t>
      </w:r>
      <w:r>
        <w:rPr>
          <w:b/>
          <w:bCs/>
        </w:rPr>
        <w:t xml:space="preserve">“</w:t>
      </w:r>
      <w:r>
        <w:rPr>
          <w:b/>
          <w:bCs/>
        </w:rPr>
        <w:t xml:space="preserve">acknowledges</w:t>
      </w:r>
      <w:r>
        <w:rPr>
          <w:b/>
          <w:bCs/>
        </w:rPr>
        <w:t xml:space="preserve">”</w:t>
      </w:r>
      <w:r>
        <w:rPr>
          <w:b/>
          <w:bCs/>
        </w:rPr>
        <w:t xml:space="preserve"> </w:t>
      </w:r>
      <w:r>
        <w:rPr>
          <w:b/>
          <w:bCs/>
        </w:rPr>
        <w:t xml:space="preserve">the terms</w:t>
      </w:r>
      <w:r>
        <w:rPr>
          <w:b/>
          <w:bCs/>
        </w:rPr>
        <w:t xml:space="preserve"> </w:t>
      </w:r>
      <w:r>
        <w:rPr>
          <w:b/>
          <w:bCs/>
        </w:rPr>
        <w:t xml:space="preserve">“</w:t>
      </w:r>
      <w:r>
        <w:rPr>
          <w:b/>
          <w:bCs/>
        </w:rPr>
        <w:t xml:space="preserve">by taking delivery.</w:t>
      </w:r>
      <w:r>
        <w:rPr>
          <w:b/>
          <w:bCs/>
        </w:rPr>
        <w:t xml:space="preserve">”</w:t>
      </w:r>
      <w:r>
        <w:t xml:space="preserve"> </w:t>
      </w:r>
      <w:r>
        <w:t xml:space="preserve">This is the classic post-formation device and carries little weight in a negotiated B2B sale.</w:t>
      </w:r>
    </w:p>
    <w:p>
      <w:pPr>
        <w:pStyle w:val="Compact"/>
        <w:numPr>
          <w:ilvl w:val="0"/>
          <w:numId w:val="1018"/>
        </w:numPr>
      </w:pPr>
      <w:r>
        <w:rPr>
          <w:b/>
          <w:bCs/>
        </w:rPr>
        <w:t xml:space="preserve">“</w:t>
      </w:r>
      <w:r>
        <w:rPr>
          <w:b/>
          <w:bCs/>
        </w:rPr>
        <w:t xml:space="preserve">Successor models</w:t>
      </w:r>
      <w:r>
        <w:rPr>
          <w:b/>
          <w:bCs/>
        </w:rPr>
        <w:t xml:space="preserve">”</w:t>
      </w:r>
      <w:r>
        <w:rPr>
          <w:b/>
          <w:bCs/>
        </w:rPr>
        <w:t xml:space="preserve"> </w:t>
      </w:r>
      <w:r>
        <w:rPr>
          <w:b/>
          <w:bCs/>
        </w:rPr>
        <w:t xml:space="preserve">coverage (§ 1).</w:t>
      </w:r>
      <w:r>
        <w:t xml:space="preserve"> </w:t>
      </w:r>
      <w:r>
        <w:t xml:space="preserve">The SLW applies to</w:t>
      </w:r>
      <w:r>
        <w:t xml:space="preserve"> </w:t>
      </w:r>
      <w:r>
        <w:t xml:space="preserve">“</w:t>
      </w:r>
      <w:r>
        <w:t xml:space="preserve">successor models in the AquaPure series,</w:t>
      </w:r>
      <w:r>
        <w:t xml:space="preserve">”</w:t>
      </w:r>
      <w:r>
        <w:t xml:space="preserve"> </w:t>
      </w:r>
      <w:r>
        <w:t xml:space="preserve">so it arguably reaches the Max 9000 without a product-specific warranty. It was drafted for $18,000–$475,000 legacy units with no performance guarantee and no cloud software.</w:t>
      </w:r>
    </w:p>
    <w:p>
      <w:r>
        <w:pict>
          <v:rect style="width:0;height:1.5pt" o:hralign="center" o:hrstd="t" o:hr="t"/>
        </w:pict>
      </w:r>
    </w:p>
    <w:bookmarkEnd w:id="28"/>
    <w:bookmarkEnd w:id="29"/>
    <w:bookmarkStart w:id="33" w:name="X7243418f783395c800063a030a744e0bec1fcd8"/>
    <w:p>
      <w:pPr>
        <w:pStyle w:val="Heading2"/>
      </w:pPr>
      <w:r>
        <w:t xml:space="preserve">V. ISSUE 2 — EXPRESS WARRANTY CREATION THROUGH MARKETING AND SALES MATERIALS (UCC § 2-313)</w:t>
      </w:r>
    </w:p>
    <w:bookmarkStart w:id="30" w:name="a.-question-presented-1"/>
    <w:p>
      <w:pPr>
        <w:pStyle w:val="Heading3"/>
      </w:pPr>
      <w:r>
        <w:t xml:space="preserve">A. Question presented</w:t>
      </w:r>
    </w:p>
    <w:p>
      <w:pPr>
        <w:pStyle w:val="FirstParagraph"/>
      </w:pPr>
      <w:r>
        <w:t xml:space="preserve">Do the brochure, sales deck, quotation template, and sales memo, individually or together, create express warranties? If so, can the SLW limit them?</w:t>
      </w:r>
    </w:p>
    <w:bookmarkEnd w:id="30"/>
    <w:bookmarkStart w:id="31" w:name="b.-short-answer-1"/>
    <w:p>
      <w:pPr>
        <w:pStyle w:val="Heading3"/>
      </w:pPr>
      <w:r>
        <w:t xml:space="preserve">B. Short answer</w:t>
      </w:r>
    </w:p>
    <w:p>
      <w:pPr>
        <w:pStyle w:val="FirstParagraph"/>
      </w:pPr>
      <w:r>
        <w:rPr>
          <w:b/>
          <w:bCs/>
        </w:rPr>
        <w:t xml:space="preserve">Yes. Individually and cumulatively. And no, not as currently structured.</w:t>
      </w:r>
      <w:r>
        <w:t xml:space="preserve"> </w:t>
      </w:r>
      <w:r>
        <w:t xml:space="preserve">The quantified performance figures, the regulatory-compliance statements, and the software-accuracy statements are affirmations of fact and descriptions of the goods. Once they reach a buyer during negotiations, they are presumptively part of the</w:t>
      </w:r>
      <w:r>
        <w:t xml:space="preserve"> </w:t>
      </w:r>
      <w:r>
        <w:t xml:space="preserve">“</w:t>
      </w:r>
      <w:r>
        <w:t xml:space="preserve">basis of the bargain.</w:t>
      </w:r>
      <w:r>
        <w:t xml:space="preserve">”</w:t>
      </w:r>
      <w:r>
        <w:t xml:space="preserve"> </w:t>
      </w:r>
      <w:r>
        <w:t xml:space="preserve">The</w:t>
      </w:r>
      <w:r>
        <w:t xml:space="preserve"> </w:t>
      </w:r>
      <w:r>
        <w:t xml:space="preserve">“</w:t>
      </w:r>
      <w:r>
        <w:t xml:space="preserve">guarantee</w:t>
      </w:r>
      <w:r>
        <w:t xml:space="preserve">”</w:t>
      </w:r>
      <w:r>
        <w:t xml:space="preserve"> </w:t>
      </w:r>
      <w:r>
        <w:t xml:space="preserve">branding removes any argument that they are opinion or puffery. The SLW cannot negate them (§ 2-316(1)). The best CIT can do is limit the</w:t>
      </w:r>
      <w:r>
        <w:t xml:space="preserve"> </w:t>
      </w:r>
      <w:r>
        <w:rPr>
          <w:i/>
          <w:iCs/>
        </w:rPr>
        <w:t xml:space="preserve">remedy</w:t>
      </w:r>
      <w:r>
        <w:t xml:space="preserve"> </w:t>
      </w:r>
      <w:r>
        <w:t xml:space="preserve">for their breach under § 2-719. That requires a remedy clause the buyer actually agreed to, which brings the analysis back to Part IV.</w:t>
      </w:r>
    </w:p>
    <w:bookmarkEnd w:id="31"/>
    <w:bookmarkStart w:id="32" w:name="c.-analysis-1"/>
    <w:p>
      <w:pPr>
        <w:pStyle w:val="Heading3"/>
      </w:pPr>
      <w:r>
        <w:t xml:space="preserve">C. Analysis</w:t>
      </w:r>
    </w:p>
    <w:p>
      <w:pPr>
        <w:pStyle w:val="FirstParagraph"/>
      </w:pPr>
      <w:r>
        <w:rPr>
          <w:b/>
          <w:bCs/>
        </w:rPr>
        <w:t xml:space="preserve">1. The elements.</w:t>
      </w:r>
      <w:r>
        <w:t xml:space="preserve"> </w:t>
      </w:r>
      <w:r>
        <w:t xml:space="preserve">Under § 2-313(1):</w:t>
      </w:r>
    </w:p>
    <w:p>
      <w:pPr>
        <w:pStyle w:val="Compact"/>
        <w:numPr>
          <w:ilvl w:val="0"/>
          <w:numId w:val="1019"/>
        </w:numPr>
      </w:pPr>
    </w:p>
    <w:p>
      <w:pPr>
        <w:pStyle w:val="Compact"/>
        <w:numPr>
          <w:ilvl w:val="1"/>
          <w:numId w:val="1020"/>
        </w:numPr>
      </w:pPr>
      <w:r>
        <w:t xml:space="preserve">any affirmation of fact or promise relating to the goods that becomes part of the basis of the bargain,</w:t>
      </w:r>
    </w:p>
    <w:p>
      <w:pPr>
        <w:pStyle w:val="Compact"/>
        <w:numPr>
          <w:ilvl w:val="0"/>
          <w:numId w:val="1019"/>
        </w:numPr>
      </w:pPr>
    </w:p>
    <w:p>
      <w:pPr>
        <w:pStyle w:val="Compact"/>
        <w:numPr>
          <w:ilvl w:val="1"/>
          <w:numId w:val="1021"/>
        </w:numPr>
      </w:pPr>
      <w:r>
        <w:t xml:space="preserve">any description of the goods made part of the basis of the bargain, and</w:t>
      </w:r>
    </w:p>
    <w:p>
      <w:pPr>
        <w:pStyle w:val="Compact"/>
        <w:numPr>
          <w:ilvl w:val="0"/>
          <w:numId w:val="1019"/>
        </w:numPr>
      </w:pPr>
    </w:p>
    <w:p>
      <w:pPr>
        <w:pStyle w:val="Compact"/>
        <w:numPr>
          <w:ilvl w:val="1"/>
          <w:numId w:val="1022"/>
        </w:numPr>
      </w:pPr>
      <w:r>
        <w:t xml:space="preserve">any sample or model</w:t>
      </w:r>
    </w:p>
    <w:p>
      <w:pPr>
        <w:pStyle w:val="FirstParagraph"/>
      </w:pPr>
      <w:r>
        <w:t xml:space="preserve">creates an express warranty that the goods will conform. No formal words like</w:t>
      </w:r>
      <w:r>
        <w:t xml:space="preserve"> </w:t>
      </w:r>
      <w:r>
        <w:t xml:space="preserve">“</w:t>
      </w:r>
      <w:r>
        <w:t xml:space="preserve">warrant</w:t>
      </w:r>
      <w:r>
        <w:t xml:space="preserve">”</w:t>
      </w:r>
      <w:r>
        <w:t xml:space="preserve"> </w:t>
      </w:r>
      <w:r>
        <w:t xml:space="preserve">or</w:t>
      </w:r>
      <w:r>
        <w:t xml:space="preserve"> </w:t>
      </w:r>
      <w:r>
        <w:t xml:space="preserve">“</w:t>
      </w:r>
      <w:r>
        <w:t xml:space="preserve">guarantee</w:t>
      </w:r>
      <w:r>
        <w:t xml:space="preserve">”</w:t>
      </w:r>
      <w:r>
        <w:t xml:space="preserve"> </w:t>
      </w:r>
      <w:r>
        <w:t xml:space="preserve">are required, and no specific intent to warrant is required (§ 2-313(2)). The only safe harbor is for a</w:t>
      </w:r>
      <w:r>
        <w:t xml:space="preserve"> </w:t>
      </w:r>
      <w:r>
        <w:t xml:space="preserve">“</w:t>
      </w:r>
      <w:r>
        <w:t xml:space="preserve">mere affirmation of the value of the goods</w:t>
      </w:r>
      <w:r>
        <w:t xml:space="preserve">”</w:t>
      </w:r>
      <w:r>
        <w:t xml:space="preserve"> </w:t>
      </w:r>
      <w:r>
        <w:t xml:space="preserve">or a</w:t>
      </w:r>
      <w:r>
        <w:t xml:space="preserve"> </w:t>
      </w:r>
      <w:r>
        <w:t xml:space="preserve">“</w:t>
      </w:r>
      <w:r>
        <w:t xml:space="preserve">statement purporting to be merely the seller’s opinion or commendation.</w:t>
      </w:r>
      <w:r>
        <w:t xml:space="preserve">”</w:t>
      </w:r>
    </w:p>
    <w:p>
      <w:pPr>
        <w:pStyle w:val="BodyText"/>
      </w:pPr>
      <w:r>
        <w:rPr>
          <w:b/>
          <w:bCs/>
        </w:rPr>
        <w:t xml:space="preserve">2. Puffery is not available for these statements.</w:t>
      </w:r>
      <w:r>
        <w:t xml:space="preserve"> </w:t>
      </w:r>
      <w:r>
        <w:t xml:space="preserve">Courts distinguish vague praise (</w:t>
      </w:r>
      <w:r>
        <w:t xml:space="preserve">“</w:t>
      </w:r>
      <w:r>
        <w:t xml:space="preserve">industry-leading,</w:t>
      </w:r>
      <w:r>
        <w:t xml:space="preserve">”</w:t>
      </w:r>
      <w:r>
        <w:t xml:space="preserve"> </w:t>
      </w:r>
      <w:r>
        <w:t xml:space="preserve">“</w:t>
      </w:r>
      <w:r>
        <w:t xml:space="preserve">unmatched,</w:t>
      </w:r>
      <w:r>
        <w:t xml:space="preserve">”</w:t>
      </w:r>
      <w:r>
        <w:t xml:space="preserve"> </w:t>
      </w:r>
      <w:r>
        <w:t xml:space="preserve">“</w:t>
      </w:r>
      <w:r>
        <w:t xml:space="preserve">peace of mind</w:t>
      </w:r>
      <w:r>
        <w:t xml:space="preserve">”</w:t>
      </w:r>
      <w:r>
        <w:t xml:space="preserve">) from specific, measurable, verifiable claims.</w:t>
      </w:r>
      <w:r>
        <w:t xml:space="preserve"> </w:t>
      </w:r>
      <w:r>
        <w:t xml:space="preserve">“</w:t>
      </w:r>
      <w:r>
        <w:t xml:space="preserve">99.97% contaminant removal,</w:t>
      </w:r>
      <w:r>
        <w:t xml:space="preserve">”</w:t>
      </w:r>
      <w:r>
        <w:t xml:space="preserve"> </w:t>
      </w:r>
      <w:r>
        <w:t xml:space="preserve">“</w:t>
      </w:r>
      <w:r>
        <w:t xml:space="preserve">98.5% annual uptime,</w:t>
      </w:r>
      <w:r>
        <w:t xml:space="preserve">”</w:t>
      </w:r>
      <w:r>
        <w:t xml:space="preserve"> </w:t>
      </w:r>
      <w:r>
        <w:t xml:space="preserve">“</w:t>
      </w:r>
      <w:r>
        <w:t xml:space="preserve">500,000 gallons per day,</w:t>
      </w:r>
      <w:r>
        <w:t xml:space="preserve">”</w:t>
      </w:r>
      <w:r>
        <w:t xml:space="preserve"> </w:t>
      </w:r>
      <w:r>
        <w:t xml:space="preserve">“</w:t>
      </w:r>
      <w:r>
        <w:t xml:space="preserve">meets all EPA Safe Drinking Water Act standards,</w:t>
      </w:r>
      <w:r>
        <w:t xml:space="preserve">”</w:t>
      </w:r>
      <w:r>
        <w:t xml:space="preserve"> </w:t>
      </w:r>
      <w:r>
        <w:t xml:space="preserve">“</w:t>
      </w:r>
      <w:r>
        <w:t xml:space="preserve">USP purified water specifications,</w:t>
      </w:r>
      <w:r>
        <w:t xml:space="preserve">”</w:t>
      </w:r>
      <w:r>
        <w:t xml:space="preserve"> </w:t>
      </w:r>
      <w:r>
        <w:t xml:space="preserve">and</w:t>
      </w:r>
      <w:r>
        <w:t xml:space="preserve"> </w:t>
      </w:r>
      <w:r>
        <w:t xml:space="preserve">“</w:t>
      </w:r>
      <w:r>
        <w:t xml:space="preserve">21 CFR Part 11 compliant</w:t>
      </w:r>
      <w:r>
        <w:t xml:space="preserve">”</w:t>
      </w:r>
      <w:r>
        <w:t xml:space="preserve"> </w:t>
      </w:r>
      <w:r>
        <w:t xml:space="preserve">are all objectively testable. Calling them a</w:t>
      </w:r>
      <w:r>
        <w:t xml:space="preserve"> </w:t>
      </w:r>
      <w:r>
        <w:t xml:space="preserve">“</w:t>
      </w:r>
      <w:r>
        <w:t xml:space="preserve">guarantee,</w:t>
      </w:r>
      <w:r>
        <w:t xml:space="preserve">”</w:t>
      </w:r>
      <w:r>
        <w:t xml:space="preserve"> </w:t>
      </w:r>
      <w:r>
        <w:t xml:space="preserve">pairing them with</w:t>
      </w:r>
      <w:r>
        <w:t xml:space="preserve"> </w:t>
      </w:r>
      <w:r>
        <w:t xml:space="preserve">“</w:t>
      </w:r>
      <w:r>
        <w:t xml:space="preserve">or we’ll make it right — guaranteed,</w:t>
      </w:r>
      <w:r>
        <w:t xml:space="preserve">”</w:t>
      </w:r>
      <w:r>
        <w:t xml:space="preserve"> </w:t>
      </w:r>
      <w:r>
        <w:t xml:space="preserve">and quoting the CEO saying</w:t>
      </w:r>
      <w:r>
        <w:t xml:space="preserve"> </w:t>
      </w:r>
      <w:r>
        <w:t xml:space="preserve">“</w:t>
      </w:r>
      <w:r>
        <w:t xml:space="preserve">If it doesn’t perform, we’ll make it right. Period.</w:t>
      </w:r>
      <w:r>
        <w:t xml:space="preserve">”</w:t>
      </w:r>
      <w:r>
        <w:t xml:space="preserve"> </w:t>
      </w:r>
      <w:r>
        <w:t xml:space="preserve">make them promises about future performance. Ms. Dasgupta’s email makes the point conclusively:</w:t>
      </w:r>
      <w:r>
        <w:t xml:space="preserve"> </w:t>
      </w:r>
      <w:r>
        <w:t xml:space="preserve">“</w:t>
      </w:r>
      <w:r>
        <w:t xml:space="preserve">They aren’t puffery. They are the product’s core selling proposition.</w:t>
      </w:r>
      <w:r>
        <w:t xml:space="preserve">”</w:t>
      </w:r>
      <w:r>
        <w:t xml:space="preserve"> </w:t>
      </w:r>
      <w:r>
        <w:t xml:space="preserve">The sales memo tells reps that if asked</w:t>
      </w:r>
      <w:r>
        <w:t xml:space="preserve"> </w:t>
      </w:r>
      <w:r>
        <w:t xml:space="preserve">“</w:t>
      </w:r>
      <w:r>
        <w:t xml:space="preserve">whether these are estimates or guarantees, the answer is clear: these are the numbers we commit to.</w:t>
      </w:r>
      <w:r>
        <w:t xml:space="preserve">”</w:t>
      </w:r>
      <w:r>
        <w:t xml:space="preserve"> </w:t>
      </w:r>
      <w:r>
        <w:t xml:space="preserve">In litigation, that sentence would be Exhibit A.</w:t>
      </w:r>
    </w:p>
    <w:p>
      <w:pPr>
        <w:pStyle w:val="BodyText"/>
      </w:pPr>
      <w:r>
        <w:t xml:space="preserve">The generic statements (</w:t>
      </w:r>
      <w:r>
        <w:t xml:space="preserve">“</w:t>
      </w:r>
      <w:r>
        <w:t xml:space="preserve">unmatched,</w:t>
      </w:r>
      <w:r>
        <w:t xml:space="preserve">”</w:t>
      </w:r>
      <w:r>
        <w:t xml:space="preserve"> </w:t>
      </w:r>
      <w:r>
        <w:t xml:space="preserve">“</w:t>
      </w:r>
      <w:r>
        <w:t xml:space="preserve">pinnacle,</w:t>
      </w:r>
      <w:r>
        <w:t xml:space="preserve">”</w:t>
      </w:r>
      <w:r>
        <w:t xml:space="preserve"> </w:t>
      </w:r>
      <w:r>
        <w:t xml:space="preserve">“</w:t>
      </w:r>
      <w:r>
        <w:t xml:space="preserve">peace of mind</w:t>
      </w:r>
      <w:r>
        <w:t xml:space="preserve">”</w:t>
      </w:r>
      <w:r>
        <w:t xml:space="preserve">) are likely puffery. They add color but not liability.</w:t>
      </w:r>
    </w:p>
    <w:p>
      <w:pPr>
        <w:pStyle w:val="BodyText"/>
      </w:pPr>
      <w:r>
        <w:rPr>
          <w:b/>
          <w:bCs/>
        </w:rPr>
        <w:t xml:space="preserve">3. Basis of the bargain.</w:t>
      </w:r>
      <w:r>
        <w:t xml:space="preserve"> </w:t>
      </w:r>
      <w:r>
        <w:t xml:space="preserve">Official Comment 3 to § 2-313 provides that</w:t>
      </w:r>
      <w:r>
        <w:t xml:space="preserve"> </w:t>
      </w:r>
      <w:r>
        <w:t xml:space="preserve">“</w:t>
      </w:r>
      <w:r>
        <w:t xml:space="preserve">no particular reliance on such statements need be shown</w:t>
      </w:r>
      <w:r>
        <w:t xml:space="preserve">”</w:t>
      </w:r>
      <w:r>
        <w:t xml:space="preserve">; affirmations made during a bargain are</w:t>
      </w:r>
      <w:r>
        <w:t xml:space="preserve"> </w:t>
      </w:r>
      <w:r>
        <w:t xml:space="preserve">“</w:t>
      </w:r>
      <w:r>
        <w:t xml:space="preserve">fairly to be regarded as part of the description of those goods.</w:t>
      </w:r>
      <w:r>
        <w:t xml:space="preserve">”</w:t>
      </w:r>
      <w:r>
        <w:t xml:space="preserve"> </w:t>
      </w:r>
      <w:r>
        <w:t xml:space="preserve">The states split on how much reliance matters:</w:t>
      </w:r>
    </w:p>
    <w:p>
      <w:pPr>
        <w:pStyle w:val="Compact"/>
        <w:numPr>
          <w:ilvl w:val="0"/>
          <w:numId w:val="1023"/>
        </w:numPr>
      </w:pPr>
      <w:r>
        <w:rPr>
          <w:i/>
          <w:iCs/>
        </w:rPr>
        <w:t xml:space="preserve">California</w:t>
      </w:r>
      <w:r>
        <w:t xml:space="preserve">:</w:t>
      </w:r>
      <w:r>
        <w:t xml:space="preserve"> </w:t>
      </w:r>
      <w:r>
        <w:rPr>
          <w:i/>
          <w:iCs/>
        </w:rPr>
        <w:t xml:space="preserve">Hauter v. Zogarts</w:t>
      </w:r>
      <w:r>
        <w:t xml:space="preserve">, 14 Cal.3d 104 (1975), and</w:t>
      </w:r>
      <w:r>
        <w:t xml:space="preserve"> </w:t>
      </w:r>
      <w:r>
        <w:rPr>
          <w:i/>
          <w:iCs/>
        </w:rPr>
        <w:t xml:space="preserve">Keith v. Buchanan</w:t>
      </w:r>
      <w:r>
        <w:t xml:space="preserve">, 173 Cal.App.3d 13 (1985).</w:t>
      </w:r>
      <w:r>
        <w:t xml:space="preserve"> </w:t>
      </w:r>
      <w:r>
        <w:rPr>
          <w:i/>
          <w:iCs/>
        </w:rPr>
        <w:t xml:space="preserve">Keith</w:t>
      </w:r>
      <w:r>
        <w:t xml:space="preserve"> </w:t>
      </w:r>
      <w:r>
        <w:t xml:space="preserve">holds that sales brochure specifications create express warranties without proof of specific reliance, and places the burden on the seller to show the statement was</w:t>
      </w:r>
      <w:r>
        <w:t xml:space="preserve"> </w:t>
      </w:r>
      <w:r>
        <w:rPr>
          <w:i/>
          <w:iCs/>
        </w:rPr>
        <w:t xml:space="preserve">not</w:t>
      </w:r>
      <w:r>
        <w:t xml:space="preserve"> </w:t>
      </w:r>
      <w:r>
        <w:t xml:space="preserve">part of the bargain.</w:t>
      </w:r>
    </w:p>
    <w:p>
      <w:pPr>
        <w:pStyle w:val="Compact"/>
        <w:numPr>
          <w:ilvl w:val="0"/>
          <w:numId w:val="1023"/>
        </w:numPr>
      </w:pPr>
      <w:r>
        <w:rPr>
          <w:i/>
          <w:iCs/>
        </w:rPr>
        <w:t xml:space="preserve">New York</w:t>
      </w:r>
      <w:r>
        <w:t xml:space="preserve">:</w:t>
      </w:r>
      <w:r>
        <w:t xml:space="preserve"> </w:t>
      </w:r>
      <w:r>
        <w:rPr>
          <w:i/>
          <w:iCs/>
        </w:rPr>
        <w:t xml:space="preserve">CBS Inc. v. Ziff-Davis Publishing Co.</w:t>
      </w:r>
      <w:r>
        <w:t xml:space="preserve">, 75 N.Y.2d 496 (1990). The buyer need only show the warranty was part of the bargain, not that it believed the statement.</w:t>
      </w:r>
    </w:p>
    <w:p>
      <w:pPr>
        <w:pStyle w:val="Compact"/>
        <w:numPr>
          <w:ilvl w:val="0"/>
          <w:numId w:val="1023"/>
        </w:numPr>
      </w:pPr>
      <w:r>
        <w:rPr>
          <w:i/>
          <w:iCs/>
        </w:rPr>
        <w:t xml:space="preserve">Illinois</w:t>
      </w:r>
      <w:r>
        <w:t xml:space="preserve"> </w:t>
      </w:r>
      <w:r>
        <w:t xml:space="preserve">and</w:t>
      </w:r>
      <w:r>
        <w:t xml:space="preserve"> </w:t>
      </w:r>
      <w:r>
        <w:rPr>
          <w:i/>
          <w:iCs/>
        </w:rPr>
        <w:t xml:space="preserve">Texas</w:t>
      </w:r>
      <w:r>
        <w:t xml:space="preserve"> </w:t>
      </w:r>
      <w:r>
        <w:t xml:space="preserve">courts sometimes require reliance or at least awareness, but awareness is certain here. The statements are the reason these buyers are paying a $195,000+ per-unit premium over competitors (Ms. Dasgupta’s figure: $475,000 vs. $280,000).</w:t>
      </w:r>
    </w:p>
    <w:p>
      <w:pPr>
        <w:pStyle w:val="FirstParagraph"/>
      </w:pPr>
      <w:r>
        <w:t xml:space="preserve">The facts could hardly be stronger for a buyer. Triton</w:t>
      </w:r>
      <w:r>
        <w:t xml:space="preserve"> </w:t>
      </w:r>
      <w:r>
        <w:t xml:space="preserve">“</w:t>
      </w:r>
      <w:r>
        <w:t xml:space="preserve">came to us specifically because of the performance guarantee.</w:t>
      </w:r>
      <w:r>
        <w:t xml:space="preserve">”</w:t>
      </w:r>
      <w:r>
        <w:t xml:space="preserve"> </w:t>
      </w:r>
      <w:r>
        <w:t xml:space="preserve">Great Lakes’ FDA compliance is</w:t>
      </w:r>
      <w:r>
        <w:t xml:space="preserve"> </w:t>
      </w:r>
      <w:r>
        <w:t xml:space="preserve">“</w:t>
      </w:r>
      <w:r>
        <w:t xml:space="preserve">directly tied</w:t>
      </w:r>
      <w:r>
        <w:t xml:space="preserve">”</w:t>
      </w:r>
      <w:r>
        <w:t xml:space="preserve"> </w:t>
      </w:r>
      <w:r>
        <w:t xml:space="preserve">to it. The guarantee is</w:t>
      </w:r>
      <w:r>
        <w:t xml:space="preserve"> </w:t>
      </w:r>
      <w:r>
        <w:t xml:space="preserve">“</w:t>
      </w:r>
      <w:r>
        <w:t xml:space="preserve">what got [Harmon Valley] to consolidate their purchasing.</w:t>
      </w:r>
      <w:r>
        <w:t xml:space="preserve">”</w:t>
      </w:r>
    </w:p>
    <w:p>
      <w:pPr>
        <w:pStyle w:val="BodyText"/>
      </w:pPr>
      <w:r>
        <w:rPr>
          <w:b/>
          <w:bCs/>
        </w:rPr>
        <w:t xml:space="preserve">4. Document-by-document assessment:</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jc w:val="left"/>
            </w:pPr>
            <w:r>
              <w:rPr>
                <w:b/>
              </w:rPr>
              <w:t xml:space="preserve">Document</w:t>
            </w:r>
          </w:p>
        </w:tc>
        <w:tc>
          <w:tcPr/>
          <w:p>
            <w:pPr>
              <w:pStyle w:val="Compact"/>
              <w:jc w:val="left"/>
            </w:pPr>
            <w:r>
              <w:rPr>
                <w:b/>
              </w:rPr>
              <w:t xml:space="preserve">Warranty-creation risk</w:t>
            </w:r>
          </w:p>
        </w:tc>
        <w:tc>
          <w:tcPr/>
          <w:p>
            <w:pPr>
              <w:pStyle w:val="Compact"/>
              <w:jc w:val="left"/>
            </w:pPr>
            <w:r>
              <w:rPr>
                <w:b/>
              </w:rPr>
              <w:t xml:space="preserve">Why</w:t>
            </w:r>
          </w:p>
        </w:tc>
      </w:tr>
      <w:tr>
        <w:tc>
          <w:tcPr/>
          <w:p>
            <w:pPr>
              <w:pStyle w:val="Compact"/>
              <w:jc w:val="left"/>
            </w:pPr>
            <w:r>
              <w:rPr>
                <w:b/>
                <w:bCs/>
              </w:rPr>
              <w:t xml:space="preserve">Sales memo (Jan. 8)</w:t>
            </w:r>
          </w:p>
        </w:tc>
        <w:tc>
          <w:tcPr/>
          <w:p>
            <w:pPr>
              <w:pStyle w:val="Compact"/>
              <w:jc w:val="left"/>
            </w:pPr>
            <w:r>
              <w:rPr>
                <w:b/>
                <w:bCs/>
              </w:rPr>
              <w:t xml:space="preserve">Critical.</w:t>
            </w:r>
            <w:r>
              <w:t xml:space="preserve"> </w:t>
            </w:r>
            <w:r>
              <w:t xml:space="preserve">Not itself customer-facing, but it scripts oral warranties and is devastating evidence of intent</w:t>
            </w:r>
          </w:p>
        </w:tc>
        <w:tc>
          <w:tcPr/>
          <w:p>
            <w:pPr>
              <w:pStyle w:val="Compact"/>
              <w:jc w:val="left"/>
            </w:pPr>
            <w:r>
              <w:t xml:space="preserve">Mandates</w:t>
            </w:r>
            <w:r>
              <w:t xml:space="preserve"> </w:t>
            </w:r>
            <w:r>
              <w:t xml:space="preserve">“</w:t>
            </w:r>
            <w:r>
              <w:t xml:space="preserve">guaranteed</w:t>
            </w:r>
            <w:r>
              <w:t xml:space="preserve">”</w:t>
            </w:r>
            <w:r>
              <w:t xml:space="preserve"> </w:t>
            </w:r>
            <w:r>
              <w:t xml:space="preserve">language in</w:t>
            </w:r>
            <w:r>
              <w:t xml:space="preserve"> </w:t>
            </w:r>
            <w:r>
              <w:t xml:space="preserve">“</w:t>
            </w:r>
            <w:r>
              <w:t xml:space="preserve">every customer interaction</w:t>
            </w:r>
            <w:r>
              <w:t xml:space="preserve">”</w:t>
            </w:r>
            <w:r>
              <w:t xml:space="preserve">; bans hedging; instructs reps to tailor performance commitments (§ 2-315 fitness warranty); scripts</w:t>
            </w:r>
            <w:r>
              <w:t xml:space="preserve"> </w:t>
            </w:r>
            <w:r>
              <w:t xml:space="preserve">“</w:t>
            </w:r>
            <w:r>
              <w:t xml:space="preserve">make customers whole</w:t>
            </w:r>
            <w:r>
              <w:t xml:space="preserve">”</w:t>
            </w:r>
            <w:r>
              <w:t xml:space="preserve"> </w:t>
            </w:r>
            <w:r>
              <w:t xml:space="preserve">as the answer to consequential-damages questions (a contradicting oral promise, plus waiver/estoppel and misrepresentation exposure); instructs reps to withhold the warranty. Oral statements create express warranties just as written ones do. Discoverable.</w:t>
            </w:r>
          </w:p>
        </w:tc>
      </w:tr>
      <w:tr>
        <w:tc>
          <w:tcPr/>
          <w:p>
            <w:pPr>
              <w:pStyle w:val="Compact"/>
              <w:jc w:val="left"/>
            </w:pPr>
            <w:r>
              <w:rPr>
                <w:b/>
                <w:bCs/>
              </w:rPr>
              <w:t xml:space="preserve">Brochure</w:t>
            </w:r>
          </w:p>
        </w:tc>
        <w:tc>
          <w:tcPr/>
          <w:p>
            <w:pPr>
              <w:pStyle w:val="Compact"/>
              <w:jc w:val="left"/>
            </w:pPr>
            <w:r>
              <w:rPr>
                <w:b/>
                <w:bCs/>
              </w:rPr>
              <w:t xml:space="preserve">Critical</w:t>
            </w:r>
          </w:p>
        </w:tc>
        <w:tc>
          <w:tcPr/>
          <w:p>
            <w:pPr>
              <w:pStyle w:val="Compact"/>
              <w:jc w:val="left"/>
            </w:pPr>
            <w:r>
              <w:t xml:space="preserve">“</w:t>
            </w:r>
            <w:r>
              <w:t xml:space="preserve">We guarantee . . . 99.97% . . . or we’ll make it right — guaranteed</w:t>
            </w:r>
            <w:r>
              <w:t xml:space="preserve">”</w:t>
            </w:r>
            <w:r>
              <w:t xml:space="preserve">;</w:t>
            </w:r>
            <w:r>
              <w:t xml:space="preserve"> </w:t>
            </w:r>
            <w:r>
              <w:t xml:space="preserve">“</w:t>
            </w:r>
            <w:r>
              <w:t xml:space="preserve">Verified</w:t>
            </w:r>
            <w:r>
              <w:t xml:space="preserve">”</w:t>
            </w:r>
            <w:r>
              <w:t xml:space="preserve">;</w:t>
            </w:r>
            <w:r>
              <w:t xml:space="preserve"> </w:t>
            </w:r>
            <w:r>
              <w:t xml:space="preserve">“</w:t>
            </w:r>
            <w:r>
              <w:t xml:space="preserve">your water will meet or exceed all EPA and state purity standards</w:t>
            </w:r>
            <w:r>
              <w:t xml:space="preserve">”</w:t>
            </w:r>
            <w:r>
              <w:t xml:space="preserve">; CEO quotes; FDA/USDA, USP, cGMP claims; AquaMonitor accuracy claims. Only fine print at the bottom (</w:t>
            </w:r>
            <w:r>
              <w:t xml:space="preserve">“</w:t>
            </w:r>
            <w:r>
              <w:t xml:space="preserve">specifications subject to change without notice</w:t>
            </w:r>
            <w:r>
              <w:t xml:space="preserve">”</w:t>
            </w:r>
            <w:r>
              <w:t xml:space="preserve">), which does not disclaim a guarantee made to a specific buyer.</w:t>
            </w:r>
          </w:p>
        </w:tc>
      </w:tr>
      <w:tr>
        <w:tc>
          <w:tcPr/>
          <w:p>
            <w:pPr>
              <w:pStyle w:val="Compact"/>
              <w:jc w:val="left"/>
            </w:pPr>
            <w:r>
              <w:rPr>
                <w:b/>
                <w:bCs/>
              </w:rPr>
              <w:t xml:space="preserve">Sales deck</w:t>
            </w:r>
          </w:p>
        </w:tc>
        <w:tc>
          <w:tcPr/>
          <w:p>
            <w:pPr>
              <w:pStyle w:val="Compact"/>
              <w:jc w:val="left"/>
            </w:pPr>
            <w:r>
              <w:rPr>
                <w:b/>
                <w:bCs/>
              </w:rPr>
              <w:t xml:space="preserve">Critical</w:t>
            </w:r>
          </w:p>
        </w:tc>
        <w:tc>
          <w:tcPr/>
          <w:p>
            <w:pPr>
              <w:pStyle w:val="Compact"/>
              <w:jc w:val="left"/>
            </w:pPr>
            <w:r>
              <w:t xml:space="preserve">Slide 7</w:t>
            </w:r>
            <w:r>
              <w:t xml:space="preserve"> </w:t>
            </w:r>
            <w:r>
              <w:t xml:space="preserve">“</w:t>
            </w:r>
            <w:r>
              <w:t xml:space="preserve">Our Promise to You</w:t>
            </w:r>
            <w:r>
              <w:t xml:space="preserve">”</w:t>
            </w:r>
            <w:r>
              <w:t xml:space="preserve">:</w:t>
            </w:r>
            <w:r>
              <w:t xml:space="preserve"> </w:t>
            </w:r>
            <w:r>
              <w:t xml:space="preserve">“</w:t>
            </w:r>
            <w:r>
              <w:t xml:space="preserve">make customers whole</w:t>
            </w:r>
            <w:r>
              <w:t xml:space="preserve">”</w:t>
            </w:r>
            <w:r>
              <w:t xml:space="preserve">; slides 17/13</w:t>
            </w:r>
            <w:r>
              <w:t xml:space="preserve"> </w:t>
            </w:r>
            <w:r>
              <w:t xml:space="preserve">“</w:t>
            </w:r>
            <w:r>
              <w:t xml:space="preserve">guaranteed</w:t>
            </w:r>
            <w:r>
              <w:t xml:space="preserve">”</w:t>
            </w:r>
            <w:r>
              <w:t xml:space="preserve">; slide 10</w:t>
            </w:r>
            <w:r>
              <w:t xml:space="preserve"> </w:t>
            </w:r>
            <w:r>
              <w:t xml:space="preserve">“</w:t>
            </w:r>
            <w:r>
              <w:t xml:space="preserve">Water for Injection,</w:t>
            </w:r>
            <w:r>
              <w:t xml:space="preserve">”</w:t>
            </w:r>
            <w:r>
              <w:t xml:space="preserve"> </w:t>
            </w:r>
            <w:r>
              <w:t xml:space="preserve">“</w:t>
            </w:r>
            <w:r>
              <w:t xml:space="preserve">21 CFR Part 11 compliant.</w:t>
            </w:r>
            <w:r>
              <w:t xml:space="preserve">”</w:t>
            </w:r>
            <w:r>
              <w:t xml:space="preserve"> </w:t>
            </w:r>
            <w:r>
              <w:t xml:space="preserve">Delivered in person, typically customized. A sales presentation is the exact vehicle at issue in</w:t>
            </w:r>
            <w:r>
              <w:t xml:space="preserve"> </w:t>
            </w:r>
            <w:r>
              <w:rPr>
                <w:i/>
                <w:iCs/>
              </w:rPr>
              <w:t xml:space="preserve">Redmond</w:t>
            </w:r>
            <w:r>
              <w:t xml:space="preserve">.</w:t>
            </w:r>
          </w:p>
        </w:tc>
      </w:tr>
      <w:tr>
        <w:tc>
          <w:tcPr/>
          <w:p>
            <w:pPr>
              <w:pStyle w:val="Compact"/>
              <w:jc w:val="left"/>
            </w:pPr>
            <w:r>
              <w:rPr>
                <w:b/>
                <w:bCs/>
              </w:rPr>
              <w:t xml:space="preserve">Quotation letter</w:t>
            </w:r>
          </w:p>
        </w:tc>
        <w:tc>
          <w:tcPr/>
          <w:p>
            <w:pPr>
              <w:pStyle w:val="Compact"/>
              <w:jc w:val="left"/>
            </w:pPr>
            <w:r>
              <w:rPr>
                <w:b/>
                <w:bCs/>
              </w:rPr>
              <w:t xml:space="preserve">High.</w:t>
            </w:r>
            <w:r>
              <w:t xml:space="preserve"> </w:t>
            </w:r>
            <w:r>
              <w:t xml:space="preserve">The most dangerous in legal structure, though the mildest in tone</w:t>
            </w:r>
          </w:p>
        </w:tc>
        <w:tc>
          <w:tcPr/>
          <w:p>
            <w:pPr>
              <w:pStyle w:val="Compact"/>
              <w:jc w:val="left"/>
            </w:pPr>
            <w:r>
              <w:t xml:space="preserve">Its</w:t>
            </w:r>
            <w:r>
              <w:t xml:space="preserve"> </w:t>
            </w:r>
            <w:r>
              <w:t xml:space="preserve">“</w:t>
            </w:r>
            <w:r>
              <w:t xml:space="preserve">designed to achieve . . . under standard operating conditions</w:t>
            </w:r>
            <w:r>
              <w:t xml:space="preserve">”</w:t>
            </w:r>
            <w:r>
              <w:t xml:space="preserve"> </w:t>
            </w:r>
            <w:r>
              <w:t xml:space="preserve">hedge is helpful but weak:</w:t>
            </w:r>
            <w:r>
              <w:t xml:space="preserve"> </w:t>
            </w:r>
            <w:r>
              <w:t xml:space="preserve">“</w:t>
            </w:r>
            <w:r>
              <w:t xml:space="preserve">standard operating conditions</w:t>
            </w:r>
            <w:r>
              <w:t xml:space="preserve">”</w:t>
            </w:r>
            <w:r>
              <w:t xml:space="preserve"> </w:t>
            </w:r>
            <w:r>
              <w:t xml:space="preserve">is undefined, and the same letter twice says the system</w:t>
            </w:r>
            <w:r>
              <w:t xml:space="preserve"> </w:t>
            </w:r>
            <w:r>
              <w:t xml:space="preserve">“</w:t>
            </w:r>
            <w:r>
              <w:t xml:space="preserve">meets or exceeds EPA and state regulatory standards</w:t>
            </w:r>
            <w:r>
              <w:t xml:space="preserve">”</w:t>
            </w:r>
            <w:r>
              <w:t xml:space="preserve"> </w:t>
            </w:r>
            <w:r>
              <w:t xml:space="preserve">without qualification. The quotation is the document most likely to be incorporated into the purchase order, and so into the contract (§ 2-202). Meanwhile it defers the warranty to delivery. It is the bridge between the marketing and the contract. You are right to be troubled by it.</w:t>
            </w:r>
          </w:p>
        </w:tc>
      </w:tr>
    </w:tbl>
    <w:p>
      <w:pPr>
        <w:pStyle w:val="BodyText"/>
      </w:pPr>
      <w:r>
        <w:rPr>
          <w:b/>
          <w:bCs/>
        </w:rPr>
        <w:t xml:space="preserve">5. Cumulative effect.</w:t>
      </w:r>
      <w:r>
        <w:t xml:space="preserve"> </w:t>
      </w:r>
      <w:r>
        <w:t xml:space="preserve">Courts read all of the seller’s representations together. The consistent, repeated message across four channels, with CEO endorsement and Board-approved branding, makes it impossible to argue that any one statement was an isolated slip or a rep’s unauthorized opinion. SLW § 5 says that</w:t>
      </w:r>
      <w:r>
        <w:t xml:space="preserve"> </w:t>
      </w:r>
      <w:r>
        <w:t xml:space="preserve">“</w:t>
      </w:r>
      <w:r>
        <w:t xml:space="preserve">no oral or written information or advice given by CIT . . . shall create a warranty.</w:t>
      </w:r>
      <w:r>
        <w:t xml:space="preserve">”</w:t>
      </w:r>
      <w:r>
        <w:t xml:space="preserve"> </w:t>
      </w:r>
      <w:r>
        <w:t xml:space="preserve">But (a) that clause arrives after the sale, and (b) courts widely hold that a seller cannot authorize its sales force to make specific promises and then disclaim their authority to do so.</w:t>
      </w:r>
    </w:p>
    <w:p>
      <w:pPr>
        <w:pStyle w:val="BodyText"/>
      </w:pPr>
      <w:r>
        <w:rPr>
          <w:b/>
          <w:bCs/>
        </w:rPr>
        <w:t xml:space="preserve">6. § 2-316(1): why the disclaimer cannot fix this.</w:t>
      </w:r>
      <w:r>
        <w:t xml:space="preserve"> </w:t>
      </w:r>
      <w:r>
        <w:t xml:space="preserve">Where words creating an express warranty and words negating it cannot reasonably be read together,</w:t>
      </w:r>
      <w:r>
        <w:t xml:space="preserve"> </w:t>
      </w:r>
      <w:r>
        <w:t xml:space="preserve">“</w:t>
      </w:r>
      <w:r>
        <w:t xml:space="preserve">negation or limitation is inoperative.</w:t>
      </w:r>
      <w:r>
        <w:t xml:space="preserve">”</w:t>
      </w:r>
      <w:r>
        <w:t xml:space="preserve"> </w:t>
      </w:r>
      <w:r>
        <w:t xml:space="preserve">A guarantee of 99.97% removal cannot reasonably coexist with</w:t>
      </w:r>
      <w:r>
        <w:t xml:space="preserve"> </w:t>
      </w:r>
      <w:r>
        <w:t xml:space="preserve">“</w:t>
      </w:r>
      <w:r>
        <w:t xml:space="preserve">Seller makes no warranty regarding the results that may be obtained from the use of the Products</w:t>
      </w:r>
      <w:r>
        <w:t xml:space="preserve">”</w:t>
      </w:r>
      <w:r>
        <w:t xml:space="preserve"> </w:t>
      </w:r>
      <w:r>
        <w:t xml:space="preserve">(SLW § 5). The express warranty prevails. The only lawful ways to manage an express warranty are to (i) not make it, (ii) define it precisely so its scope is controlled, or (iii) limit the</w:t>
      </w:r>
      <w:r>
        <w:t xml:space="preserve"> </w:t>
      </w:r>
      <w:r>
        <w:rPr>
          <w:i/>
          <w:iCs/>
        </w:rPr>
        <w:t xml:space="preserve">remedy</w:t>
      </w:r>
      <w:r>
        <w:t xml:space="preserve"> </w:t>
      </w:r>
      <w:r>
        <w:t xml:space="preserve">for breaching it under § 2-719.</w:t>
      </w:r>
    </w:p>
    <w:p>
      <w:pPr>
        <w:pStyle w:val="BodyText"/>
      </w:pPr>
      <w:r>
        <w:rPr>
          <w:b/>
          <w:bCs/>
        </w:rPr>
        <w:t xml:space="preserve">7. Exposure beyond warranty law.</w:t>
      </w:r>
      <w:r>
        <w:t xml:space="preserve"> </w:t>
      </w:r>
      <w:r>
        <w:t xml:space="preserve">The same statements support non-contract claims that warranty disclaimers do not reach:</w:t>
      </w:r>
    </w:p>
    <w:p>
      <w:pPr>
        <w:pStyle w:val="Compact"/>
        <w:numPr>
          <w:ilvl w:val="0"/>
          <w:numId w:val="1024"/>
        </w:numPr>
      </w:pPr>
      <w:r>
        <w:rPr>
          <w:b/>
          <w:bCs/>
        </w:rPr>
        <w:t xml:space="preserve">Fraudulent or negligent misrepresentation.</w:t>
      </w:r>
      <w:r>
        <w:t xml:space="preserve"> </w:t>
      </w:r>
      <w:r>
        <w:t xml:space="preserve">Examples: the claims that the performance is</w:t>
      </w:r>
      <w:r>
        <w:t xml:space="preserve"> </w:t>
      </w:r>
      <w:r>
        <w:t xml:space="preserve">“</w:t>
      </w:r>
      <w:r>
        <w:t xml:space="preserve">verified</w:t>
      </w:r>
      <w:r>
        <w:t xml:space="preserve">”</w:t>
      </w:r>
      <w:r>
        <w:t xml:space="preserve"> </w:t>
      </w:r>
      <w:r>
        <w:t xml:space="preserve">and</w:t>
      </w:r>
      <w:r>
        <w:t xml:space="preserve"> </w:t>
      </w:r>
      <w:r>
        <w:t xml:space="preserve">“</w:t>
      </w:r>
      <w:r>
        <w:t xml:space="preserve">validated,</w:t>
      </w:r>
      <w:r>
        <w:t xml:space="preserve">”</w:t>
      </w:r>
      <w:r>
        <w:t xml:space="preserve"> </w:t>
      </w:r>
      <w:r>
        <w:t xml:space="preserve">and statements about regulatory compliance that CIT may not have substantiated. Is WFI production actually validated? Has AquaMonitor been assessed for Part 11 compliance, which depends heavily on how the customer configures and validates the system? Does</w:t>
      </w:r>
      <w:r>
        <w:t xml:space="preserve"> </w:t>
      </w:r>
      <w:r>
        <w:t xml:space="preserve">“</w:t>
      </w:r>
      <w:r>
        <w:t xml:space="preserve">verified across all target contaminant categories</w:t>
      </w:r>
      <w:r>
        <w:t xml:space="preserve">”</w:t>
      </w:r>
      <w:r>
        <w:t xml:space="preserve"> </w:t>
      </w:r>
      <w:r>
        <w:t xml:space="preserve">hold at every feed-water profile?</w:t>
      </w:r>
    </w:p>
    <w:p>
      <w:pPr>
        <w:pStyle w:val="Compact"/>
        <w:numPr>
          <w:ilvl w:val="0"/>
          <w:numId w:val="1024"/>
        </w:numPr>
      </w:pPr>
      <w:r>
        <w:rPr>
          <w:b/>
          <w:bCs/>
        </w:rPr>
        <w:t xml:space="preserve">State unfair-practices statutes</w:t>
      </w:r>
      <w:r>
        <w:t xml:space="preserve"> </w:t>
      </w:r>
      <w:r>
        <w:t xml:space="preserve">that reach business buyers: Illinois Consumer Fraud Act, Massachusetts ch. 93A § 11, California UCL/FAL, and potentially Texas DTPA (addressed in Part V-State below).</w:t>
      </w:r>
    </w:p>
    <w:p>
      <w:pPr>
        <w:pStyle w:val="Compact"/>
        <w:numPr>
          <w:ilvl w:val="0"/>
          <w:numId w:val="1024"/>
        </w:numPr>
      </w:pPr>
      <w:r>
        <w:rPr>
          <w:b/>
          <w:bCs/>
        </w:rPr>
        <w:t xml:space="preserve">Federal Trade Commission Act § 5</w:t>
      </w:r>
      <w:r>
        <w:t xml:space="preserve"> </w:t>
      </w:r>
      <w:r>
        <w:t xml:space="preserve">substantiation doctrine for objective claims.</w:t>
      </w:r>
    </w:p>
    <w:p>
      <w:pPr>
        <w:pStyle w:val="FirstParagraph"/>
      </w:pPr>
      <w:r>
        <w:t xml:space="preserve">These routes often bypass contractual caps and consequential-damages exclusions. Before any quantified claim remains in the materials,</w:t>
      </w:r>
      <w:r>
        <w:t xml:space="preserve"> </w:t>
      </w:r>
      <w:r>
        <w:rPr>
          <w:b/>
          <w:bCs/>
        </w:rPr>
        <w:t xml:space="preserve">CIT should hold a written substantiation file</w:t>
      </w:r>
      <w:r>
        <w:t xml:space="preserve"> </w:t>
      </w:r>
      <w:r>
        <w:t xml:space="preserve">for it. Six beta sites over 14 months can support a 99.97% claim</w:t>
      </w:r>
      <w:r>
        <w:t xml:space="preserve"> </w:t>
      </w:r>
      <w:r>
        <w:rPr>
          <w:i/>
          <w:iCs/>
        </w:rPr>
        <w:t xml:space="preserve">under tested conditions</w:t>
      </w:r>
      <w:r>
        <w:t xml:space="preserve">. They cannot support</w:t>
      </w:r>
      <w:r>
        <w:t xml:space="preserve"> </w:t>
      </w:r>
      <w:r>
        <w:t xml:space="preserve">“</w:t>
      </w:r>
      <w:r>
        <w:t xml:space="preserve">your water supply</w:t>
      </w:r>
      <w:r>
        <w:t xml:space="preserve">”</w:t>
      </w:r>
      <w:r>
        <w:t xml:space="preserve"> </w:t>
      </w:r>
      <w:r>
        <w:t xml:space="preserve">universally, a 15-year design life as a guarantee, or</w:t>
      </w:r>
      <w:r>
        <w:t xml:space="preserve"> </w:t>
      </w:r>
      <w:r>
        <w:t xml:space="preserve">“</w:t>
      </w:r>
      <w:r>
        <w:t xml:space="preserve">meets all state standards</w:t>
      </w:r>
      <w:r>
        <w:t xml:space="preserve">”</w:t>
      </w:r>
      <w:r>
        <w:t xml:space="preserve"> </w:t>
      </w:r>
      <w:r>
        <w:t xml:space="preserve">in every state.</w:t>
      </w:r>
    </w:p>
    <w:p>
      <w:pPr>
        <w:pStyle w:val="BodyText"/>
      </w:pPr>
      <w:r>
        <w:rPr>
          <w:b/>
          <w:bCs/>
        </w:rPr>
        <w:t xml:space="preserve">8. The Board-approval point.</w:t>
      </w:r>
      <w:r>
        <w:t xml:space="preserve"> </w:t>
      </w:r>
      <w:r>
        <w:t xml:space="preserve">Ms. Dasgupta notes the Board endorsed the</w:t>
      </w:r>
      <w:r>
        <w:t xml:space="preserve"> </w:t>
      </w:r>
      <w:r>
        <w:t xml:space="preserve">“</w:t>
      </w:r>
      <w:r>
        <w:t xml:space="preserve">Total Performance Guarantee</w:t>
      </w:r>
      <w:r>
        <w:t xml:space="preserve">”</w:t>
      </w:r>
      <w:r>
        <w:t xml:space="preserve"> </w:t>
      </w:r>
      <w:r>
        <w:t xml:space="preserve">program. Board approval of a marketing strategy does not change how a court reads the resulting statements. If anything, it forecloses the argument that the statements were unauthorized. The Board approved a</w:t>
      </w:r>
      <w:r>
        <w:t xml:space="preserve"> </w:t>
      </w:r>
      <w:r>
        <w:rPr>
          <w:i/>
          <w:iCs/>
        </w:rPr>
        <w:t xml:space="preserve">strategy</w:t>
      </w:r>
      <w:r>
        <w:t xml:space="preserve">. It can and should approve a</w:t>
      </w:r>
      <w:r>
        <w:t xml:space="preserve"> </w:t>
      </w:r>
      <w:r>
        <w:rPr>
          <w:i/>
          <w:iCs/>
        </w:rPr>
        <w:t xml:space="preserve">legally sound implementation</w:t>
      </w:r>
      <w:r>
        <w:t xml:space="preserve"> </w:t>
      </w:r>
      <w:r>
        <w:t xml:space="preserve">of that strategy. My recommendations preserve the program and its branding.</w:t>
      </w:r>
    </w:p>
    <w:p>
      <w:r>
        <w:pict>
          <v:rect style="width:0;height:1.5pt" o:hralign="center" o:hrstd="t" o:hr="t"/>
        </w:pict>
      </w:r>
    </w:p>
    <w:bookmarkEnd w:id="32"/>
    <w:bookmarkEnd w:id="33"/>
    <w:bookmarkStart w:id="39" w:name="vi.-issue-3-multi-state-analysis"/>
    <w:p>
      <w:pPr>
        <w:pStyle w:val="Heading2"/>
      </w:pPr>
      <w:r>
        <w:t xml:space="preserve">VI. ISSUE 3 — MULTI-STATE ANALYSIS</w:t>
      </w:r>
    </w:p>
    <w:p>
      <w:pPr>
        <w:pStyle w:val="FirstParagraph"/>
      </w:pPr>
      <w:r>
        <w:rPr>
          <w:b/>
          <w:bCs/>
        </w:rPr>
        <w:t xml:space="preserve">Threshold choice-of-law point.</w:t>
      </w:r>
      <w:r>
        <w:t xml:space="preserve"> </w:t>
      </w:r>
      <w:r>
        <w:t xml:space="preserve">The SLW’s Oregon choice-of-law and forum clauses would, if enforced, displace much of the state-by-state variation discussed below (UCC § 1-301 permits the choice of a state bearing a reasonable relation to the transaction, and CIT’s headquarters and FOB-origin shipping supply that). But (i) those clauses live in the post-sale document and probably are not part of the contract (Part IV.C.3); (ii) the Quotation Template leaves governing law as</w:t>
      </w:r>
      <w:r>
        <w:t xml:space="preserve"> </w:t>
      </w:r>
      <w:r>
        <w:t xml:space="preserve">“</w:t>
      </w:r>
      <w:r>
        <w:t xml:space="preserve">[Oregon / Buyer’s state — to be determined]</w:t>
      </w:r>
      <w:r>
        <w:t xml:space="preserve">”</w:t>
      </w:r>
      <w:r>
        <w:t xml:space="preserve">; (iii) statutory consumer-protection and public-procurement rules usually apply regardless of a contractual choice of law; and (iv) governmental buyers commonly refuse out-of-state law and venue. So the analysis must assume each buyer’s home-state law may apply.</w:t>
      </w:r>
    </w:p>
    <w:bookmarkStart w:id="34" w:name="X5493acdf2f6de9c3fa9c1d6affa44d8bb00f9cf"/>
    <w:p>
      <w:pPr>
        <w:pStyle w:val="Heading3"/>
      </w:pPr>
      <w:r>
        <w:t xml:space="preserve">A. Texas — Triton Municipal Water Authority ($5.7M)</w:t>
      </w:r>
    </w:p>
    <w:p>
      <w:pPr>
        <w:pStyle w:val="FirstParagraph"/>
      </w:pPr>
      <w:r>
        <w:rPr>
          <w:b/>
          <w:bCs/>
        </w:rPr>
        <w:t xml:space="preserve">Short answer.</w:t>
      </w:r>
      <w:r>
        <w:t xml:space="preserve"> </w:t>
      </w:r>
      <w:r>
        <w:t xml:space="preserve">I could not confirm your recollection that Texas has a statute</w:t>
      </w:r>
      <w:r>
        <w:t xml:space="preserve"> </w:t>
      </w:r>
      <w:r>
        <w:rPr>
          <w:i/>
          <w:iCs/>
        </w:rPr>
        <w:t xml:space="preserve">specifically forbidding or limiting UCC warranty disclaimers</w:t>
      </w:r>
      <w:r>
        <w:t xml:space="preserve"> </w:t>
      </w:r>
      <w:r>
        <w:t xml:space="preserve">in sales of goods to governmental entities. Texas’s UCC provisions (Tex. Bus. &amp; Com. Code §§ 2.313–2.316, 2.719) track the uniform text, and I am not aware of a Texas statute that overrides them for public buyers. This should be confirmed with Texas counsel before we rely on it.</w:t>
      </w:r>
      <w:r>
        <w:t xml:space="preserve"> </w:t>
      </w:r>
      <w:r>
        <w:rPr>
          <w:b/>
          <w:bCs/>
        </w:rPr>
        <w:t xml:space="preserve">But the compliance trap you sensed is real. It comes from procurement law and public-entity contracting practice, not from Article 2:</w:t>
      </w:r>
    </w:p>
    <w:p>
      <w:pPr>
        <w:pStyle w:val="Compact"/>
        <w:numPr>
          <w:ilvl w:val="0"/>
          <w:numId w:val="1025"/>
        </w:numPr>
      </w:pPr>
      <w:r>
        <w:rPr>
          <w:b/>
          <w:bCs/>
        </w:rPr>
        <w:t xml:space="preserve">Whose paper governs.</w:t>
      </w:r>
      <w:r>
        <w:t xml:space="preserve"> </w:t>
      </w:r>
      <w:r>
        <w:t xml:space="preserve">Texas water authorities, districts, and municipalities generally must award contracts above statutory thresholds through competitive procurement. Examples: Tex. Loc. Gov’t Code ch. 252 for municipalities, and Tex. Water Code § 49.273 for many water districts. The applicable regime depends on how Triton was created (for instance, a conservation and reclamation district under Tex. Const. art. XVI, § 59, or a municipal utility), which we must confirm. If Triton procures by bid or RFP,</w:t>
      </w:r>
      <w:r>
        <w:t xml:space="preserve"> </w:t>
      </w:r>
      <w:r>
        <w:rPr>
          <w:b/>
          <w:bCs/>
        </w:rPr>
        <w:t xml:space="preserve">its specifications and contract form will govern</w:t>
      </w:r>
      <w:r>
        <w:t xml:space="preserve">, and those forms routinely (a) require the vendor to warrant conformance to the specifications and fitness for the stated purpose, (b) prohibit or cap vendor limitations of liability, (c) require Texas law and venue in the entity’s county, and (d) reject vendor terms that conflict. A CIT submission that takes exception to those terms may be deemed non-responsive. Worse, if the RFP incorporates CIT’s marketing specifications (99.97%/98.5%) as requirements, the guarantee becomes a</w:t>
      </w:r>
      <w:r>
        <w:t xml:space="preserve"> </w:t>
      </w:r>
      <w:r>
        <w:rPr>
          <w:i/>
          <w:iCs/>
        </w:rPr>
        <w:t xml:space="preserve">specification the vendor warrants</w:t>
      </w:r>
      <w:r>
        <w:t xml:space="preserve">, with no cap. The sales memo’s instruction to</w:t>
      </w:r>
      <w:r>
        <w:t xml:space="preserve"> </w:t>
      </w:r>
      <w:r>
        <w:t xml:space="preserve">“</w:t>
      </w:r>
      <w:r>
        <w:t xml:space="preserve">tailor performance commitments to the specific municipality’s water quality challenges</w:t>
      </w:r>
      <w:r>
        <w:t xml:space="preserve">”</w:t>
      </w:r>
      <w:r>
        <w:t xml:space="preserve"> </w:t>
      </w:r>
      <w:r>
        <w:t xml:space="preserve">accelerates exactly that outcome.</w:t>
      </w:r>
      <w:r>
        <w:t xml:space="preserve"> </w:t>
      </w:r>
      <w:r>
        <w:rPr>
          <w:i/>
          <w:iCs/>
        </w:rPr>
        <w:t xml:space="preserve">Action:</w:t>
      </w:r>
      <w:r>
        <w:t xml:space="preserve"> </w:t>
      </w:r>
      <w:r>
        <w:t xml:space="preserve">obtain Triton’s procurement documents now. Confirm whether this is a competitive procurement, a cooperative-purchasing contract, or a sole-source/professional exemption. Note that the pre-order campaign, which invites Triton to</w:t>
      </w:r>
      <w:r>
        <w:t xml:space="preserve"> </w:t>
      </w:r>
      <w:r>
        <w:t xml:space="preserve">“</w:t>
      </w:r>
      <w:r>
        <w:t xml:space="preserve">reserve a production slot,</w:t>
      </w:r>
      <w:r>
        <w:t xml:space="preserve">”</w:t>
      </w:r>
      <w:r>
        <w:t xml:space="preserve"> </w:t>
      </w:r>
      <w:r>
        <w:t xml:space="preserve">may itself be inconsistent with Triton’s bidding obligations.</w:t>
      </w:r>
    </w:p>
    <w:p>
      <w:pPr>
        <w:pStyle w:val="Compact"/>
        <w:numPr>
          <w:ilvl w:val="0"/>
          <w:numId w:val="1025"/>
        </w:numPr>
      </w:pPr>
      <w:r>
        <w:rPr>
          <w:b/>
          <w:bCs/>
        </w:rPr>
        <w:t xml:space="preserve">Governmental immunity is asymmetrical.</w:t>
      </w:r>
      <w:r>
        <w:t xml:space="preserve"> </w:t>
      </w:r>
      <w:r>
        <w:t xml:space="preserve">Local governmental entities in Texas have immunity from suit on contract claims, waived only as provided in Tex. Loc. Gov’t Code §§ 271.151–.160 for written contracts for goods or services. Recovery under that waiver is limited mostly to the balance due, and consequential damages are excluded (§ 271.153). So</w:t>
      </w:r>
      <w:r>
        <w:t xml:space="preserve"> </w:t>
      </w:r>
      <w:r>
        <w:rPr>
          <w:i/>
          <w:iCs/>
        </w:rPr>
        <w:t xml:space="preserve">CIT’s</w:t>
      </w:r>
      <w:r>
        <w:t xml:space="preserve"> </w:t>
      </w:r>
      <w:r>
        <w:t xml:space="preserve">claims against Triton, such as for non-payment, are constrained, while Triton’s warranty claims against CIT are not. Texas public entities also generally cannot agree to indemnify a vendor or accept open-ended obligations, because of constitutional debt and credit restrictions. The practical point: CIT will have little leverage and few remedies of its own. The protective terms must be won in the contract.</w:t>
      </w:r>
    </w:p>
    <w:p>
      <w:pPr>
        <w:pStyle w:val="Compact"/>
        <w:numPr>
          <w:ilvl w:val="0"/>
          <w:numId w:val="1025"/>
        </w:numPr>
      </w:pPr>
      <w:r>
        <w:rPr>
          <w:b/>
          <w:bCs/>
        </w:rPr>
        <w:t xml:space="preserve">Texas DTPA.</w:t>
      </w:r>
      <w:r>
        <w:t xml:space="preserve"> </w:t>
      </w:r>
      <w:r>
        <w:t xml:space="preserve">The Deceptive Trade Practices–Consumer Protection Act (Tex. Bus. &amp; Com. Code § 17.41 et seq.) defines</w:t>
      </w:r>
      <w:r>
        <w:t xml:space="preserve"> </w:t>
      </w:r>
      <w:r>
        <w:t xml:space="preserve">“</w:t>
      </w:r>
      <w:r>
        <w:t xml:space="preserve">consumer</w:t>
      </w:r>
      <w:r>
        <w:t xml:space="preserve">”</w:t>
      </w:r>
      <w:r>
        <w:t xml:space="preserve"> </w:t>
      </w:r>
      <w:r>
        <w:t xml:space="preserve">to include</w:t>
      </w:r>
      <w:r>
        <w:t xml:space="preserve"> </w:t>
      </w:r>
      <w:r>
        <w:t xml:space="preserve">“</w:t>
      </w:r>
      <w:r>
        <w:t xml:space="preserve">this state, or a subdivision or agency of this state</w:t>
      </w:r>
      <w:r>
        <w:t xml:space="preserve">”</w:t>
      </w:r>
      <w:r>
        <w:t xml:space="preserve"> </w:t>
      </w:r>
      <w:r>
        <w:t xml:space="preserve">(§ 17.45(4)), and allows claims for breach of an express or implied warranty (§ 17.50(a)(2)), with enhanced damages for knowing conduct. Two exemptions likely protect CIT, if the transaction is structured correctly: § 17.49(f) (written contract over $100,000 where the consumer is represented by legal counsel), and</w:t>
      </w:r>
      <w:r>
        <w:t xml:space="preserve"> </w:t>
      </w:r>
      <w:r>
        <w:rPr>
          <w:b/>
          <w:bCs/>
        </w:rPr>
        <w:t xml:space="preserve">§ 17.49(g) (a transaction or set of related transactions involving total consideration over $500,000, other than a residence)</w:t>
      </w:r>
      <w:r>
        <w:t xml:space="preserve">. A $5.7M, 12-unit purchase should fall within § 17.49(g). The</w:t>
      </w:r>
      <w:r>
        <w:t xml:space="preserve"> </w:t>
      </w:r>
      <w:r>
        <w:t xml:space="preserve">“</w:t>
      </w:r>
      <w:r>
        <w:t xml:space="preserve">business consumer</w:t>
      </w:r>
      <w:r>
        <w:t xml:space="preserve">”</w:t>
      </w:r>
      <w:r>
        <w:t xml:space="preserve"> </w:t>
      </w:r>
      <w:r>
        <w:t xml:space="preserve">exclusion for entities with $25M or more in assets (§ 17.45(4)) may not reach a governmental entity.</w:t>
      </w:r>
      <w:r>
        <w:t xml:space="preserve"> </w:t>
      </w:r>
      <w:r>
        <w:rPr>
          <w:i/>
          <w:iCs/>
        </w:rPr>
        <w:t xml:space="preserve">Action:</w:t>
      </w:r>
      <w:r>
        <w:t xml:space="preserve"> </w:t>
      </w:r>
      <w:r>
        <w:t xml:space="preserve">document the purchase as a single project so the § 17.49(g) exemption clearly applies, and confirm Triton is represented by counsel. A DTPA waiver under § 17.42 requires specific statutory language and consumer counsel. It is a secondary option.</w:t>
      </w:r>
    </w:p>
    <w:p>
      <w:pPr>
        <w:pStyle w:val="Compact"/>
        <w:numPr>
          <w:ilvl w:val="0"/>
          <w:numId w:val="1025"/>
        </w:numPr>
      </w:pPr>
      <w:r>
        <w:rPr>
          <w:b/>
          <w:bCs/>
        </w:rPr>
        <w:t xml:space="preserve">Conspicuousness is strictest here.</w:t>
      </w:r>
      <w:r>
        <w:t xml:space="preserve"> </w:t>
      </w:r>
      <w:r>
        <w:t xml:space="preserve">See</w:t>
      </w:r>
      <w:r>
        <w:t xml:space="preserve"> </w:t>
      </w:r>
      <w:r>
        <w:rPr>
          <w:i/>
          <w:iCs/>
        </w:rPr>
        <w:t xml:space="preserve">Cate v. Dover Corp.</w:t>
      </w:r>
      <w:r>
        <w:t xml:space="preserve"> </w:t>
      </w:r>
      <w:r>
        <w:t xml:space="preserve">(Part IV.C.2). Without a pre-sale, signed acknowledgment, our current disclaimer format is at serious risk in a Texas court.</w:t>
      </w:r>
    </w:p>
    <w:p>
      <w:pPr>
        <w:pStyle w:val="Compact"/>
        <w:numPr>
          <w:ilvl w:val="0"/>
          <w:numId w:val="1025"/>
        </w:numPr>
      </w:pPr>
      <w:r>
        <w:rPr>
          <w:b/>
          <w:bCs/>
        </w:rPr>
        <w:t xml:space="preserve">Public-contract compliance items</w:t>
      </w:r>
      <w:r>
        <w:t xml:space="preserve"> </w:t>
      </w:r>
      <w:r>
        <w:t xml:space="preserve">(confirm with Triton or Texas counsel as applicable): Form 1295 disclosure of interested parties (Tex. Gov’t Code § 2252.908) for contracts requiring governing-body approval or over the statutory value; statutory verifications for governmental contracts over $100,000 (e.g., Tex. Gov’t Code ch. 2271 (Israel boycott), ch. 2274 (energy-company and firearm-entity certifications)); possible payment and performance bond requirements under Tex. Gov’t Code ch. 2253 if CIT’s installation scope makes the contract a public work; and the Texas Prompt Payment Act (Tex. Gov’t Code ch. 2251), which</w:t>
      </w:r>
      <w:r>
        <w:t xml:space="preserve"> </w:t>
      </w:r>
      <w:r>
        <w:rPr>
          <w:i/>
          <w:iCs/>
        </w:rPr>
        <w:t xml:space="preserve">helps</w:t>
      </w:r>
      <w:r>
        <w:t xml:space="preserve"> </w:t>
      </w:r>
      <w:r>
        <w:t xml:space="preserve">CIT on collection.</w:t>
      </w:r>
    </w:p>
    <w:p>
      <w:pPr>
        <w:pStyle w:val="Compact"/>
        <w:numPr>
          <w:ilvl w:val="0"/>
          <w:numId w:val="1025"/>
        </w:numPr>
      </w:pPr>
      <w:r>
        <w:rPr>
          <w:b/>
          <w:bCs/>
        </w:rPr>
        <w:t xml:space="preserve">Public-health overlay.</w:t>
      </w:r>
      <w:r>
        <w:t xml:space="preserve"> </w:t>
      </w:r>
      <w:r>
        <w:t xml:space="preserve">Triton has Safe Drinking Water Act obligations, including the new PFAS maximum contaminant levels (compliance timelines and parts of that rule are subject to ongoing regulatory and legal change). Stating that the Max 9000</w:t>
      </w:r>
      <w:r>
        <w:t xml:space="preserve"> </w:t>
      </w:r>
      <w:r>
        <w:t xml:space="preserve">“</w:t>
      </w:r>
      <w:r>
        <w:t xml:space="preserve">meets or exceeds all federal and state drinking water standards, including the latest EPA PFAS regulations</w:t>
      </w:r>
      <w:r>
        <w:t xml:space="preserve">”</w:t>
      </w:r>
      <w:r>
        <w:t xml:space="preserve"> </w:t>
      </w:r>
      <w:r>
        <w:t xml:space="preserve">converts every regulatory change, and every violation Triton incurs, into a potential CIT warranty claim. Where treated water reaches the public, a false AquaMonitor reading implicates bodily-injury claims by residents. Those claims are tort claims that no contract with Triton can disclaim.</w:t>
      </w:r>
    </w:p>
    <w:p>
      <w:pPr>
        <w:pStyle w:val="FirstParagraph"/>
      </w:pPr>
      <w:r>
        <w:rPr>
          <w:b/>
          <w:bCs/>
        </w:rPr>
        <w:t xml:space="preserve">Exposure assessment: HIGH.</w:t>
      </w:r>
      <w:r>
        <w:t xml:space="preserve"> </w:t>
      </w:r>
      <w:r>
        <w:t xml:space="preserve">The most likely outcome is that Triton’s contract terms govern, with CIT’s marketing figures incorporated as warranted specifications. CIT needs a negotiated Performance Warranty (Part IX) ready to</w:t>
      </w:r>
      <w:r>
        <w:t xml:space="preserve"> </w:t>
      </w:r>
      <w:r>
        <w:rPr>
          <w:i/>
          <w:iCs/>
        </w:rPr>
        <w:t xml:space="preserve">offer</w:t>
      </w:r>
      <w:r>
        <w:t xml:space="preserve"> </w:t>
      </w:r>
      <w:r>
        <w:t xml:space="preserve">as Triton’s specification language, rather than waiting to receive Triton’s version.</w:t>
      </w:r>
    </w:p>
    <w:bookmarkEnd w:id="34"/>
    <w:bookmarkStart w:id="35" w:name="X2d2b0010d0b032903cf6455940399d32c766381"/>
    <w:p>
      <w:pPr>
        <w:pStyle w:val="Heading3"/>
      </w:pPr>
      <w:r>
        <w:t xml:space="preserve">B. California — Harmon Valley Agricultural Cooperative ($2.4M)</w:t>
      </w:r>
    </w:p>
    <w:p>
      <w:pPr>
        <w:pStyle w:val="FirstParagraph"/>
      </w:pPr>
      <w:r>
        <w:rPr>
          <w:b/>
          <w:bCs/>
        </w:rPr>
        <w:t xml:space="preserve">Short answer.</w:t>
      </w:r>
      <w:r>
        <w:t xml:space="preserve"> </w:t>
      </w:r>
      <w:r>
        <w:t xml:space="preserve">California’s consumer warranty statutes are unlikely to reach this sale directly. But the co-op structure creates other, genuine exposures that CIT’s standard approach does not address.</w:t>
      </w:r>
    </w:p>
    <w:p>
      <w:pPr>
        <w:pStyle w:val="Compact"/>
        <w:numPr>
          <w:ilvl w:val="0"/>
          <w:numId w:val="1026"/>
        </w:numPr>
      </w:pPr>
      <w:r>
        <w:rPr>
          <w:b/>
          <w:bCs/>
        </w:rPr>
        <w:t xml:space="preserve">Song-Beverly Consumer Warranty Act</w:t>
      </w:r>
      <w:r>
        <w:t xml:space="preserve"> </w:t>
      </w:r>
      <w:r>
        <w:t xml:space="preserve">(Cal. Civ. Code § 1790 et seq.) applies to</w:t>
      </w:r>
      <w:r>
        <w:t xml:space="preserve"> </w:t>
      </w:r>
      <w:r>
        <w:t xml:space="preserve">“</w:t>
      </w:r>
      <w:r>
        <w:t xml:space="preserve">consumer goods,</w:t>
      </w:r>
      <w:r>
        <w:t xml:space="preserve">”</w:t>
      </w:r>
      <w:r>
        <w:t xml:space="preserve"> </w:t>
      </w:r>
      <w:r>
        <w:t xml:space="preserve">meaning products bought</w:t>
      </w:r>
      <w:r>
        <w:t xml:space="preserve"> </w:t>
      </w:r>
      <w:r>
        <w:t xml:space="preserve">“</w:t>
      </w:r>
      <w:r>
        <w:t xml:space="preserve">for use primarily for personal, family, or household purposes</w:t>
      </w:r>
      <w:r>
        <w:t xml:space="preserve">”</w:t>
      </w:r>
      <w:r>
        <w:t xml:space="preserve"> </w:t>
      </w:r>
      <w:r>
        <w:t xml:space="preserve">(§ 1791(a)). An industrial purification unit bought by a co-op for irrigation and processing is not a consumer good. The</w:t>
      </w:r>
      <w:r>
        <w:t xml:space="preserve"> </w:t>
      </w:r>
      <w:r>
        <w:rPr>
          <w:b/>
          <w:bCs/>
        </w:rPr>
        <w:t xml:space="preserve">Consumer Legal Remedies Act</w:t>
      </w:r>
      <w:r>
        <w:t xml:space="preserve"> </w:t>
      </w:r>
      <w:r>
        <w:t xml:space="preserve">(Civ. Code § 1750 et seq.) protects individuals buying for personal, family, or household purposes, so it also does not apply.</w:t>
      </w:r>
      <w:r>
        <w:t xml:space="preserve"> </w:t>
      </w:r>
      <w:r>
        <w:rPr>
          <w:b/>
          <w:bCs/>
        </w:rPr>
        <w:t xml:space="preserve">Magnuson-Moss</w:t>
      </w:r>
      <w:r>
        <w:t xml:space="preserve"> </w:t>
      </w:r>
      <w:r>
        <w:t xml:space="preserve">(15 U.S.C. § 2301) turns on whether the product type is</w:t>
      </w:r>
      <w:r>
        <w:t xml:space="preserve"> </w:t>
      </w:r>
      <w:r>
        <w:t xml:space="preserve">“</w:t>
      </w:r>
      <w:r>
        <w:t xml:space="preserve">normally used</w:t>
      </w:r>
      <w:r>
        <w:t xml:space="preserve">”</w:t>
      </w:r>
      <w:r>
        <w:t xml:space="preserve"> </w:t>
      </w:r>
      <w:r>
        <w:t xml:space="preserve">for personal, family, or household purposes, and a $475,000 industrial system is not. BSK’s 2021 view that MMWA risk is marginal remains correct.</w:t>
      </w:r>
      <w:r>
        <w:t xml:space="preserve"> </w:t>
      </w:r>
      <w:r>
        <w:rPr>
          <w:i/>
          <w:iCs/>
        </w:rPr>
        <w:t xml:space="preserve">Where the line is:</w:t>
      </w:r>
      <w:r>
        <w:t xml:space="preserve"> </w:t>
      </w:r>
      <w:r>
        <w:t xml:space="preserve">these statutes attach by the</w:t>
      </w:r>
      <w:r>
        <w:t xml:space="preserve"> </w:t>
      </w:r>
      <w:r>
        <w:rPr>
          <w:i/>
          <w:iCs/>
        </w:rPr>
        <w:t xml:space="preserve">nature of the product and its use</w:t>
      </w:r>
      <w:r>
        <w:t xml:space="preserve">, not by the buyer’s size or sophistication. They would come into play only if CIT sold units to, or for use by, individuals for household purposes, for example a co-op distributing small units to members’ residences. That is not this deal. We should put in the contract that the units are purchased for commercial and agricultural use.</w:t>
      </w:r>
    </w:p>
    <w:p>
      <w:pPr>
        <w:pStyle w:val="Compact"/>
        <w:numPr>
          <w:ilvl w:val="0"/>
          <w:numId w:val="1026"/>
        </w:numPr>
      </w:pPr>
      <w:r>
        <w:rPr>
          <w:b/>
          <w:bCs/>
        </w:rPr>
        <w:t xml:space="preserve">The real California issues:</w:t>
      </w:r>
    </w:p>
    <w:p>
      <w:pPr>
        <w:pStyle w:val="Compact"/>
        <w:numPr>
          <w:ilvl w:val="1"/>
          <w:numId w:val="1027"/>
        </w:numPr>
      </w:pPr>
      <w:r>
        <w:rPr>
          <w:b/>
          <w:bCs/>
        </w:rPr>
        <w:t xml:space="preserve">Who is the buyer?</w:t>
      </w:r>
      <w:r>
        <w:t xml:space="preserve"> </w:t>
      </w:r>
      <w:r>
        <w:t xml:space="preserve">If Harmon Valley buys</w:t>
      </w:r>
      <w:r>
        <w:t xml:space="preserve"> </w:t>
      </w:r>
      <w:r>
        <w:rPr>
          <w:i/>
          <w:iCs/>
        </w:rPr>
        <w:t xml:space="preserve">as agent</w:t>
      </w:r>
      <w:r>
        <w:t xml:space="preserve"> </w:t>
      </w:r>
      <w:r>
        <w:t xml:space="preserve">for its members, each member farm may be a contracting buyer or an intended third-party beneficiary, with its own warranty claims and consequential losses (crop loss, rejected produce, processing shutdowns). California did not enact UCC § 2-318 in uniform form, and it generally requires privity for</w:t>
      </w:r>
      <w:r>
        <w:t xml:space="preserve"> </w:t>
      </w:r>
      <w:r>
        <w:rPr>
          <w:i/>
          <w:iCs/>
        </w:rPr>
        <w:t xml:space="preserve">implied</w:t>
      </w:r>
      <w:r>
        <w:t xml:space="preserve"> </w:t>
      </w:r>
      <w:r>
        <w:t xml:space="preserve">warranty claims. But courts recognize an exception for</w:t>
      </w:r>
      <w:r>
        <w:t xml:space="preserve"> </w:t>
      </w:r>
      <w:r>
        <w:rPr>
          <w:b/>
          <w:bCs/>
        </w:rPr>
        <w:t xml:space="preserve">express warranties made in advertising and labels</w:t>
      </w:r>
      <w:r>
        <w:t xml:space="preserve"> </w:t>
      </w:r>
      <w:r>
        <w:t xml:space="preserve">that reach the remote purchaser. The brochure is addressed to agricultural operations and</w:t>
      </w:r>
      <w:r>
        <w:t xml:space="preserve"> </w:t>
      </w:r>
      <w:r>
        <w:t xml:space="preserve">“</w:t>
      </w:r>
      <w:r>
        <w:t xml:space="preserve">cooperative purchasing programs,</w:t>
      </w:r>
      <w:r>
        <w:t xml:space="preserve">”</w:t>
      </w:r>
      <w:r>
        <w:t xml:space="preserve"> </w:t>
      </w:r>
      <w:r>
        <w:t xml:space="preserve">so member farms that saw it could sue CIT directly on the guarantee. They would not be bound by any disclaimer they never saw.</w:t>
      </w:r>
      <w:r>
        <w:t xml:space="preserve"> </w:t>
      </w:r>
      <w:r>
        <w:rPr>
          <w:i/>
          <w:iCs/>
        </w:rPr>
        <w:t xml:space="preserve">Action:</w:t>
      </w:r>
      <w:r>
        <w:t xml:space="preserve"> </w:t>
      </w:r>
      <w:r>
        <w:t xml:space="preserve">contract with the co-op as principal. Include an express no-third-party-beneficiary clause. Have the co-op warrant its authority, flow the warranty terms down to members (or obtain member acknowledgments), and indemnify CIT for member claims beyond the contract remedies.</w:t>
      </w:r>
    </w:p>
    <w:p>
      <w:pPr>
        <w:pStyle w:val="Compact"/>
        <w:numPr>
          <w:ilvl w:val="1"/>
          <w:numId w:val="1027"/>
        </w:numPr>
      </w:pPr>
      <w:r>
        <w:rPr>
          <w:b/>
          <w:bCs/>
        </w:rPr>
        <w:t xml:space="preserve">Unfair Competition Law and False Advertising Law</w:t>
      </w:r>
      <w:r>
        <w:t xml:space="preserve"> </w:t>
      </w:r>
      <w:r>
        <w:t xml:space="preserve">(Bus. &amp; Prof. Code §§ 17200, 17500) apply to business-to-business advertising. Remedies are limited to restitution and injunction, but these claims sit outside the contract, and</w:t>
      </w:r>
      <w:r>
        <w:t xml:space="preserve"> </w:t>
      </w:r>
      <w:r>
        <w:t xml:space="preserve">“</w:t>
      </w:r>
      <w:r>
        <w:t xml:space="preserve">unfair</w:t>
      </w:r>
      <w:r>
        <w:t xml:space="preserve">”</w:t>
      </w:r>
      <w:r>
        <w:t xml:space="preserve">/</w:t>
      </w:r>
      <w:r>
        <w:t xml:space="preserve">“</w:t>
      </w:r>
      <w:r>
        <w:t xml:space="preserve">fraudulent</w:t>
      </w:r>
      <w:r>
        <w:t xml:space="preserve">”</w:t>
      </w:r>
      <w:r>
        <w:t xml:space="preserve"> </w:t>
      </w:r>
      <w:r>
        <w:t xml:space="preserve">business practice theories fit the withheld-warranty instruction uncomfortably well.</w:t>
      </w:r>
    </w:p>
    <w:p>
      <w:pPr>
        <w:pStyle w:val="Compact"/>
        <w:numPr>
          <w:ilvl w:val="1"/>
          <w:numId w:val="1027"/>
        </w:numPr>
      </w:pPr>
      <w:r>
        <w:rPr>
          <w:b/>
          <w:bCs/>
        </w:rPr>
        <w:t xml:space="preserve">Cal. Civ. Code § 1668</w:t>
      </w:r>
      <w:r>
        <w:t xml:space="preserve"> </w:t>
      </w:r>
      <w:r>
        <w:t xml:space="preserve">voids contract clauses that exempt a party from its own fraud, willful injury, or violation of law. CIT’s limitation clauses will not shield misrepresentation claims.</w:t>
      </w:r>
    </w:p>
    <w:p>
      <w:pPr>
        <w:pStyle w:val="Compact"/>
        <w:numPr>
          <w:ilvl w:val="1"/>
          <w:numId w:val="1027"/>
        </w:numPr>
      </w:pPr>
      <w:r>
        <w:rPr>
          <w:b/>
          <w:bCs/>
        </w:rPr>
        <w:t xml:space="preserve">Specific agricultural representations.</w:t>
      </w:r>
      <w:r>
        <w:t xml:space="preserve"> </w:t>
      </w:r>
      <w:r>
        <w:t xml:space="preserve">The brochure claims removal of</w:t>
      </w:r>
      <w:r>
        <w:t xml:space="preserve"> </w:t>
      </w:r>
      <w:r>
        <w:t xml:space="preserve">“</w:t>
      </w:r>
      <w:r>
        <w:t xml:space="preserve">pesticide residues</w:t>
      </w:r>
      <w:r>
        <w:t xml:space="preserve">”</w:t>
      </w:r>
      <w:r>
        <w:t xml:space="preserve"> </w:t>
      </w:r>
      <w:r>
        <w:t xml:space="preserve">and</w:t>
      </w:r>
      <w:r>
        <w:t xml:space="preserve"> </w:t>
      </w:r>
      <w:r>
        <w:t xml:space="preserve">“</w:t>
      </w:r>
      <w:r>
        <w:t xml:space="preserve">nitrates</w:t>
      </w:r>
      <w:r>
        <w:t xml:space="preserve">”</w:t>
      </w:r>
      <w:r>
        <w:t xml:space="preserve"> </w:t>
      </w:r>
      <w:r>
        <w:t xml:space="preserve">(deck), and the sales memo describes the product as</w:t>
      </w:r>
      <w:r>
        <w:t xml:space="preserve"> </w:t>
      </w:r>
      <w:r>
        <w:t xml:space="preserve">“</w:t>
      </w:r>
      <w:r>
        <w:t xml:space="preserve">specifically designed</w:t>
      </w:r>
      <w:r>
        <w:t xml:space="preserve">”</w:t>
      </w:r>
      <w:r>
        <w:t xml:space="preserve"> </w:t>
      </w:r>
      <w:r>
        <w:t xml:space="preserve">for</w:t>
      </w:r>
      <w:r>
        <w:t xml:space="preserve"> </w:t>
      </w:r>
      <w:r>
        <w:t xml:space="preserve">“</w:t>
      </w:r>
      <w:r>
        <w:t xml:space="preserve">seasonal demand fluctuations and varying source water quality.</w:t>
      </w:r>
      <w:r>
        <w:t xml:space="preserve">”</w:t>
      </w:r>
      <w:r>
        <w:t xml:space="preserve"> </w:t>
      </w:r>
      <w:r>
        <w:t xml:space="preserve">That is a § 2-315 fitness-for-purpose invitation. Agricultural source water (high TDS, nitrates, silica, iron) is also exactly the kind of feed water most likely to fall</w:t>
      </w:r>
      <w:r>
        <w:t xml:space="preserve"> </w:t>
      </w:r>
      <w:r>
        <w:rPr>
          <w:i/>
          <w:iCs/>
        </w:rPr>
        <w:t xml:space="preserve">outside</w:t>
      </w:r>
      <w:r>
        <w:t xml:space="preserve"> </w:t>
      </w:r>
      <w:r>
        <w:t xml:space="preserve">CIT’s published input parameters, which would void the SLW coverage while leaving the marketing guarantee intact.</w:t>
      </w:r>
    </w:p>
    <w:p>
      <w:pPr>
        <w:pStyle w:val="Compact"/>
        <w:numPr>
          <w:ilvl w:val="1"/>
          <w:numId w:val="1027"/>
        </w:numPr>
      </w:pPr>
      <w:r>
        <w:rPr>
          <w:b/>
          <w:bCs/>
        </w:rPr>
        <w:t xml:space="preserve">Express warranties without reliance</w:t>
      </w:r>
      <w:r>
        <w:t xml:space="preserve"> </w:t>
      </w:r>
      <w:r>
        <w:t xml:space="preserve">(</w:t>
      </w:r>
      <w:r>
        <w:rPr>
          <w:i/>
          <w:iCs/>
        </w:rPr>
        <w:t xml:space="preserve">Keith v. Buchanan</w:t>
      </w:r>
      <w:r>
        <w:t xml:space="preserve">): brochure specifications are presumptively part of the bargain.</w:t>
      </w:r>
    </w:p>
    <w:p>
      <w:pPr>
        <w:pStyle w:val="Compact"/>
        <w:numPr>
          <w:ilvl w:val="0"/>
          <w:numId w:val="1026"/>
        </w:numPr>
      </w:pPr>
      <w:r>
        <w:rPr>
          <w:b/>
          <w:bCs/>
        </w:rPr>
        <w:t xml:space="preserve">Unconscionability (Cal. Com. Code § 2302; Civ. Code § 1670.5).</w:t>
      </w:r>
      <w:r>
        <w:t xml:space="preserve"> </w:t>
      </w:r>
      <w:r>
        <w:t xml:space="preserve">California courts scrutinize both procedural unconscionability (surprise, oppression) and substantive unconscionability. A disclaimer deliberately withheld until after delivery, against a co-op that</w:t>
      </w:r>
      <w:r>
        <w:t xml:space="preserve"> </w:t>
      </w:r>
      <w:r>
        <w:t xml:space="preserve">“</w:t>
      </w:r>
      <w:r>
        <w:t xml:space="preserve">may lack the resources or expertise to closely review warranty terms</w:t>
      </w:r>
      <w:r>
        <w:t xml:space="preserve">”</w:t>
      </w:r>
      <w:r>
        <w:t xml:space="preserve"> </w:t>
      </w:r>
      <w:r>
        <w:t xml:space="preserve">(as BSK noted), is a candidate for a procedural-unconscionability finding.</w:t>
      </w:r>
    </w:p>
    <w:p>
      <w:pPr>
        <w:pStyle w:val="FirstParagraph"/>
      </w:pPr>
      <w:r>
        <w:rPr>
          <w:b/>
          <w:bCs/>
        </w:rPr>
        <w:t xml:space="preserve">Exposure assessment: MODERATE-HIGH</w:t>
      </w:r>
      <w:r>
        <w:t xml:space="preserve">, driven by member-farm claims and misrepresentation theories rather than the consumer statutes.</w:t>
      </w:r>
    </w:p>
    <w:bookmarkEnd w:id="35"/>
    <w:bookmarkStart w:id="36" w:name="X1c430180ee1fcfd86274fbcac674f747670c043"/>
    <w:p>
      <w:pPr>
        <w:pStyle w:val="Heading3"/>
      </w:pPr>
      <w:r>
        <w:t xml:space="preserve">C. Illinois — Great Lakes Processing Corp. ($4.2M)</w:t>
      </w:r>
    </w:p>
    <w:p>
      <w:pPr>
        <w:pStyle w:val="FirstParagraph"/>
      </w:pPr>
      <w:r>
        <w:rPr>
          <w:b/>
          <w:bCs/>
        </w:rPr>
        <w:t xml:space="preserve">Short answer.</w:t>
      </w:r>
      <w:r>
        <w:t xml:space="preserve"> </w:t>
      </w:r>
      <w:r>
        <w:t xml:space="preserve">This is a standard UCC analysis (810 ILCS 5/2-313, 2-316, 2-719), but three Illinois-specific points and the FDA overlay raise the stakes.</w:t>
      </w:r>
    </w:p>
    <w:p>
      <w:pPr>
        <w:pStyle w:val="Compact"/>
        <w:numPr>
          <w:ilvl w:val="0"/>
          <w:numId w:val="1028"/>
        </w:numPr>
      </w:pPr>
      <w:r>
        <w:rPr>
          <w:b/>
          <w:bCs/>
        </w:rPr>
        <w:t xml:space="preserve">The Illinois Consumer Fraud and Deceptive Business Practices Act</w:t>
      </w:r>
      <w:r>
        <w:t xml:space="preserve"> </w:t>
      </w:r>
      <w:r>
        <w:t xml:space="preserve">(815 ILCS 505/1 et seq.) defines</w:t>
      </w:r>
      <w:r>
        <w:t xml:space="preserve"> </w:t>
      </w:r>
      <w:r>
        <w:t xml:space="preserve">“</w:t>
      </w:r>
      <w:r>
        <w:t xml:space="preserve">consumer</w:t>
      </w:r>
      <w:r>
        <w:t xml:space="preserve">”</w:t>
      </w:r>
      <w:r>
        <w:t xml:space="preserve"> </w:t>
      </w:r>
      <w:r>
        <w:t xml:space="preserve">as any person who purchases merchandise</w:t>
      </w:r>
      <w:r>
        <w:t xml:space="preserve"> </w:t>
      </w:r>
      <w:r>
        <w:t xml:space="preserve">“</w:t>
      </w:r>
      <w:r>
        <w:t xml:space="preserve">not for resale,</w:t>
      </w:r>
      <w:r>
        <w:t xml:space="preserve">”</w:t>
      </w:r>
      <w:r>
        <w:t xml:space="preserve"> </w:t>
      </w:r>
      <w:r>
        <w:t xml:space="preserve">which covers a business buying equipment for its own use. The Act permits actual damages, attorney fees, and, in appropriate cases, punitive damages (815 ILCS 505/10a). Misrepresentations of product performance and regulatory compliance are core ICFA territory, and contractual disclaimers do not bar ICFA claims. Business plaintiffs sometimes must show a</w:t>
      </w:r>
      <w:r>
        <w:t xml:space="preserve"> </w:t>
      </w:r>
      <w:r>
        <w:t xml:space="preserve">“</w:t>
      </w:r>
      <w:r>
        <w:t xml:space="preserve">consumer nexus,</w:t>
      </w:r>
      <w:r>
        <w:t xml:space="preserve">”</w:t>
      </w:r>
      <w:r>
        <w:t xml:space="preserve"> </w:t>
      </w:r>
      <w:r>
        <w:t xml:space="preserve">which reduces but does not remove the risk.</w:t>
      </w:r>
    </w:p>
    <w:p>
      <w:pPr>
        <w:pStyle w:val="Compact"/>
        <w:numPr>
          <w:ilvl w:val="0"/>
          <w:numId w:val="1028"/>
        </w:numPr>
      </w:pPr>
      <w:r>
        <w:rPr>
          <w:b/>
          <w:bCs/>
        </w:rPr>
        <w:t xml:space="preserve">Economic loss doctrine.</w:t>
      </w:r>
      <w:r>
        <w:t xml:space="preserve"> </w:t>
      </w:r>
      <w:r>
        <w:rPr>
          <w:i/>
          <w:iCs/>
        </w:rPr>
        <w:t xml:space="preserve">Moorman Mfg. Co. v. National Tank Co.</w:t>
      </w:r>
      <w:r>
        <w:t xml:space="preserve">, 91 Ill.2d 69 (1982) bars negligence and strict-liability recovery for purely economic loss. That channels Great Lakes’ claims into contract, which helps</w:t>
      </w:r>
      <w:r>
        <w:t xml:space="preserve"> </w:t>
      </w:r>
      <w:r>
        <w:rPr>
          <w:i/>
          <w:iCs/>
        </w:rPr>
        <w:t xml:space="preserve">if</w:t>
      </w:r>
      <w:r>
        <w:t xml:space="preserve"> </w:t>
      </w:r>
      <w:r>
        <w:t xml:space="preserve">the contract limits hold. But</w:t>
      </w:r>
      <w:r>
        <w:t xml:space="preserve"> </w:t>
      </w:r>
      <w:r>
        <w:rPr>
          <w:i/>
          <w:iCs/>
        </w:rPr>
        <w:t xml:space="preserve">Moorman</w:t>
      </w:r>
      <w:r>
        <w:t xml:space="preserve"> </w:t>
      </w:r>
      <w:r>
        <w:t xml:space="preserve">has exceptions for intentional misrepresentation and for negligent misrepresentation by those in the business of supplying information. The second exception is an argument Great Lakes could press against</w:t>
      </w:r>
      <w:r>
        <w:t xml:space="preserve"> </w:t>
      </w:r>
      <w:r>
        <w:rPr>
          <w:b/>
          <w:bCs/>
        </w:rPr>
        <w:t xml:space="preserve">AquaMonitor’s compliance reporting</w:t>
      </w:r>
      <w:r>
        <w:t xml:space="preserve">.</w:t>
      </w:r>
    </w:p>
    <w:p>
      <w:pPr>
        <w:pStyle w:val="Compact"/>
        <w:numPr>
          <w:ilvl w:val="0"/>
          <w:numId w:val="1028"/>
        </w:numPr>
      </w:pPr>
      <w:r>
        <w:rPr>
          <w:b/>
          <w:bCs/>
        </w:rPr>
        <w:t xml:space="preserve">Privity.</w:t>
      </w:r>
      <w:r>
        <w:t xml:space="preserve"> </w:t>
      </w:r>
      <w:r>
        <w:t xml:space="preserve">Illinois generally requires privity for implied warranty claims seeking economic loss (</w:t>
      </w:r>
      <w:r>
        <w:rPr>
          <w:i/>
          <w:iCs/>
        </w:rPr>
        <w:t xml:space="preserve">Szajna v. General Motors Corp.</w:t>
      </w:r>
      <w:r>
        <w:t xml:space="preserve">, 115 Ill.2d 294 (1986)). Great Lakes buys directly, so this does not help CIT here.</w:t>
      </w:r>
    </w:p>
    <w:p>
      <w:pPr>
        <w:pStyle w:val="Compact"/>
        <w:numPr>
          <w:ilvl w:val="0"/>
          <w:numId w:val="1028"/>
        </w:numPr>
      </w:pPr>
      <w:r>
        <w:rPr>
          <w:b/>
          <w:bCs/>
        </w:rPr>
        <w:t xml:space="preserve">Failure of essential purpose.</w:t>
      </w:r>
      <w:r>
        <w:t xml:space="preserve"> </w:t>
      </w:r>
      <w:r>
        <w:t xml:space="preserve">Illinois decisions have tended to treat a separately stated consequential-damages exclusion as enforceable even where the repair remedy fails, applying a case-by-case, independent approach. But outcomes turn on unconscionability and the facts. See Part VIII.</w:t>
      </w:r>
    </w:p>
    <w:p>
      <w:pPr>
        <w:pStyle w:val="Compact"/>
        <w:numPr>
          <w:ilvl w:val="0"/>
          <w:numId w:val="1028"/>
        </w:numPr>
      </w:pPr>
      <w:r>
        <w:rPr>
          <w:b/>
          <w:bCs/>
        </w:rPr>
        <w:t xml:space="preserve">The FDA overlay, and how it affects reliance.</w:t>
      </w:r>
      <w:r>
        <w:t xml:space="preserve"> </w:t>
      </w:r>
      <w:r>
        <w:t xml:space="preserve">Food processors must use water that is safe and of adequate sanitary quality (21 CFR 117.37(a)) and must maintain food-safety plans under FSMA preventive-controls rules. It cuts both ways:</w:t>
      </w:r>
    </w:p>
    <w:p>
      <w:pPr>
        <w:pStyle w:val="Compact"/>
        <w:numPr>
          <w:ilvl w:val="1"/>
          <w:numId w:val="1029"/>
        </w:numPr>
      </w:pPr>
      <w:r>
        <w:rPr>
          <w:i/>
          <w:iCs/>
        </w:rPr>
        <w:t xml:space="preserve">Against CIT:</w:t>
      </w:r>
      <w:r>
        <w:t xml:space="preserve"> </w:t>
      </w:r>
      <w:r>
        <w:t xml:space="preserve">Great Lakes’ reliance on the guarantee is concrete and documented. CIT’s materials say the system</w:t>
      </w:r>
      <w:r>
        <w:t xml:space="preserve"> </w:t>
      </w:r>
      <w:r>
        <w:t xml:space="preserve">“</w:t>
      </w:r>
      <w:r>
        <w:t xml:space="preserve">ensures</w:t>
      </w:r>
      <w:r>
        <w:t xml:space="preserve">”</w:t>
      </w:r>
      <w:r>
        <w:t xml:space="preserve"> </w:t>
      </w:r>
      <w:r>
        <w:t xml:space="preserve">FDA compliance and</w:t>
      </w:r>
      <w:r>
        <w:t xml:space="preserve"> </w:t>
      </w:r>
      <w:r>
        <w:t xml:space="preserve">“</w:t>
      </w:r>
      <w:r>
        <w:t xml:space="preserve">reduces risk of product recalls,</w:t>
      </w:r>
      <w:r>
        <w:t xml:space="preserve">”</w:t>
      </w:r>
      <w:r>
        <w:t xml:space="preserve"> </w:t>
      </w:r>
      <w:r>
        <w:t xml:space="preserve">and the sales memo says recall risks</w:t>
      </w:r>
      <w:r>
        <w:t xml:space="preserve"> </w:t>
      </w:r>
      <w:r>
        <w:t xml:space="preserve">“</w:t>
      </w:r>
      <w:r>
        <w:t xml:space="preserve">are eliminated.</w:t>
      </w:r>
      <w:r>
        <w:t xml:space="preserve">”</w:t>
      </w:r>
      <w:r>
        <w:t xml:space="preserve"> </w:t>
      </w:r>
      <w:r>
        <w:t xml:space="preserve">A water-quality failure can produce recall costs, destroyed inventory, and regulatory action. Those consequential damages dwarf the unit price; Redmond alone claims $740,000 in spoiled product.</w:t>
      </w:r>
    </w:p>
    <w:p>
      <w:pPr>
        <w:pStyle w:val="Compact"/>
        <w:numPr>
          <w:ilvl w:val="1"/>
          <w:numId w:val="1029"/>
        </w:numPr>
      </w:pPr>
      <w:r>
        <w:rPr>
          <w:i/>
          <w:iCs/>
        </w:rPr>
        <w:t xml:space="preserve">For CIT:</w:t>
      </w:r>
      <w:r>
        <w:t xml:space="preserve"> </w:t>
      </w:r>
      <w:r>
        <w:t xml:space="preserve">FDA rules place the compliance obligation on the processor, which must verify its own water quality. That supports an argument that reasonable reliance on CIT’s equipment, and especially on AquaMonitor,</w:t>
      </w:r>
      <w:r>
        <w:t xml:space="preserve"> </w:t>
      </w:r>
      <w:r>
        <w:rPr>
          <w:i/>
          <w:iCs/>
        </w:rPr>
        <w:t xml:space="preserve">as a substitute for the processor’s own verification</w:t>
      </w:r>
      <w:r>
        <w:t xml:space="preserve"> </w:t>
      </w:r>
      <w:r>
        <w:t xml:space="preserve">was unreasonable. CIT’s contract should make that allocation explicit: AquaMonitor supports compliance and does not replace the customer’s regulatory sampling program.</w:t>
      </w:r>
    </w:p>
    <w:p>
      <w:pPr>
        <w:pStyle w:val="Compact"/>
        <w:numPr>
          <w:ilvl w:val="0"/>
          <w:numId w:val="1028"/>
        </w:numPr>
      </w:pPr>
      <w:r>
        <w:rPr>
          <w:b/>
          <w:bCs/>
        </w:rPr>
        <w:t xml:space="preserve">LOI status.</w:t>
      </w:r>
      <w:r>
        <w:t xml:space="preserve"> </w:t>
      </w:r>
      <w:r>
        <w:t xml:space="preserve">An LOI has been signed. If it references the performance figures or the guarantee, those may already be framed as agreed terms. I need to review it.</w:t>
      </w:r>
    </w:p>
    <w:p>
      <w:pPr>
        <w:pStyle w:val="FirstParagraph"/>
      </w:pPr>
      <w:r>
        <w:rPr>
          <w:b/>
          <w:bCs/>
        </w:rPr>
        <w:t xml:space="preserve">Exposure assessment: HIGH</w:t>
      </w:r>
      <w:r>
        <w:t xml:space="preserve">, driven by consequential damages (recall and inventory loss), ICFA exposure, and the Enhanced configuration’s software-reliance claims.</w:t>
      </w:r>
    </w:p>
    <w:bookmarkEnd w:id="36"/>
    <w:bookmarkStart w:id="37" w:name="X39a0b5501885b6726ea0a4550ddafde1a604033"/>
    <w:p>
      <w:pPr>
        <w:pStyle w:val="Heading3"/>
      </w:pPr>
      <w:r>
        <w:t xml:space="preserve">D. New York (municipal) and Massachusetts (pharmaceutical) — issues to flag</w:t>
      </w:r>
    </w:p>
    <w:p>
      <w:pPr>
        <w:pStyle w:val="FirstParagraph"/>
      </w:pPr>
      <w:r>
        <w:rPr>
          <w:b/>
          <w:bCs/>
        </w:rPr>
        <w:t xml:space="preserve">New York:</w:t>
      </w:r>
    </w:p>
    <w:p>
      <w:pPr>
        <w:pStyle w:val="Compact"/>
        <w:numPr>
          <w:ilvl w:val="0"/>
          <w:numId w:val="1030"/>
        </w:numPr>
      </w:pPr>
      <w:r>
        <w:rPr>
          <w:i/>
          <w:iCs/>
        </w:rPr>
        <w:t xml:space="preserve">CBS v. Ziff-Davis</w:t>
      </w:r>
      <w:r>
        <w:t xml:space="preserve"> </w:t>
      </w:r>
      <w:r>
        <w:t xml:space="preserve">makes express warranties easy to prove. A New York buyer can enforce a bargained-for warranty even if it doubted the statement.</w:t>
      </w:r>
    </w:p>
    <w:p>
      <w:pPr>
        <w:pStyle w:val="Compact"/>
        <w:numPr>
          <w:ilvl w:val="0"/>
          <w:numId w:val="1030"/>
        </w:numPr>
      </w:pPr>
      <w:r>
        <w:rPr>
          <w:b/>
          <w:bCs/>
        </w:rPr>
        <w:t xml:space="preserve">Municipal procurement:</w:t>
      </w:r>
      <w:r>
        <w:t xml:space="preserve"> </w:t>
      </w:r>
      <w:r>
        <w:t xml:space="preserve">General Municipal Law § 103 competitive bidding, and for New York City agencies, Procurement Policy Board rules and City standard contract terms. As in Texas, expect the municipality’s paper to govern, with warranty and liability terms largely non-negotiable.</w:t>
      </w:r>
    </w:p>
    <w:p>
      <w:pPr>
        <w:pStyle w:val="Compact"/>
        <w:numPr>
          <w:ilvl w:val="0"/>
          <w:numId w:val="1030"/>
        </w:numPr>
      </w:pPr>
      <w:r>
        <w:rPr>
          <w:b/>
          <w:bCs/>
        </w:rPr>
        <w:t xml:space="preserve">Notice-of-claim and contractor-integrity requirements.</w:t>
      </w:r>
      <w:r>
        <w:t xml:space="preserve"> </w:t>
      </w:r>
      <w:r>
        <w:t xml:space="preserve">City contracts often require vendor disclosure (e.g., PASSPort) and have strict insurance requirements, which may themselves require CIT to carry coverage it does not have (see Part IX).</w:t>
      </w:r>
    </w:p>
    <w:p>
      <w:pPr>
        <w:pStyle w:val="Compact"/>
        <w:numPr>
          <w:ilvl w:val="0"/>
          <w:numId w:val="1030"/>
        </w:numPr>
      </w:pPr>
      <w:r>
        <w:t xml:space="preserve">New York’s consumer-protection statute (GBL §§ 349–350) requires</w:t>
      </w:r>
      <w:r>
        <w:t xml:space="preserve"> </w:t>
      </w:r>
      <w:r>
        <w:t xml:space="preserve">“</w:t>
      </w:r>
      <w:r>
        <w:t xml:space="preserve">consumer-oriented</w:t>
      </w:r>
      <w:r>
        <w:t xml:space="preserve">”</w:t>
      </w:r>
      <w:r>
        <w:t xml:space="preserve"> </w:t>
      </w:r>
      <w:r>
        <w:t xml:space="preserve">conduct and is less likely to apply to negotiated B2B sales. But a broad advertising campaign can qualify.</w:t>
      </w:r>
    </w:p>
    <w:p>
      <w:pPr>
        <w:pStyle w:val="Compact"/>
        <w:numPr>
          <w:ilvl w:val="0"/>
          <w:numId w:val="1030"/>
        </w:numPr>
      </w:pPr>
      <w:r>
        <w:t xml:space="preserve">New York generally enforces consequential-damages exclusions between commercial parties, subject to the failure-of-essential-purpose analysis.</w:t>
      </w:r>
    </w:p>
    <w:p>
      <w:pPr>
        <w:pStyle w:val="FirstParagraph"/>
      </w:pPr>
      <w:r>
        <w:rPr>
          <w:b/>
          <w:bCs/>
        </w:rPr>
        <w:t xml:space="preserve">Massachusetts:</w:t>
      </w:r>
    </w:p>
    <w:p>
      <w:pPr>
        <w:pStyle w:val="Compact"/>
        <w:numPr>
          <w:ilvl w:val="0"/>
          <w:numId w:val="1031"/>
        </w:numPr>
      </w:pPr>
      <w:r>
        <w:rPr>
          <w:b/>
          <w:bCs/>
        </w:rPr>
        <w:t xml:space="preserve">Chapter 93A, § 11</w:t>
      </w:r>
      <w:r>
        <w:t xml:space="preserve"> </w:t>
      </w:r>
      <w:r>
        <w:t xml:space="preserve">gives businesses a cause of action for unfair or deceptive acts in trade. Remedies include</w:t>
      </w:r>
      <w:r>
        <w:t xml:space="preserve"> </w:t>
      </w:r>
      <w:r>
        <w:rPr>
          <w:b/>
          <w:bCs/>
        </w:rPr>
        <w:t xml:space="preserve">double or treble damages</w:t>
      </w:r>
      <w:r>
        <w:t xml:space="preserve"> </w:t>
      </w:r>
      <w:r>
        <w:t xml:space="preserve">for willful or knowing violations, plus attorney fees. Massachusetts courts have treated breach of warranty, and particularly misrepresentation accompanying it, as a potential 93A violation, and contractual disclaimers do not bar 93A claims. For pharmaceutical buyers whose losses include discarded batches, the multiplier makes Massachusetts the highest-severity launch market per claim.</w:t>
      </w:r>
    </w:p>
    <w:p>
      <w:pPr>
        <w:pStyle w:val="Compact"/>
        <w:numPr>
          <w:ilvl w:val="0"/>
          <w:numId w:val="1031"/>
        </w:numPr>
      </w:pPr>
      <w:r>
        <w:rPr>
          <w:b/>
          <w:bCs/>
        </w:rPr>
        <w:t xml:space="preserve">Mass. Gen. Laws ch. 106, § 2-316A</w:t>
      </w:r>
      <w:r>
        <w:t xml:space="preserve"> </w:t>
      </w:r>
      <w:r>
        <w:t xml:space="preserve">forbids disclaimers of implied warranties for</w:t>
      </w:r>
      <w:r>
        <w:t xml:space="preserve"> </w:t>
      </w:r>
      <w:r>
        <w:rPr>
          <w:i/>
          <w:iCs/>
        </w:rPr>
        <w:t xml:space="preserve">consumer</w:t>
      </w:r>
      <w:r>
        <w:t xml:space="preserve"> </w:t>
      </w:r>
      <w:r>
        <w:t xml:space="preserve">goods. It does not apply to commercial pharmaceutical equipment, but it will be raised, and the goods-classification point should be locked down in the contract.</w:t>
      </w:r>
    </w:p>
    <w:p>
      <w:pPr>
        <w:pStyle w:val="Compact"/>
        <w:numPr>
          <w:ilvl w:val="0"/>
          <w:numId w:val="1031"/>
        </w:numPr>
      </w:pPr>
      <w:r>
        <w:rPr>
          <w:b/>
          <w:bCs/>
        </w:rPr>
        <w:t xml:space="preserve">Regulatory claims.</w:t>
      </w:r>
      <w:r>
        <w:t xml:space="preserve"> </w:t>
      </w:r>
      <w:r>
        <w:t xml:space="preserve">The deck’s</w:t>
      </w:r>
      <w:r>
        <w:t xml:space="preserve"> </w:t>
      </w:r>
      <w:r>
        <w:t xml:space="preserve">“</w:t>
      </w:r>
      <w:r>
        <w:t xml:space="preserve">Water for Injection,</w:t>
      </w:r>
      <w:r>
        <w:t xml:space="preserve">”</w:t>
      </w:r>
      <w:r>
        <w:t xml:space="preserve"> </w:t>
      </w:r>
      <w:r>
        <w:t xml:space="preserve">“</w:t>
      </w:r>
      <w:r>
        <w:t xml:space="preserve">validated performance for GMP-regulated environments,</w:t>
      </w:r>
      <w:r>
        <w:t xml:space="preserve">”</w:t>
      </w:r>
      <w:r>
        <w:t xml:space="preserve"> </w:t>
      </w:r>
      <w:r>
        <w:t xml:space="preserve">and</w:t>
      </w:r>
      <w:r>
        <w:t xml:space="preserve"> </w:t>
      </w:r>
      <w:r>
        <w:t xml:space="preserve">“</w:t>
      </w:r>
      <w:r>
        <w:t xml:space="preserve">21 CFR Part 11 compliant data logging</w:t>
      </w:r>
      <w:r>
        <w:t xml:space="preserve">”</w:t>
      </w:r>
      <w:r>
        <w:t xml:space="preserve"> </w:t>
      </w:r>
      <w:r>
        <w:t xml:space="preserve">are specific regulatory representations. Under current USP standards, WFI can be produced by processes other than distillation only if suitably validated. Part 11 compliance is a property of a</w:t>
      </w:r>
      <w:r>
        <w:t xml:space="preserve"> </w:t>
      </w:r>
      <w:r>
        <w:rPr>
          <w:i/>
          <w:iCs/>
        </w:rPr>
        <w:t xml:space="preserve">validated system as configured and controlled by the user</w:t>
      </w:r>
      <w:r>
        <w:t xml:space="preserve">, not of software alone. Unless Engineering can substantiate these claims, remove them. At minimum, recast them as</w:t>
      </w:r>
      <w:r>
        <w:t xml:space="preserve"> </w:t>
      </w:r>
      <w:r>
        <w:t xml:space="preserve">“</w:t>
      </w:r>
      <w:r>
        <w:t xml:space="preserve">designed to support</w:t>
      </w:r>
      <w:r>
        <w:t xml:space="preserve">”</w:t>
      </w:r>
      <w:r>
        <w:t xml:space="preserve"> </w:t>
      </w:r>
      <w:r>
        <w:t xml:space="preserve">customer validation.</w:t>
      </w:r>
    </w:p>
    <w:p>
      <w:pPr>
        <w:pStyle w:val="Compact"/>
        <w:numPr>
          <w:ilvl w:val="0"/>
          <w:numId w:val="1031"/>
        </w:numPr>
      </w:pPr>
      <w:r>
        <w:t xml:space="preserve">FY2023–FY2024 claims data already show</w:t>
      </w:r>
      <w:r>
        <w:t xml:space="preserve"> </w:t>
      </w:r>
      <w:r>
        <w:rPr>
          <w:b/>
          <w:bCs/>
        </w:rPr>
        <w:t xml:space="preserve">four pharmaceutical customers citing</w:t>
      </w:r>
      <w:r>
        <w:rPr>
          <w:b/>
          <w:bCs/>
        </w:rPr>
        <w:t xml:space="preserve"> </w:t>
      </w:r>
      <w:r>
        <w:rPr>
          <w:b/>
          <w:bCs/>
        </w:rPr>
        <w:t xml:space="preserve">“</w:t>
      </w:r>
      <w:r>
        <w:rPr>
          <w:b/>
          <w:bCs/>
        </w:rPr>
        <w:t xml:space="preserve">sales documentation specs,</w:t>
      </w:r>
      <w:r>
        <w:rPr>
          <w:b/>
          <w:bCs/>
        </w:rPr>
        <w:t xml:space="preserve">”</w:t>
      </w:r>
      <w:r>
        <w:t xml:space="preserve"> </w:t>
      </w:r>
      <w:r>
        <w:t xml:space="preserve">several of them in Massachusetts, New York, and New Jersey. This is the leading edge of the</w:t>
      </w:r>
      <w:r>
        <w:t xml:space="preserve"> </w:t>
      </w:r>
      <w:r>
        <w:rPr>
          <w:i/>
          <w:iCs/>
        </w:rPr>
        <w:t xml:space="preserve">Redmond</w:t>
      </w:r>
      <w:r>
        <w:t xml:space="preserve"> </w:t>
      </w:r>
      <w:r>
        <w:t xml:space="preserve">theory in the most sensitive sector.</w:t>
      </w:r>
    </w:p>
    <w:bookmarkEnd w:id="37"/>
    <w:bookmarkStart w:id="38" w:name="e.-summary-table"/>
    <w:p>
      <w:pPr>
        <w:pStyle w:val="Heading3"/>
      </w:pPr>
      <w:r>
        <w:t xml:space="preserve">E. Summary table</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jc w:val="left"/>
            </w:pPr>
            <w:r>
              <w:rPr>
                <w:b/>
              </w:rPr>
              <w:t xml:space="preserve">Jurisdiction</w:t>
            </w:r>
          </w:p>
        </w:tc>
        <w:tc>
          <w:tcPr/>
          <w:p>
            <w:pPr>
              <w:pStyle w:val="Compact"/>
              <w:jc w:val="left"/>
            </w:pPr>
            <w:r>
              <w:rPr>
                <w:b/>
              </w:rPr>
              <w:t xml:space="preserve">Key statute/doctrine</w:t>
            </w:r>
          </w:p>
        </w:tc>
        <w:tc>
          <w:tcPr/>
          <w:p>
            <w:pPr>
              <w:pStyle w:val="Compact"/>
              <w:jc w:val="left"/>
            </w:pPr>
            <w:r>
              <w:rPr>
                <w:b/>
              </w:rPr>
              <w:t xml:space="preserve">Can standard disclaimer approach work?</w:t>
            </w:r>
          </w:p>
        </w:tc>
        <w:tc>
          <w:tcPr/>
          <w:p>
            <w:pPr>
              <w:pStyle w:val="Compact"/>
              <w:jc w:val="left"/>
            </w:pPr>
            <w:r>
              <w:rPr>
                <w:b/>
              </w:rPr>
              <w:t xml:space="preserve">Principal exposure</w:t>
            </w:r>
          </w:p>
        </w:tc>
        <w:tc>
          <w:tcPr/>
          <w:p>
            <w:pPr>
              <w:pStyle w:val="Compact"/>
              <w:jc w:val="left"/>
            </w:pPr>
            <w:r>
              <w:rPr>
                <w:b/>
              </w:rPr>
              <w:t xml:space="preserve">Rating</w:t>
            </w:r>
          </w:p>
        </w:tc>
      </w:tr>
      <w:tr>
        <w:tc>
          <w:tcPr/>
          <w:p>
            <w:pPr>
              <w:pStyle w:val="Compact"/>
              <w:jc w:val="left"/>
            </w:pPr>
            <w:r>
              <w:t xml:space="preserve">Texas (Triton)</w:t>
            </w:r>
          </w:p>
        </w:tc>
        <w:tc>
          <w:tcPr/>
          <w:p>
            <w:pPr>
              <w:pStyle w:val="Compact"/>
              <w:jc w:val="left"/>
            </w:pPr>
            <w:r>
              <w:t xml:space="preserve">Public procurement; ch. 271 immunity; DTPA (§ 17.49(g) exemption);</w:t>
            </w:r>
            <w:r>
              <w:t xml:space="preserve"> </w:t>
            </w:r>
            <w:r>
              <w:rPr>
                <w:i/>
                <w:iCs/>
              </w:rPr>
              <w:t xml:space="preserve">Cate</w:t>
            </w:r>
            <w:r>
              <w:t xml:space="preserve"> </w:t>
            </w:r>
            <w:r>
              <w:t xml:space="preserve">conspicuousness</w:t>
            </w:r>
          </w:p>
        </w:tc>
        <w:tc>
          <w:tcPr/>
          <w:p>
            <w:pPr>
              <w:pStyle w:val="Compact"/>
              <w:jc w:val="left"/>
            </w:pPr>
            <w:r>
              <w:t xml:space="preserve">Unlikely. Buyer’s contract terms will govern</w:t>
            </w:r>
          </w:p>
        </w:tc>
        <w:tc>
          <w:tcPr/>
          <w:p>
            <w:pPr>
              <w:pStyle w:val="Compact"/>
              <w:jc w:val="left"/>
            </w:pPr>
            <w:r>
              <w:t xml:space="preserve">Specs become warranted requirements with no cap; public-health tort</w:t>
            </w:r>
          </w:p>
        </w:tc>
        <w:tc>
          <w:tcPr/>
          <w:p>
            <w:pPr>
              <w:pStyle w:val="Compact"/>
              <w:jc w:val="left"/>
            </w:pPr>
            <w:r>
              <w:t xml:space="preserve">High</w:t>
            </w:r>
          </w:p>
        </w:tc>
      </w:tr>
      <w:tr>
        <w:tc>
          <w:tcPr/>
          <w:p>
            <w:pPr>
              <w:pStyle w:val="Compact"/>
              <w:jc w:val="left"/>
            </w:pPr>
            <w:r>
              <w:t xml:space="preserve">California (Harmon Valley)</w:t>
            </w:r>
          </w:p>
        </w:tc>
        <w:tc>
          <w:tcPr/>
          <w:p>
            <w:pPr>
              <w:pStyle w:val="Compact"/>
              <w:jc w:val="left"/>
            </w:pPr>
            <w:r>
              <w:t xml:space="preserve">Song-Beverly/CLRA/MMWA likely inapplicable; UCL/FAL; privity exception for advertising warranties; § 1668</w:t>
            </w:r>
          </w:p>
        </w:tc>
        <w:tc>
          <w:tcPr/>
          <w:p>
            <w:pPr>
              <w:pStyle w:val="Compact"/>
              <w:jc w:val="left"/>
            </w:pPr>
            <w:r>
              <w:t xml:space="preserve">Only with pre-sale signed terms and member flow-down</w:t>
            </w:r>
          </w:p>
        </w:tc>
        <w:tc>
          <w:tcPr/>
          <w:p>
            <w:pPr>
              <w:pStyle w:val="Compact"/>
              <w:jc w:val="left"/>
            </w:pPr>
            <w:r>
              <w:t xml:space="preserve">Member-farm claims; misrepresentation; unconscionability</w:t>
            </w:r>
          </w:p>
        </w:tc>
        <w:tc>
          <w:tcPr/>
          <w:p>
            <w:pPr>
              <w:pStyle w:val="Compact"/>
              <w:jc w:val="left"/>
            </w:pPr>
            <w:r>
              <w:t xml:space="preserve">Moderate–High</w:t>
            </w:r>
          </w:p>
        </w:tc>
      </w:tr>
      <w:tr>
        <w:tc>
          <w:tcPr/>
          <w:p>
            <w:pPr>
              <w:pStyle w:val="Compact"/>
              <w:jc w:val="left"/>
            </w:pPr>
            <w:r>
              <w:t xml:space="preserve">Illinois (Great Lakes)</w:t>
            </w:r>
          </w:p>
        </w:tc>
        <w:tc>
          <w:tcPr/>
          <w:p>
            <w:pPr>
              <w:pStyle w:val="Compact"/>
              <w:jc w:val="left"/>
            </w:pPr>
            <w:r>
              <w:t xml:space="preserve">ICFA;</w:t>
            </w:r>
            <w:r>
              <w:t xml:space="preserve"> </w:t>
            </w:r>
            <w:r>
              <w:rPr>
                <w:i/>
                <w:iCs/>
              </w:rPr>
              <w:t xml:space="preserve">Moorman</w:t>
            </w:r>
            <w:r>
              <w:t xml:space="preserve">; FDA 21 CFR Part 117</w:t>
            </w:r>
          </w:p>
        </w:tc>
        <w:tc>
          <w:tcPr/>
          <w:p>
            <w:pPr>
              <w:pStyle w:val="Compact"/>
              <w:jc w:val="left"/>
            </w:pPr>
            <w:r>
              <w:t xml:space="preserve">Yes, if signed pre-sale and paired with a defined Performance Warranty</w:t>
            </w:r>
          </w:p>
        </w:tc>
        <w:tc>
          <w:tcPr/>
          <w:p>
            <w:pPr>
              <w:pStyle w:val="Compact"/>
              <w:jc w:val="left"/>
            </w:pPr>
            <w:r>
              <w:t xml:space="preserve">Recall/inventory consequential damages; ICFA fees and punitives</w:t>
            </w:r>
          </w:p>
        </w:tc>
        <w:tc>
          <w:tcPr/>
          <w:p>
            <w:pPr>
              <w:pStyle w:val="Compact"/>
              <w:jc w:val="left"/>
            </w:pPr>
            <w:r>
              <w:t xml:space="preserve">High</w:t>
            </w:r>
          </w:p>
        </w:tc>
      </w:tr>
      <w:tr>
        <w:tc>
          <w:tcPr/>
          <w:p>
            <w:pPr>
              <w:pStyle w:val="Compact"/>
              <w:jc w:val="left"/>
            </w:pPr>
            <w:r>
              <w:t xml:space="preserve">New York (municipal)</w:t>
            </w:r>
          </w:p>
        </w:tc>
        <w:tc>
          <w:tcPr/>
          <w:p>
            <w:pPr>
              <w:pStyle w:val="Compact"/>
              <w:jc w:val="left"/>
            </w:pPr>
            <w:r>
              <w:rPr>
                <w:i/>
                <w:iCs/>
              </w:rPr>
              <w:t xml:space="preserve">CBS v. Ziff-Davis</w:t>
            </w:r>
            <w:r>
              <w:t xml:space="preserve">; GML § 103; NYC PPB rules</w:t>
            </w:r>
          </w:p>
        </w:tc>
        <w:tc>
          <w:tcPr/>
          <w:p>
            <w:pPr>
              <w:pStyle w:val="Compact"/>
              <w:jc w:val="left"/>
            </w:pPr>
            <w:r>
              <w:t xml:space="preserve">Largely no. Municipal paper governs</w:t>
            </w:r>
          </w:p>
        </w:tc>
        <w:tc>
          <w:tcPr/>
          <w:p>
            <w:pPr>
              <w:pStyle w:val="Compact"/>
              <w:jc w:val="left"/>
            </w:pPr>
            <w:r>
              <w:t xml:space="preserve">Specs as warranties; insurance requirements</w:t>
            </w:r>
          </w:p>
        </w:tc>
        <w:tc>
          <w:tcPr/>
          <w:p>
            <w:pPr>
              <w:pStyle w:val="Compact"/>
              <w:jc w:val="left"/>
            </w:pPr>
            <w:r>
              <w:t xml:space="preserve">Moderate–High</w:t>
            </w:r>
          </w:p>
        </w:tc>
      </w:tr>
      <w:tr>
        <w:tc>
          <w:tcPr/>
          <w:p>
            <w:pPr>
              <w:pStyle w:val="Compact"/>
              <w:jc w:val="left"/>
            </w:pPr>
            <w:r>
              <w:t xml:space="preserve">Massachusetts (pharma)</w:t>
            </w:r>
          </w:p>
        </w:tc>
        <w:tc>
          <w:tcPr/>
          <w:p>
            <w:pPr>
              <w:pStyle w:val="Compact"/>
              <w:jc w:val="left"/>
            </w:pPr>
            <w:r>
              <w:t xml:space="preserve">Ch. 93A § 11 (multiple damages); § 2-316A (consumer only)</w:t>
            </w:r>
          </w:p>
        </w:tc>
        <w:tc>
          <w:tcPr/>
          <w:p>
            <w:pPr>
              <w:pStyle w:val="Compact"/>
              <w:jc w:val="left"/>
            </w:pPr>
            <w:r>
              <w:t xml:space="preserve">Contract limits work; 93A sits outside them</w:t>
            </w:r>
          </w:p>
        </w:tc>
        <w:tc>
          <w:tcPr/>
          <w:p>
            <w:pPr>
              <w:pStyle w:val="Compact"/>
              <w:jc w:val="left"/>
            </w:pPr>
            <w:r>
              <w:t xml:space="preserve">Treble damages on misrepresentation; WFI/Part 11 claims</w:t>
            </w:r>
          </w:p>
        </w:tc>
        <w:tc>
          <w:tcPr/>
          <w:p>
            <w:pPr>
              <w:pStyle w:val="Compact"/>
              <w:jc w:val="left"/>
            </w:pPr>
            <w:r>
              <w:t xml:space="preserve">High</w:t>
            </w:r>
          </w:p>
        </w:tc>
      </w:tr>
      <w:tr>
        <w:tc>
          <w:tcPr/>
          <w:p>
            <w:pPr>
              <w:pStyle w:val="Compact"/>
              <w:jc w:val="left"/>
            </w:pPr>
            <w:r>
              <w:t xml:space="preserve">Oregon (CIT’s chosen law)</w:t>
            </w:r>
          </w:p>
        </w:tc>
        <w:tc>
          <w:tcPr/>
          <w:p>
            <w:pPr>
              <w:pStyle w:val="Compact"/>
              <w:jc w:val="left"/>
            </w:pPr>
            <w:r>
              <w:t xml:space="preserve">ORS ch. 72 (uniform)</w:t>
            </w:r>
          </w:p>
        </w:tc>
        <w:tc>
          <w:tcPr/>
          <w:p>
            <w:pPr>
              <w:pStyle w:val="Compact"/>
              <w:jc w:val="left"/>
            </w:pPr>
            <w:r>
              <w:t xml:space="preserve">Choice-of-law clause enforceable only if part of the contract</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38"/>
    <w:bookmarkEnd w:id="39"/>
    <w:bookmarkStart w:id="43" w:name="X9ee5fe8f8ca8d5a446cb78874f5e38f1e44cf3c"/>
    <w:p>
      <w:pPr>
        <w:pStyle w:val="Heading2"/>
      </w:pPr>
      <w:r>
        <w:t xml:space="preserve">VII. ISSUE 4 — SOFTWARE WARRANTY GAP: AQUAMONITOR v3.2</w:t>
      </w:r>
    </w:p>
    <w:bookmarkStart w:id="40" w:name="a.-short-answer"/>
    <w:p>
      <w:pPr>
        <w:pStyle w:val="Heading3"/>
      </w:pPr>
      <w:r>
        <w:t xml:space="preserve">A. Short answer</w:t>
      </w:r>
    </w:p>
    <w:p>
      <w:pPr>
        <w:pStyle w:val="FirstParagraph"/>
      </w:pPr>
      <w:r>
        <w:t xml:space="preserve">This may well be our largest unaddressed exposure, as you suspected. The current framework has</w:t>
      </w:r>
      <w:r>
        <w:t xml:space="preserve"> </w:t>
      </w:r>
      <w:r>
        <w:rPr>
          <w:b/>
          <w:bCs/>
        </w:rPr>
        <w:t xml:space="preserve">three separate gaps</w:t>
      </w:r>
      <w:r>
        <w:t xml:space="preserve">:</w:t>
      </w:r>
    </w:p>
    <w:p>
      <w:pPr>
        <w:pStyle w:val="Compact"/>
        <w:numPr>
          <w:ilvl w:val="0"/>
          <w:numId w:val="1032"/>
        </w:numPr>
      </w:pPr>
    </w:p>
    <w:p>
      <w:pPr>
        <w:pStyle w:val="Compact"/>
        <w:numPr>
          <w:ilvl w:val="1"/>
          <w:numId w:val="1033"/>
        </w:numPr>
      </w:pPr>
      <w:r>
        <w:t xml:space="preserve">the SLW’s express warranty does not clearly cover the software;</w:t>
      </w:r>
    </w:p>
    <w:p>
      <w:pPr>
        <w:pStyle w:val="Compact"/>
        <w:numPr>
          <w:ilvl w:val="0"/>
          <w:numId w:val="1032"/>
        </w:numPr>
      </w:pPr>
    </w:p>
    <w:p>
      <w:pPr>
        <w:pStyle w:val="Compact"/>
        <w:numPr>
          <w:ilvl w:val="1"/>
          <w:numId w:val="1034"/>
        </w:numPr>
      </w:pPr>
      <w:r>
        <w:t xml:space="preserve">the SLW’s</w:t>
      </w:r>
      <w:r>
        <w:t xml:space="preserve"> </w:t>
      </w:r>
      <w:r>
        <w:rPr>
          <w:i/>
          <w:iCs/>
        </w:rPr>
        <w:t xml:space="preserve">disclaimer and liability cap</w:t>
      </w:r>
      <w:r>
        <w:t xml:space="preserve"> </w:t>
      </w:r>
      <w:r>
        <w:t xml:space="preserve">may not clearly cover the software either, because</w:t>
      </w:r>
      <w:r>
        <w:t xml:space="preserve"> </w:t>
      </w:r>
      <w:r>
        <w:t xml:space="preserve">“</w:t>
      </w:r>
      <w:r>
        <w:t xml:space="preserve">Product</w:t>
      </w:r>
      <w:r>
        <w:t xml:space="preserve">”</w:t>
      </w:r>
      <w:r>
        <w:t xml:space="preserve"> </w:t>
      </w:r>
      <w:r>
        <w:t xml:space="preserve">is defined as hardware;</w:t>
      </w:r>
    </w:p>
    <w:p>
      <w:pPr>
        <w:pStyle w:val="Compact"/>
        <w:numPr>
          <w:ilvl w:val="0"/>
          <w:numId w:val="1032"/>
        </w:numPr>
      </w:pPr>
    </w:p>
    <w:p>
      <w:pPr>
        <w:pStyle w:val="Compact"/>
        <w:numPr>
          <w:ilvl w:val="1"/>
          <w:numId w:val="1035"/>
        </w:numPr>
      </w:pPr>
      <w:r>
        <w:t xml:space="preserve">the cloud subscription component is a service that Article 2 may not govern at all.</w:t>
      </w:r>
    </w:p>
    <w:p>
      <w:pPr>
        <w:pStyle w:val="FirstParagraph"/>
      </w:pPr>
      <w:r>
        <w:t xml:space="preserve">The marketing, meanwhile, makes affirmative accuracy and compliance promises about the software.</w:t>
      </w:r>
    </w:p>
    <w:bookmarkEnd w:id="40"/>
    <w:bookmarkStart w:id="41" w:name="b.-analysis"/>
    <w:p>
      <w:pPr>
        <w:pStyle w:val="Heading3"/>
      </w:pPr>
      <w:r>
        <w:t xml:space="preserve">B. Analysis</w:t>
      </w:r>
    </w:p>
    <w:p>
      <w:pPr>
        <w:pStyle w:val="FirstParagraph"/>
      </w:pPr>
      <w:r>
        <w:rPr>
          <w:b/>
          <w:bCs/>
        </w:rPr>
        <w:t xml:space="preserve">1. Does Article 2 apply?</w:t>
      </w:r>
      <w:r>
        <w:t xml:space="preserve"> </w:t>
      </w:r>
      <w:r>
        <w:t xml:space="preserve">Courts apply a</w:t>
      </w:r>
      <w:r>
        <w:t xml:space="preserve"> </w:t>
      </w:r>
      <w:r>
        <w:t xml:space="preserve">“</w:t>
      </w:r>
      <w:r>
        <w:t xml:space="preserve">predominant purpose</w:t>
      </w:r>
      <w:r>
        <w:t xml:space="preserve">”</w:t>
      </w:r>
      <w:r>
        <w:t xml:space="preserve"> </w:t>
      </w:r>
      <w:r>
        <w:t xml:space="preserve">test to mixed goods-and-services transactions. Embedded software sold as part of a physical system is generally treated as goods (e.g.,</w:t>
      </w:r>
      <w:r>
        <w:t xml:space="preserve"> </w:t>
      </w:r>
      <w:r>
        <w:rPr>
          <w:i/>
          <w:iCs/>
        </w:rPr>
        <w:t xml:space="preserve">Advent Systems Ltd. v. Unisys Corp.</w:t>
      </w:r>
      <w:r>
        <w:t xml:space="preserve">, 925 F.2d 670 (3d Cir. 1991)). So on-unit AquaMonitor functionality in a Max 9000 purchase is likely governed by Article 2, including implied merchantability unless effectively disclaimed. However:</w:t>
      </w:r>
    </w:p>
    <w:p>
      <w:pPr>
        <w:pStyle w:val="Compact"/>
        <w:numPr>
          <w:ilvl w:val="0"/>
          <w:numId w:val="1036"/>
        </w:numPr>
      </w:pPr>
      <w:r>
        <w:t xml:space="preserve">the</w:t>
      </w:r>
      <w:r>
        <w:t xml:space="preserve"> </w:t>
      </w:r>
      <w:r>
        <w:rPr>
          <w:b/>
          <w:bCs/>
        </w:rPr>
        <w:t xml:space="preserve">12-month cloud subscription</w:t>
      </w:r>
      <w:r>
        <w:t xml:space="preserve"> </w:t>
      </w:r>
      <w:r>
        <w:t xml:space="preserve">(analytics, remote dashboard,</w:t>
      </w:r>
      <w:r>
        <w:t xml:space="preserve"> </w:t>
      </w:r>
      <w:r>
        <w:t xml:space="preserve">“</w:t>
      </w:r>
      <w:r>
        <w:t xml:space="preserve">cloud-based data storage</w:t>
      </w:r>
      <w:r>
        <w:t xml:space="preserve">”</w:t>
      </w:r>
      <w:r>
        <w:t xml:space="preserve">);</w:t>
      </w:r>
    </w:p>
    <w:p>
      <w:pPr>
        <w:pStyle w:val="Compact"/>
        <w:numPr>
          <w:ilvl w:val="0"/>
          <w:numId w:val="1036"/>
        </w:numPr>
      </w:pPr>
      <w:r>
        <w:rPr>
          <w:b/>
          <w:bCs/>
        </w:rPr>
        <w:t xml:space="preserve">over-the-air updates</w:t>
      </w:r>
      <w:r>
        <w:t xml:space="preserve">; and</w:t>
      </w:r>
    </w:p>
    <w:p>
      <w:pPr>
        <w:pStyle w:val="Compact"/>
        <w:numPr>
          <w:ilvl w:val="0"/>
          <w:numId w:val="1036"/>
        </w:numPr>
      </w:pPr>
      <w:r>
        <w:t xml:space="preserve">the</w:t>
      </w:r>
      <w:r>
        <w:t xml:space="preserve"> </w:t>
      </w:r>
      <w:r>
        <w:rPr>
          <w:b/>
          <w:bCs/>
        </w:rPr>
        <w:t xml:space="preserve">“</w:t>
      </w:r>
      <w:r>
        <w:rPr>
          <w:b/>
          <w:bCs/>
        </w:rPr>
        <w:t xml:space="preserve">dedicated technical support line</w:t>
      </w:r>
      <w:r>
        <w:rPr>
          <w:b/>
          <w:bCs/>
        </w:rPr>
        <w:t xml:space="preserve">”</w:t>
      </w:r>
    </w:p>
    <w:p>
      <w:pPr>
        <w:pStyle w:val="FirstParagraph"/>
      </w:pPr>
      <w:r>
        <w:t xml:space="preserve">are services and data hosting, governed by common-law contract principles (and by any license terms).</w:t>
      </w:r>
      <w:r>
        <w:t xml:space="preserve"> </w:t>
      </w:r>
      <w:r>
        <w:rPr>
          <w:i/>
          <w:iCs/>
        </w:rPr>
        <w:t xml:space="preserve">CIT has no license, EULA, or SaaS terms in the documents I reviewed.</w:t>
      </w:r>
      <w:r>
        <w:t xml:space="preserve"> </w:t>
      </w:r>
      <w:r>
        <w:t xml:space="preserve">Without them, CIT’s rights in the software (ownership, license scope, restrictions on reverse engineering, termination, what happens after the subscription ends) are undefined. So is its liability for cloud outages, data loss, and security incidents.</w:t>
      </w:r>
    </w:p>
    <w:p>
      <w:pPr>
        <w:pStyle w:val="BodyText"/>
      </w:pPr>
      <w:r>
        <w:rPr>
          <w:b/>
          <w:bCs/>
        </w:rPr>
        <w:t xml:space="preserve">2. Coverage gap: what CIT warrants versus what customers will expect.</w:t>
      </w:r>
      <w:r>
        <w:t xml:space="preserve"> </w:t>
      </w:r>
      <w:r>
        <w:t xml:space="preserve">SLW § 3.1 warrants freedom from</w:t>
      </w:r>
      <w:r>
        <w:t xml:space="preserve"> </w:t>
      </w:r>
      <w:r>
        <w:t xml:space="preserve">“</w:t>
      </w:r>
      <w:r>
        <w:t xml:space="preserve">defects in materials and workmanship,</w:t>
      </w:r>
      <w:r>
        <w:t xml:space="preserve">”</w:t>
      </w:r>
      <w:r>
        <w:t xml:space="preserve"> </w:t>
      </w:r>
      <w:r>
        <w:t xml:space="preserve">and § 2 defines</w:t>
      </w:r>
      <w:r>
        <w:t xml:space="preserve"> </w:t>
      </w:r>
      <w:r>
        <w:t xml:space="preserve">“</w:t>
      </w:r>
      <w:r>
        <w:t xml:space="preserve">Product</w:t>
      </w:r>
      <w:r>
        <w:t xml:space="preserve">”</w:t>
      </w:r>
      <w:r>
        <w:t xml:space="preserve"> </w:t>
      </w:r>
      <w:r>
        <w:t xml:space="preserve">by listing hardware (housings, pumps, control panels, valves, sensors, and so on). Software is not</w:t>
      </w:r>
      <w:r>
        <w:t xml:space="preserve"> </w:t>
      </w:r>
      <w:r>
        <w:t xml:space="preserve">“</w:t>
      </w:r>
      <w:r>
        <w:t xml:space="preserve">material,</w:t>
      </w:r>
      <w:r>
        <w:t xml:space="preserve">”</w:t>
      </w:r>
      <w:r>
        <w:t xml:space="preserve"> </w:t>
      </w:r>
      <w:r>
        <w:t xml:space="preserve">and coding errors are not naturally</w:t>
      </w:r>
      <w:r>
        <w:t xml:space="preserve"> </w:t>
      </w:r>
      <w:r>
        <w:t xml:space="preserve">“</w:t>
      </w:r>
      <w:r>
        <w:t xml:space="preserve">workmanship.</w:t>
      </w:r>
      <w:r>
        <w:t xml:space="preserve">”</w:t>
      </w:r>
      <w:r>
        <w:t xml:space="preserve"> </w:t>
      </w:r>
      <w:r>
        <w:t xml:space="preserve">A customer will reasonably expect, because the brochure says so, that AquaMonitor:</w:t>
      </w:r>
    </w:p>
    <w:p>
      <w:pPr>
        <w:pStyle w:val="Compact"/>
        <w:numPr>
          <w:ilvl w:val="0"/>
          <w:numId w:val="1037"/>
        </w:numPr>
      </w:pPr>
      <w:r>
        <w:t xml:space="preserve">provides</w:t>
      </w:r>
      <w:r>
        <w:t xml:space="preserve"> </w:t>
      </w:r>
      <w:r>
        <w:t xml:space="preserve">“</w:t>
      </w:r>
      <w:r>
        <w:t xml:space="preserve">accurate, real-time data you can rely on for regulatory compliance</w:t>
      </w:r>
      <w:r>
        <w:t xml:space="preserve">”</w:t>
      </w:r>
      <w:r>
        <w:t xml:space="preserve">;</w:t>
      </w:r>
    </w:p>
    <w:p>
      <w:pPr>
        <w:pStyle w:val="Compact"/>
        <w:numPr>
          <w:ilvl w:val="0"/>
          <w:numId w:val="1037"/>
        </w:numPr>
      </w:pPr>
      <w:r>
        <w:t xml:space="preserve">“</w:t>
      </w:r>
      <w:r>
        <w:t xml:space="preserve">continuously verifies</w:t>
      </w:r>
      <w:r>
        <w:t xml:space="preserve">”</w:t>
      </w:r>
      <w:r>
        <w:t xml:space="preserve"> </w:t>
      </w:r>
      <w:r>
        <w:t xml:space="preserve">that the system performs;</w:t>
      </w:r>
    </w:p>
    <w:p>
      <w:pPr>
        <w:pStyle w:val="Compact"/>
        <w:numPr>
          <w:ilvl w:val="0"/>
          <w:numId w:val="1037"/>
        </w:numPr>
      </w:pPr>
      <w:r>
        <w:t xml:space="preserve">generates</w:t>
      </w:r>
      <w:r>
        <w:t xml:space="preserve"> </w:t>
      </w:r>
      <w:r>
        <w:t xml:space="preserve">“</w:t>
      </w:r>
      <w:r>
        <w:t xml:space="preserve">audit-ready</w:t>
      </w:r>
      <w:r>
        <w:t xml:space="preserve">”</w:t>
      </w:r>
      <w:r>
        <w:t xml:space="preserve"> </w:t>
      </w:r>
      <w:r>
        <w:t xml:space="preserve">regulatory reports; and</w:t>
      </w:r>
    </w:p>
    <w:p>
      <w:pPr>
        <w:pStyle w:val="Compact"/>
        <w:numPr>
          <w:ilvl w:val="0"/>
          <w:numId w:val="1037"/>
        </w:numPr>
      </w:pPr>
      <w:r>
        <w:t xml:space="preserve">(deck) is</w:t>
      </w:r>
      <w:r>
        <w:t xml:space="preserve"> </w:t>
      </w:r>
      <w:r>
        <w:t xml:space="preserve">“</w:t>
      </w:r>
      <w:r>
        <w:t xml:space="preserve">21 CFR Part 11 compliant.</w:t>
      </w:r>
      <w:r>
        <w:t xml:space="preserve">”</w:t>
      </w:r>
    </w:p>
    <w:p>
      <w:pPr>
        <w:pStyle w:val="FirstParagraph"/>
      </w:pPr>
      <w:r>
        <w:t xml:space="preserve">None of that is warranted in the SLW. All of it is warranted by the marketing.</w:t>
      </w:r>
    </w:p>
    <w:p>
      <w:pPr>
        <w:pStyle w:val="BodyText"/>
      </w:pPr>
      <w:r>
        <w:rPr>
          <w:b/>
          <w:bCs/>
        </w:rPr>
        <w:t xml:space="preserve">3. Protection gap: the disclaimer may not reach the software.</w:t>
      </w:r>
      <w:r>
        <w:t xml:space="preserve"> </w:t>
      </w:r>
      <w:r>
        <w:t xml:space="preserve">SLW § 5’s final paragraphs disclaim warranties regarding</w:t>
      </w:r>
      <w:r>
        <w:t xml:space="preserve"> </w:t>
      </w:r>
      <w:r>
        <w:t xml:space="preserve">“</w:t>
      </w:r>
      <w:r>
        <w:t xml:space="preserve">the accuracy or reliability of any information obtained through the use of the Products,</w:t>
      </w:r>
      <w:r>
        <w:t xml:space="preserve">”</w:t>
      </w:r>
      <w:r>
        <w:t xml:space="preserve"> </w:t>
      </w:r>
      <w:r>
        <w:t xml:space="preserve">which is helpful language. But it is keyed to</w:t>
      </w:r>
      <w:r>
        <w:t xml:space="preserve"> </w:t>
      </w:r>
      <w:r>
        <w:t xml:space="preserve">“</w:t>
      </w:r>
      <w:r>
        <w:t xml:space="preserve">Products,</w:t>
      </w:r>
      <w:r>
        <w:t xml:space="preserve">”</w:t>
      </w:r>
      <w:r>
        <w:t xml:space="preserve"> </w:t>
      </w:r>
      <w:r>
        <w:t xml:space="preserve">which are defined as hardware. A court construing the document against CIT as drafter could hold that the software, the cloud service, and the data are outside § 5 and § 6 altogether. At best the question is ambiguous, and ambiguity is resolved against the drafter.</w:t>
      </w:r>
    </w:p>
    <w:p>
      <w:pPr>
        <w:pStyle w:val="BodyText"/>
      </w:pPr>
      <w:r>
        <w:rPr>
          <w:b/>
          <w:bCs/>
        </w:rPr>
        <w:t xml:space="preserve">4. The false</w:t>
      </w:r>
      <w:r>
        <w:rPr>
          <w:b/>
          <w:bCs/>
        </w:rPr>
        <w:t xml:space="preserve"> </w:t>
      </w:r>
      <w:r>
        <w:rPr>
          <w:b/>
          <w:bCs/>
        </w:rPr>
        <w:t xml:space="preserve">“</w:t>
      </w:r>
      <w:r>
        <w:rPr>
          <w:b/>
          <w:bCs/>
        </w:rPr>
        <w:t xml:space="preserve">all clear</w:t>
      </w:r>
      <w:r>
        <w:rPr>
          <w:b/>
          <w:bCs/>
        </w:rPr>
        <w:t xml:space="preserve">”</w:t>
      </w:r>
      <w:r>
        <w:rPr>
          <w:b/>
          <w:bCs/>
        </w:rPr>
        <w:t xml:space="preserve"> </w:t>
      </w:r>
      <w:r>
        <w:rPr>
          <w:b/>
          <w:bCs/>
        </w:rPr>
        <w:t xml:space="preserve">scenario.</w:t>
      </w:r>
      <w:r>
        <w:t xml:space="preserve"> </w:t>
      </w:r>
      <w:r>
        <w:t xml:space="preserve">Suppose AquaMonitor reports compliant water while the system is out of specification, and a customer distributes contaminated water. CIT faces:</w:t>
      </w:r>
    </w:p>
    <w:p>
      <w:pPr>
        <w:pStyle w:val="Compact"/>
        <w:numPr>
          <w:ilvl w:val="0"/>
          <w:numId w:val="1038"/>
        </w:numPr>
      </w:pPr>
    </w:p>
    <w:p>
      <w:pPr>
        <w:pStyle w:val="Compact"/>
        <w:numPr>
          <w:ilvl w:val="1"/>
          <w:numId w:val="1039"/>
        </w:numPr>
      </w:pPr>
      <w:r>
        <w:rPr>
          <w:b/>
          <w:bCs/>
        </w:rPr>
        <w:t xml:space="preserve">Contract/warranty claims by the buyer</w:t>
      </w:r>
      <w:r>
        <w:t xml:space="preserve">: breach of the express accuracy warranty, and consequential damages including regulatory penalties, recalls, and remediation.</w:t>
      </w:r>
    </w:p>
    <w:p>
      <w:pPr>
        <w:pStyle w:val="Compact"/>
        <w:numPr>
          <w:ilvl w:val="0"/>
          <w:numId w:val="1038"/>
        </w:numPr>
      </w:pPr>
    </w:p>
    <w:p>
      <w:pPr>
        <w:pStyle w:val="Compact"/>
        <w:numPr>
          <w:ilvl w:val="1"/>
          <w:numId w:val="1040"/>
        </w:numPr>
      </w:pPr>
      <w:r>
        <w:rPr>
          <w:b/>
          <w:bCs/>
        </w:rPr>
        <w:t xml:space="preserve">Tort claims by third parties</w:t>
      </w:r>
      <w:r>
        <w:t xml:space="preserve">: residents, consumers of the customer’s food products, or pharmaceutical patients who suffered bodily injury. These plaintiffs are not bound by any contract term. Product-liability theories (design defect, failure to warn) apply to the integrated product.</w:t>
      </w:r>
    </w:p>
    <w:p>
      <w:pPr>
        <w:pStyle w:val="Compact"/>
        <w:numPr>
          <w:ilvl w:val="0"/>
          <w:numId w:val="1038"/>
        </w:numPr>
      </w:pPr>
    </w:p>
    <w:p>
      <w:pPr>
        <w:pStyle w:val="Compact"/>
        <w:numPr>
          <w:ilvl w:val="1"/>
          <w:numId w:val="1041"/>
        </w:numPr>
      </w:pPr>
      <w:r>
        <w:rPr>
          <w:b/>
          <w:bCs/>
        </w:rPr>
        <w:t xml:space="preserve">Negligent misrepresentation</w:t>
      </w:r>
      <w:r>
        <w:t xml:space="preserve"> </w:t>
      </w:r>
      <w:r>
        <w:t xml:space="preserve">(the</w:t>
      </w:r>
      <w:r>
        <w:t xml:space="preserve"> </w:t>
      </w:r>
      <w:r>
        <w:t xml:space="preserve">“</w:t>
      </w:r>
      <w:r>
        <w:t xml:space="preserve">supplier of information</w:t>
      </w:r>
      <w:r>
        <w:t xml:space="preserve">”</w:t>
      </w:r>
      <w:r>
        <w:t xml:space="preserve"> </w:t>
      </w:r>
      <w:r>
        <w:t xml:space="preserve">exception to the economic loss rule).</w:t>
      </w:r>
    </w:p>
    <w:p>
      <w:pPr>
        <w:pStyle w:val="Compact"/>
        <w:numPr>
          <w:ilvl w:val="0"/>
          <w:numId w:val="1038"/>
        </w:numPr>
      </w:pPr>
    </w:p>
    <w:p>
      <w:pPr>
        <w:pStyle w:val="Compact"/>
        <w:numPr>
          <w:ilvl w:val="1"/>
          <w:numId w:val="1042"/>
        </w:numPr>
      </w:pPr>
      <w:r>
        <w:rPr>
          <w:b/>
          <w:bCs/>
        </w:rPr>
        <w:t xml:space="preserve">Regulatory attention.</w:t>
      </w:r>
    </w:p>
    <w:p>
      <w:pPr>
        <w:pStyle w:val="FirstParagraph"/>
      </w:pPr>
      <w:r>
        <w:t xml:space="preserve">This is not hypothetical. The claims file already shows sensor and firmware false readings: WC-2022-006</w:t>
      </w:r>
      <w:r>
        <w:t xml:space="preserve"> </w:t>
      </w:r>
      <w:r>
        <w:t xml:space="preserve">“</w:t>
      </w:r>
      <w:r>
        <w:t xml:space="preserve">false compliance readings</w:t>
      </w:r>
      <w:r>
        <w:t xml:space="preserve">”</w:t>
      </w:r>
      <w:r>
        <w:t xml:space="preserve">; WC-2023-021, five days of out-of-limit municipal water; WC-2024-056, an endotoxin false negative; WC-2024-071, an open claim where the customer cannot verify purity. AquaMonitor will</w:t>
      </w:r>
      <w:r>
        <w:t xml:space="preserve"> </w:t>
      </w:r>
      <w:r>
        <w:rPr>
          <w:i/>
          <w:iCs/>
        </w:rPr>
        <w:t xml:space="preserve">aggregate and certify</w:t>
      </w:r>
      <w:r>
        <w:t xml:space="preserve"> </w:t>
      </w:r>
      <w:r>
        <w:t xml:space="preserve">those readings, which magnifies the reliance.</w:t>
      </w:r>
    </w:p>
    <w:p>
      <w:pPr>
        <w:pStyle w:val="BodyText"/>
      </w:pPr>
      <w:r>
        <w:rPr>
          <w:b/>
          <w:bCs/>
        </w:rPr>
        <w:t xml:space="preserve">5. Why Ms. Dasgupta’s risk-mitigation argument cuts both ways.</w:t>
      </w:r>
      <w:r>
        <w:t xml:space="preserve"> </w:t>
      </w:r>
      <w:r>
        <w:t xml:space="preserve">She is right that real-time monitoring can catch degradation early. Operationally, that is a genuine benefit, and it would help CIT argue that a repair remedy can be performed promptly. But legally, monitoring software (i) creates</w:t>
      </w:r>
      <w:r>
        <w:t xml:space="preserve"> </w:t>
      </w:r>
      <w:r>
        <w:rPr>
          <w:b/>
          <w:bCs/>
        </w:rPr>
        <w:t xml:space="preserve">a continuous, time-stamped record of every moment the unit ran below 99.97%</w:t>
      </w:r>
      <w:r>
        <w:t xml:space="preserve">, which is evidence of breach that customers will own; (ii) invites customers to reduce their own independent testing; and (iii) is itself a warranted feature that can fail. The risk-reducing potential is real only if the contract (a) defines what AquaMonitor does and does not do, (b) requires the customer to keep independent regulatory sampling, and (c) sets out how monitoring data is used to trigger and measure the Performance Warranty remedies.</w:t>
      </w:r>
    </w:p>
    <w:p>
      <w:pPr>
        <w:pStyle w:val="BodyText"/>
      </w:pPr>
      <w:r>
        <w:rPr>
          <w:b/>
          <w:bCs/>
        </w:rPr>
        <w:t xml:space="preserve">6. Cybersecurity.</w:t>
      </w:r>
      <w:r>
        <w:t xml:space="preserve"> </w:t>
      </w:r>
      <w:r>
        <w:t xml:space="preserve">The Enhanced configuration is a cloud-connected, remotely accessible, OTA-updated device installed at drinking-water utilities and FDA-regulated plants. Community water systems have federal risk-assessment obligations under America’s Water Infrastructure Act of 2018, and federal agencies have repeatedly warned of attacks on water-sector operational technology. Our materials promise</w:t>
      </w:r>
      <w:r>
        <w:t xml:space="preserve"> </w:t>
      </w:r>
      <w:r>
        <w:t xml:space="preserve">“</w:t>
      </w:r>
      <w:r>
        <w:t xml:space="preserve">secure web and mobile interfaces</w:t>
      </w:r>
      <w:r>
        <w:t xml:space="preserve">”</w:t>
      </w:r>
      <w:r>
        <w:t xml:space="preserve"> </w:t>
      </w:r>
      <w:r>
        <w:t xml:space="preserve">but no document allocates security responsibilities: patching, network segmentation, credentials, or incident notice. A breach that alters treatment or readings is a foreseeable claim. Current CGL coverage almost certainly excludes data and cyber events. The claims file also shows firmware updates that broke functions (WC-2023-043, alarm emails disabled by an update; WC-2024-009, firmware incompatible with a customer’s network security update). An OTA update that causes an outage or false reading would be a CIT-initiated change to a warranted product.</w:t>
      </w:r>
    </w:p>
    <w:p>
      <w:pPr>
        <w:pStyle w:val="BodyText"/>
      </w:pPr>
      <w:r>
        <w:rPr>
          <w:b/>
          <w:bCs/>
        </w:rPr>
        <w:t xml:space="preserve">7. Configuration inconsistency.</w:t>
      </w:r>
      <w:r>
        <w:t xml:space="preserve"> </w:t>
      </w:r>
      <w:r>
        <w:t xml:space="preserve">As noted in Part III.B, the sales memo says</w:t>
      </w:r>
      <w:r>
        <w:t xml:space="preserve"> </w:t>
      </w:r>
      <w:r>
        <w:rPr>
          <w:i/>
          <w:iCs/>
        </w:rPr>
        <w:t xml:space="preserve">both</w:t>
      </w:r>
      <w:r>
        <w:t xml:space="preserve"> </w:t>
      </w:r>
      <w:r>
        <w:t xml:space="preserve">configurations include AquaMonitor, while the brochure and quotation say only Enhanced does. Triton is buying 12 Base units. If reps told Triton, per the memo, that AquaMonitor is included, Triton may have a claim to software CIT did not intend to supply, or will rely on monitoring it does not have. This must be reconciled before any quote issues.</w:t>
      </w:r>
    </w:p>
    <w:bookmarkEnd w:id="41"/>
    <w:bookmarkStart w:id="42" w:name="c.-recommendation"/>
    <w:p>
      <w:pPr>
        <w:pStyle w:val="Heading3"/>
      </w:pPr>
      <w:r>
        <w:t xml:space="preserve">C. Recommendation</w:t>
      </w:r>
    </w:p>
    <w:p>
      <w:pPr>
        <w:pStyle w:val="FirstParagraph"/>
      </w:pPr>
      <w:r>
        <w:t xml:space="preserve">Yes, CIT needs</w:t>
      </w:r>
      <w:r>
        <w:t xml:space="preserve"> </w:t>
      </w:r>
      <w:r>
        <w:rPr>
          <w:b/>
          <w:bCs/>
        </w:rPr>
        <w:t xml:space="preserve">separate software terms</w:t>
      </w:r>
      <w:r>
        <w:t xml:space="preserve">: an AquaMonitor Software License and Subscription Agreement, incorporated into the purchase agreement and presented before purchase. It should cover:</w:t>
      </w:r>
    </w:p>
    <w:p>
      <w:pPr>
        <w:pStyle w:val="Compact"/>
        <w:numPr>
          <w:ilvl w:val="0"/>
          <w:numId w:val="1043"/>
        </w:numPr>
      </w:pPr>
    </w:p>
    <w:p>
      <w:pPr>
        <w:pStyle w:val="Compact"/>
        <w:numPr>
          <w:ilvl w:val="1"/>
          <w:numId w:val="1044"/>
        </w:numPr>
      </w:pPr>
      <w:r>
        <w:t xml:space="preserve">a limited software warranty (e.g., material conformance to published documentation for 90 days or the subscription term, with the remedy of correction, workaround, or refund of subscription fees);</w:t>
      </w:r>
    </w:p>
    <w:p>
      <w:pPr>
        <w:pStyle w:val="Compact"/>
        <w:numPr>
          <w:ilvl w:val="0"/>
          <w:numId w:val="1043"/>
        </w:numPr>
      </w:pPr>
    </w:p>
    <w:p>
      <w:pPr>
        <w:pStyle w:val="Compact"/>
        <w:numPr>
          <w:ilvl w:val="1"/>
          <w:numId w:val="1045"/>
        </w:numPr>
      </w:pPr>
      <w:r>
        <w:t xml:space="preserve">a clear statement that AquaMonitor is a</w:t>
      </w:r>
      <w:r>
        <w:t xml:space="preserve"> </w:t>
      </w:r>
      <w:r>
        <w:rPr>
          <w:b/>
          <w:bCs/>
        </w:rPr>
        <w:t xml:space="preserve">decision-support tool that does not replace the customer’s regulatory sampling, laboratory analysis, or compliance obligations</w:t>
      </w:r>
      <w:r>
        <w:t xml:space="preserve">, with the customer acknowledging that duty;</w:t>
      </w:r>
    </w:p>
    <w:p>
      <w:pPr>
        <w:pStyle w:val="Compact"/>
        <w:numPr>
          <w:ilvl w:val="0"/>
          <w:numId w:val="1043"/>
        </w:numPr>
      </w:pPr>
    </w:p>
    <w:p>
      <w:pPr>
        <w:pStyle w:val="Compact"/>
        <w:numPr>
          <w:ilvl w:val="1"/>
          <w:numId w:val="1046"/>
        </w:numPr>
      </w:pPr>
      <w:r>
        <w:t xml:space="preserve">a sensor calibration and maintenance allocation;</w:t>
      </w:r>
    </w:p>
    <w:p>
      <w:pPr>
        <w:pStyle w:val="Compact"/>
        <w:numPr>
          <w:ilvl w:val="0"/>
          <w:numId w:val="1043"/>
        </w:numPr>
      </w:pPr>
    </w:p>
    <w:p>
      <w:pPr>
        <w:pStyle w:val="Compact"/>
        <w:numPr>
          <w:ilvl w:val="1"/>
          <w:numId w:val="1047"/>
        </w:numPr>
      </w:pPr>
      <w:r>
        <w:t xml:space="preserve">data accuracy disclaimers and uptime/SLA commitments for the cloud service;</w:t>
      </w:r>
    </w:p>
    <w:p>
      <w:pPr>
        <w:pStyle w:val="Compact"/>
        <w:numPr>
          <w:ilvl w:val="0"/>
          <w:numId w:val="1043"/>
        </w:numPr>
      </w:pPr>
    </w:p>
    <w:p>
      <w:pPr>
        <w:pStyle w:val="Compact"/>
        <w:numPr>
          <w:ilvl w:val="1"/>
          <w:numId w:val="1048"/>
        </w:numPr>
      </w:pPr>
      <w:r>
        <w:t xml:space="preserve">OTA update terms, including the customer’s right to schedule updates for validated (pharma) systems;</w:t>
      </w:r>
    </w:p>
    <w:p>
      <w:pPr>
        <w:pStyle w:val="Compact"/>
        <w:numPr>
          <w:ilvl w:val="0"/>
          <w:numId w:val="1043"/>
        </w:numPr>
      </w:pPr>
    </w:p>
    <w:p>
      <w:pPr>
        <w:pStyle w:val="Compact"/>
        <w:numPr>
          <w:ilvl w:val="1"/>
          <w:numId w:val="1049"/>
        </w:numPr>
      </w:pPr>
      <w:r>
        <w:t xml:space="preserve">cybersecurity responsibilities and incident notification;</w:t>
      </w:r>
    </w:p>
    <w:p>
      <w:pPr>
        <w:pStyle w:val="Compact"/>
        <w:numPr>
          <w:ilvl w:val="0"/>
          <w:numId w:val="1043"/>
        </w:numPr>
      </w:pPr>
    </w:p>
    <w:p>
      <w:pPr>
        <w:pStyle w:val="Compact"/>
        <w:numPr>
          <w:ilvl w:val="1"/>
          <w:numId w:val="1050"/>
        </w:numPr>
      </w:pPr>
      <w:r>
        <w:t xml:space="preserve">data ownership and use;</w:t>
      </w:r>
    </w:p>
    <w:p>
      <w:pPr>
        <w:pStyle w:val="Compact"/>
        <w:numPr>
          <w:ilvl w:val="0"/>
          <w:numId w:val="1043"/>
        </w:numPr>
      </w:pPr>
    </w:p>
    <w:p>
      <w:pPr>
        <w:pStyle w:val="Compact"/>
        <w:numPr>
          <w:ilvl w:val="1"/>
          <w:numId w:val="1051"/>
        </w:numPr>
      </w:pPr>
      <w:r>
        <w:t xml:space="preserve">Part 11 language recast as</w:t>
      </w:r>
      <w:r>
        <w:t xml:space="preserve"> </w:t>
      </w:r>
      <w:r>
        <w:t xml:space="preserve">“</w:t>
      </w:r>
      <w:r>
        <w:t xml:space="preserve">supports customer compliance when validated and configured by customer</w:t>
      </w:r>
      <w:r>
        <w:t xml:space="preserve">”</w:t>
      </w:r>
      <w:r>
        <w:t xml:space="preserve">; and</w:t>
      </w:r>
    </w:p>
    <w:p>
      <w:pPr>
        <w:pStyle w:val="Compact"/>
        <w:numPr>
          <w:ilvl w:val="0"/>
          <w:numId w:val="1043"/>
        </w:numPr>
      </w:pPr>
    </w:p>
    <w:p>
      <w:pPr>
        <w:pStyle w:val="Compact"/>
        <w:numPr>
          <w:ilvl w:val="1"/>
          <w:numId w:val="1052"/>
        </w:numPr>
      </w:pPr>
      <w:r>
        <w:t xml:space="preserve">a software-specific liability cap.</w:t>
      </w:r>
    </w:p>
    <w:p>
      <w:pPr>
        <w:pStyle w:val="FirstParagraph"/>
      </w:pPr>
      <w:r>
        <w:t xml:space="preserve">The SLW definition of</w:t>
      </w:r>
      <w:r>
        <w:t xml:space="preserve"> </w:t>
      </w:r>
      <w:r>
        <w:t xml:space="preserve">“</w:t>
      </w:r>
      <w:r>
        <w:t xml:space="preserve">Product</w:t>
      </w:r>
      <w:r>
        <w:t xml:space="preserve">”</w:t>
      </w:r>
      <w:r>
        <w:t xml:space="preserve"> </w:t>
      </w:r>
      <w:r>
        <w:t xml:space="preserve">should also be amended so the hardware disclaimer and cap expressly extend to embedded software, firmware, and data.</w:t>
      </w:r>
    </w:p>
    <w:p>
      <w:r>
        <w:pict>
          <v:rect style="width:0;height:1.5pt" o:hralign="center" o:hrstd="t" o:hr="t"/>
        </w:pict>
      </w:r>
    </w:p>
    <w:bookmarkEnd w:id="42"/>
    <w:bookmarkEnd w:id="43"/>
    <w:bookmarkStart w:id="48" w:name="X6ccb897bf1b5dafa35eb902565066e668c781b3"/>
    <w:p>
      <w:pPr>
        <w:pStyle w:val="Heading2"/>
      </w:pPr>
      <w:r>
        <w:t xml:space="preserve">VIII. ISSUE 5 — CLAIMS TREND, REDMOND, AND DURABILITY OF THE EXCLUSIVE REMEDY AND CONSEQUENTIAL-DAMAGES EXCLUSION</w:t>
      </w:r>
    </w:p>
    <w:bookmarkStart w:id="44" w:name="a.-legal-framework"/>
    <w:p>
      <w:pPr>
        <w:pStyle w:val="Heading3"/>
      </w:pPr>
      <w:r>
        <w:t xml:space="preserve">A. Legal framework</w:t>
      </w:r>
    </w:p>
    <w:p>
      <w:pPr>
        <w:pStyle w:val="FirstParagraph"/>
      </w:pPr>
      <w:r>
        <w:t xml:space="preserve">§ 2-719(1) allows parties to make repair or replacement the exclusive remedy. § 2-719(2) provides that where</w:t>
      </w:r>
      <w:r>
        <w:t xml:space="preserve"> </w:t>
      </w:r>
      <w:r>
        <w:t xml:space="preserve">“</w:t>
      </w:r>
      <w:r>
        <w:t xml:space="preserve">circumstances cause an exclusive or limited remedy to fail of its essential purpose, remedy may be had as provided in this Act.</w:t>
      </w:r>
      <w:r>
        <w:t xml:space="preserve">”</w:t>
      </w:r>
      <w:r>
        <w:t xml:space="preserve"> </w:t>
      </w:r>
      <w:r>
        <w:t xml:space="preserve">A repair remedy typically fails when the seller (i) cannot fix the defect after reasonable attempts, (ii) cannot or will not repair within a reasonable time, or (iii) provides a remedy that cannot, by its nature, cure the type of loss contemplated. § 2-719(3) separately allows consequential damages to be excluded unless unconscionable.</w:t>
      </w:r>
    </w:p>
    <w:p>
      <w:pPr>
        <w:pStyle w:val="BodyText"/>
      </w:pPr>
      <w:r>
        <w:rPr>
          <w:b/>
          <w:bCs/>
        </w:rPr>
        <w:t xml:space="preserve">The split you identified.</w:t>
      </w:r>
      <w:r>
        <w:t xml:space="preserve"> </w:t>
      </w:r>
      <w:r>
        <w:t xml:space="preserve">When the repair remedy fails, does a separate consequential-damages exclusion survive?</w:t>
      </w:r>
    </w:p>
    <w:p>
      <w:pPr>
        <w:pStyle w:val="Compact"/>
        <w:numPr>
          <w:ilvl w:val="0"/>
          <w:numId w:val="1053"/>
        </w:numPr>
      </w:pPr>
      <w:r>
        <w:t xml:space="preserve">The</w:t>
      </w:r>
      <w:r>
        <w:t xml:space="preserve"> </w:t>
      </w:r>
      <w:r>
        <w:rPr>
          <w:i/>
          <w:iCs/>
        </w:rPr>
        <w:t xml:space="preserve">independent</w:t>
      </w:r>
      <w:r>
        <w:t xml:space="preserve"> </w:t>
      </w:r>
      <w:r>
        <w:t xml:space="preserve">approach enforces the exclusion as a separate risk allocation unless unconscionable. See</w:t>
      </w:r>
      <w:r>
        <w:t xml:space="preserve"> </w:t>
      </w:r>
      <w:r>
        <w:rPr>
          <w:i/>
          <w:iCs/>
        </w:rPr>
        <w:t xml:space="preserve">Chatlos Systems, Inc. v. National Cash Register Corp.</w:t>
      </w:r>
      <w:r>
        <w:t xml:space="preserve">, 635 F.2d 1081 (3d Cir. 1980);</w:t>
      </w:r>
      <w:r>
        <w:t xml:space="preserve"> </w:t>
      </w:r>
      <w:r>
        <w:rPr>
          <w:i/>
          <w:iCs/>
        </w:rPr>
        <w:t xml:space="preserve">Kearney &amp; Trecker Corp. v. Master Engraving Co.</w:t>
      </w:r>
      <w:r>
        <w:t xml:space="preserve">, 107 N.J. 584 (1987). This is the majority, particularly between sophisticated commercial parties.</w:t>
      </w:r>
    </w:p>
    <w:p>
      <w:pPr>
        <w:pStyle w:val="Compact"/>
        <w:numPr>
          <w:ilvl w:val="0"/>
          <w:numId w:val="1053"/>
        </w:numPr>
      </w:pPr>
      <w:r>
        <w:t xml:space="preserve">The</w:t>
      </w:r>
      <w:r>
        <w:t xml:space="preserve"> </w:t>
      </w:r>
      <w:r>
        <w:rPr>
          <w:i/>
          <w:iCs/>
        </w:rPr>
        <w:t xml:space="preserve">dependent</w:t>
      </w:r>
      <w:r>
        <w:t xml:space="preserve"> </w:t>
      </w:r>
      <w:r>
        <w:t xml:space="preserve">approach holds that the exclusion falls with the failed remedy. See</w:t>
      </w:r>
      <w:r>
        <w:t xml:space="preserve"> </w:t>
      </w:r>
      <w:r>
        <w:rPr>
          <w:i/>
          <w:iCs/>
        </w:rPr>
        <w:t xml:space="preserve">RRX Industries, Inc. v. Lab-Con, Inc.</w:t>
      </w:r>
      <w:r>
        <w:t xml:space="preserve">, 772 F.2d 543 (9th Cir. 1985), applying California law.</w:t>
      </w:r>
    </w:p>
    <w:p>
      <w:pPr>
        <w:pStyle w:val="Compact"/>
        <w:numPr>
          <w:ilvl w:val="0"/>
          <w:numId w:val="1053"/>
        </w:numPr>
      </w:pPr>
      <w:r>
        <w:t xml:space="preserve">Many courts take a case-by-case view focused on whether enforcing the exclusion would be unconscionable in light of the seller’s conduct.</w:t>
      </w:r>
    </w:p>
    <w:p>
      <w:pPr>
        <w:pStyle w:val="FirstParagraph"/>
      </w:pPr>
      <w:r>
        <w:t xml:space="preserve">The law in Missouri (the</w:t>
      </w:r>
      <w:r>
        <w:t xml:space="preserve"> </w:t>
      </w:r>
      <w:r>
        <w:rPr>
          <w:i/>
          <w:iCs/>
        </w:rPr>
        <w:t xml:space="preserve">Redmond</w:t>
      </w:r>
      <w:r>
        <w:t xml:space="preserve"> </w:t>
      </w:r>
      <w:r>
        <w:t xml:space="preserve">forum), Texas, Illinois, New York, Massachusetts, and Oregon on this precise point must be confirmed by jurisdiction-specific research before we rely on it. I have not done that research yet and flag it as a priority for outside counsel if engaged.</w:t>
      </w:r>
    </w:p>
    <w:bookmarkEnd w:id="44"/>
    <w:bookmarkStart w:id="45" w:name="b.-application-to-the-max-9000"/>
    <w:p>
      <w:pPr>
        <w:pStyle w:val="Heading3"/>
      </w:pPr>
      <w:r>
        <w:t xml:space="preserve">B. Application to the Max 9000</w:t>
      </w:r>
    </w:p>
    <w:p>
      <w:pPr>
        <w:pStyle w:val="FirstParagraph"/>
      </w:pPr>
      <w:r>
        <w:rPr>
          <w:b/>
          <w:bCs/>
        </w:rPr>
        <w:t xml:space="preserve">Structural strengths in the SLW.</w:t>
      </w:r>
      <w:r>
        <w:t xml:space="preserve"> </w:t>
      </w:r>
      <w:r>
        <w:t xml:space="preserve">§ 6 expressly states that the limitations apply</w:t>
      </w:r>
      <w:r>
        <w:t xml:space="preserve"> </w:t>
      </w:r>
      <w:r>
        <w:t xml:space="preserve">“</w:t>
      </w:r>
      <w:r>
        <w:t xml:space="preserve">regardless of whether any remedy . . . fails of its essential purpose</w:t>
      </w:r>
      <w:r>
        <w:t xml:space="preserve">”</w:t>
      </w:r>
      <w:r>
        <w:t xml:space="preserve"> </w:t>
      </w:r>
      <w:r>
        <w:t xml:space="preserve">and are</w:t>
      </w:r>
      <w:r>
        <w:t xml:space="preserve"> </w:t>
      </w:r>
      <w:r>
        <w:t xml:space="preserve">“</w:t>
      </w:r>
      <w:r>
        <w:t xml:space="preserve">independent of</w:t>
      </w:r>
      <w:r>
        <w:t xml:space="preserve">”</w:t>
      </w:r>
      <w:r>
        <w:t xml:space="preserve"> </w:t>
      </w:r>
      <w:r>
        <w:t xml:space="preserve">the exclusive remedy. That is the right drafting. Many courts will honor it in a negotiated commercial contract. It is the SLW’s single best provision.</w:t>
      </w:r>
    </w:p>
    <w:p>
      <w:pPr>
        <w:pStyle w:val="BodyText"/>
      </w:pPr>
      <w:r>
        <w:rPr>
          <w:b/>
          <w:bCs/>
        </w:rPr>
        <w:t xml:space="preserve">Why I nonetheless rate the risk as high:</w:t>
      </w:r>
    </w:p>
    <w:p>
      <w:pPr>
        <w:pStyle w:val="Compact"/>
        <w:numPr>
          <w:ilvl w:val="0"/>
          <w:numId w:val="1054"/>
        </w:numPr>
      </w:pPr>
      <w:r>
        <w:rPr>
          <w:b/>
          <w:bCs/>
        </w:rPr>
        <w:t xml:space="preserve">Assent (again).</w:t>
      </w:r>
      <w:r>
        <w:t xml:space="preserve"> </w:t>
      </w:r>
      <w:r>
        <w:t xml:space="preserve">§ 6 protects CIT only if it is part of the contract. See Part IV.C.3.</w:t>
      </w:r>
    </w:p>
    <w:p>
      <w:pPr>
        <w:pStyle w:val="Compact"/>
        <w:numPr>
          <w:ilvl w:val="0"/>
          <w:numId w:val="1054"/>
        </w:numPr>
      </w:pPr>
      <w:r>
        <w:rPr>
          <w:b/>
          <w:bCs/>
        </w:rPr>
        <w:t xml:space="preserve">Remedy mismatch.</w:t>
      </w:r>
      <w:r>
        <w:t xml:space="preserve"> </w:t>
      </w:r>
      <w:r>
        <w:t xml:space="preserve">Repair or replacement addresses a</w:t>
      </w:r>
      <w:r>
        <w:t xml:space="preserve"> </w:t>
      </w:r>
      <w:r>
        <w:rPr>
          <w:i/>
          <w:iCs/>
        </w:rPr>
        <w:t xml:space="preserve">defective component</w:t>
      </w:r>
      <w:r>
        <w:t xml:space="preserve">. The Total Performance Guarantee promises a</w:t>
      </w:r>
      <w:r>
        <w:t xml:space="preserve"> </w:t>
      </w:r>
      <w:r>
        <w:rPr>
          <w:i/>
          <w:iCs/>
        </w:rPr>
        <w:t xml:space="preserve">performance outcome</w:t>
      </w:r>
      <w:r>
        <w:t xml:space="preserve">. When a unit produces 96.8% water for four months (Redmond), repair restores future performance but by its nature cannot address the period of non-conformity. Courts are receptive to the argument that a remedy which cannot address the very breach the seller promised against fails of its essential purpose. That is Redmond’s argument, and it is stronger for the Max 9000 because the guarantee is explicit.</w:t>
      </w:r>
    </w:p>
    <w:p>
      <w:pPr>
        <w:pStyle w:val="Compact"/>
        <w:numPr>
          <w:ilvl w:val="0"/>
          <w:numId w:val="1054"/>
        </w:numPr>
      </w:pPr>
      <w:r>
        <w:rPr>
          <w:b/>
          <w:bCs/>
        </w:rPr>
        <w:t xml:space="preserve">CIT’s own words undercut the exclusion.</w:t>
      </w:r>
      <w:r>
        <w:t xml:space="preserve"> </w:t>
      </w:r>
      <w:r>
        <w:t xml:space="preserve">“</w:t>
      </w:r>
      <w:r>
        <w:t xml:space="preserve">Make it right,</w:t>
      </w:r>
      <w:r>
        <w:t xml:space="preserve">”</w:t>
      </w:r>
      <w:r>
        <w:t xml:space="preserve"> </w:t>
      </w:r>
      <w:r>
        <w:t xml:space="preserve">“</w:t>
      </w:r>
      <w:r>
        <w:t xml:space="preserve">make customers whole,</w:t>
      </w:r>
      <w:r>
        <w:t xml:space="preserve">”</w:t>
      </w:r>
      <w:r>
        <w:t xml:space="preserve"> </w:t>
      </w:r>
      <w:r>
        <w:t xml:space="preserve">and, in response to consequential-damages questions,</w:t>
      </w:r>
      <w:r>
        <w:t xml:space="preserve"> </w:t>
      </w:r>
      <w:r>
        <w:t xml:space="preserve">“</w:t>
      </w:r>
      <w:r>
        <w:t xml:space="preserve">CIT is committed to making our customers whole</w:t>
      </w:r>
      <w:r>
        <w:t xml:space="preserve">”</w:t>
      </w:r>
      <w:r>
        <w:t xml:space="preserve"> </w:t>
      </w:r>
      <w:r>
        <w:t xml:space="preserve">are evidence that the parties did</w:t>
      </w:r>
      <w:r>
        <w:t xml:space="preserve"> </w:t>
      </w:r>
      <w:r>
        <w:rPr>
          <w:i/>
          <w:iCs/>
        </w:rPr>
        <w:t xml:space="preserve">not</w:t>
      </w:r>
      <w:r>
        <w:t xml:space="preserve"> </w:t>
      </w:r>
      <w:r>
        <w:t xml:space="preserve">agree to exclude consequential damages. They support waiver, estoppel, and unconscionability arguments. They also support a § 2-316(1)-style argument that the promise of</w:t>
      </w:r>
      <w:r>
        <w:t xml:space="preserve"> </w:t>
      </w:r>
      <w:r>
        <w:t xml:space="preserve">“</w:t>
      </w:r>
      <w:r>
        <w:t xml:space="preserve">whole</w:t>
      </w:r>
      <w:r>
        <w:t xml:space="preserve">”</w:t>
      </w:r>
      <w:r>
        <w:t xml:space="preserve"> </w:t>
      </w:r>
      <w:r>
        <w:t xml:space="preserve">relief is itself part of the express warranty.</w:t>
      </w:r>
    </w:p>
    <w:p>
      <w:pPr>
        <w:pStyle w:val="Compact"/>
        <w:numPr>
          <w:ilvl w:val="0"/>
          <w:numId w:val="1054"/>
        </w:numPr>
      </w:pPr>
      <w:r>
        <w:rPr>
          <w:b/>
          <w:bCs/>
        </w:rPr>
        <w:t xml:space="preserve">Operational capacity.</w:t>
      </w:r>
      <w:r>
        <w:t xml:space="preserve"> </w:t>
      </w:r>
      <w:r>
        <w:t xml:space="preserve">Resolution times are lengthening: about 28 days, then 35, then 47. Full-unit replacements took 78 and 85 days in FY2024. A pump is on an 8-week backorder. The Max 9000 is a new product with no installed-base spares pool, larger components, and a stated delivery lead time of 10–14 weeks. Replacing a failed Max 9000 unit could take a full production cycle, and a municipal or pharmaceutical customer cannot go without water for that long.</w:t>
      </w:r>
      <w:r>
        <w:t xml:space="preserve"> </w:t>
      </w:r>
      <w:r>
        <w:t xml:space="preserve">“</w:t>
      </w:r>
      <w:r>
        <w:t xml:space="preserve">Failure to repair within a reasonable time</w:t>
      </w:r>
      <w:r>
        <w:t xml:space="preserve">”</w:t>
      </w:r>
      <w:r>
        <w:t xml:space="preserve"> </w:t>
      </w:r>
      <w:r>
        <w:t xml:space="preserve">is the most commonly successful § 2-719(2) argument.</w:t>
      </w:r>
    </w:p>
    <w:p>
      <w:pPr>
        <w:pStyle w:val="Compact"/>
        <w:numPr>
          <w:ilvl w:val="0"/>
          <w:numId w:val="1054"/>
        </w:numPr>
      </w:pPr>
      <w:r>
        <w:rPr>
          <w:b/>
          <w:bCs/>
        </w:rPr>
        <w:t xml:space="preserve">The recurring pressure-vessel defect.</w:t>
      </w:r>
      <w:r>
        <w:t xml:space="preserve"> </w:t>
      </w:r>
      <w:r>
        <w:t xml:space="preserve">Six structural failures across the legacy line, with a manufacturing investigation escalated, is the kind of pattern courts treat as a sign the seller</w:t>
      </w:r>
      <w:r>
        <w:t xml:space="preserve"> </w:t>
      </w:r>
      <w:r>
        <w:rPr>
          <w:i/>
          <w:iCs/>
        </w:rPr>
        <w:t xml:space="preserve">cannot</w:t>
      </w:r>
      <w:r>
        <w:t xml:space="preserve"> </w:t>
      </w:r>
      <w:r>
        <w:t xml:space="preserve">cure. If the Max 9000 shares vessel suppliers, designs, or weld processes, this must be resolved before launch, and any known issue must be disclosed internally to the Board.</w:t>
      </w:r>
    </w:p>
    <w:p>
      <w:pPr>
        <w:pStyle w:val="Compact"/>
        <w:numPr>
          <w:ilvl w:val="0"/>
          <w:numId w:val="1054"/>
        </w:numPr>
      </w:pPr>
      <w:r>
        <w:rPr>
          <w:b/>
          <w:bCs/>
        </w:rPr>
        <w:t xml:space="preserve">The settlements already paid.</w:t>
      </w:r>
      <w:r>
        <w:t xml:space="preserve"> </w:t>
      </w:r>
      <w:r>
        <w:t xml:space="preserve">CIT paid $680,000 in FY2024 on failure-of-essential-purpose arguments. That was a rational litigation choice, but plaintiffs’ counsel will learn of it, and it signals that CIT does not trust its own remedy clause.</w:t>
      </w:r>
    </w:p>
    <w:p>
      <w:pPr>
        <w:pStyle w:val="Compact"/>
        <w:numPr>
          <w:ilvl w:val="0"/>
          <w:numId w:val="1054"/>
        </w:numPr>
      </w:pPr>
      <w:r>
        <w:rPr>
          <w:b/>
          <w:bCs/>
        </w:rPr>
        <w:t xml:space="preserve">Unconscionability optics.</w:t>
      </w:r>
      <w:r>
        <w:t xml:space="preserve"> </w:t>
      </w:r>
      <w:r>
        <w:t xml:space="preserve">The factors that tip the case-by-case analysis against sellers are all present: withheld terms, contradicting oral assurances, a guarantee marketed as</w:t>
      </w:r>
      <w:r>
        <w:t xml:space="preserve"> </w:t>
      </w:r>
      <w:r>
        <w:t xml:space="preserve">“</w:t>
      </w:r>
      <w:r>
        <w:t xml:space="preserve">above and beyond any standard warranty,</w:t>
      </w:r>
      <w:r>
        <w:t xml:space="preserve">”</w:t>
      </w:r>
      <w:r>
        <w:t xml:space="preserve"> </w:t>
      </w:r>
      <w:r>
        <w:t xml:space="preserve">and very large consequential losses foreseeably tied to public health and regulated production.</w:t>
      </w:r>
    </w:p>
    <w:bookmarkEnd w:id="45"/>
    <w:bookmarkStart w:id="46" w:name="X397eac74e5d5f6b63cb4ff92ce65afefbb55f2d"/>
    <w:p>
      <w:pPr>
        <w:pStyle w:val="Heading3"/>
      </w:pPr>
      <w:r>
        <w:t xml:space="preserve">C.</w:t>
      </w:r>
      <w:r>
        <w:t xml:space="preserve"> </w:t>
      </w:r>
      <w:r>
        <w:rPr>
          <w:i/>
          <w:iCs/>
        </w:rPr>
        <w:t xml:space="preserve">Redmond</w:t>
      </w:r>
      <w:r>
        <w:t xml:space="preserve"> </w:t>
      </w:r>
      <w:r>
        <w:t xml:space="preserve">— linkage and immediate cautions</w:t>
      </w:r>
    </w:p>
    <w:p>
      <w:pPr>
        <w:pStyle w:val="Compact"/>
        <w:numPr>
          <w:ilvl w:val="0"/>
          <w:numId w:val="1055"/>
        </w:numPr>
      </w:pPr>
      <w:r>
        <w:rPr>
          <w:b/>
          <w:bCs/>
        </w:rPr>
        <w:t xml:space="preserve">Position consistency.</w:t>
      </w:r>
      <w:r>
        <w:t xml:space="preserve"> </w:t>
      </w:r>
      <w:r>
        <w:t xml:space="preserve">CIT’s defense in</w:t>
      </w:r>
      <w:r>
        <w:t xml:space="preserve"> </w:t>
      </w:r>
      <w:r>
        <w:rPr>
          <w:i/>
          <w:iCs/>
        </w:rPr>
        <w:t xml:space="preserve">Redmond</w:t>
      </w:r>
      <w:r>
        <w:t xml:space="preserve"> </w:t>
      </w:r>
      <w:r>
        <w:t xml:space="preserve">is that the 99.5% figures in the 2022 sales presentation were</w:t>
      </w:r>
      <w:r>
        <w:t xml:space="preserve"> </w:t>
      </w:r>
      <w:r>
        <w:t xml:space="preserve">“</w:t>
      </w:r>
      <w:r>
        <w:t xml:space="preserve">marketing estimates under standard operating conditions, not warranties.</w:t>
      </w:r>
      <w:r>
        <w:t xml:space="preserve">”</w:t>
      </w:r>
      <w:r>
        <w:t xml:space="preserve"> </w:t>
      </w:r>
      <w:r>
        <w:t xml:space="preserve">The January 2025 materials for the Max 9000 say the opposite, in writing, from the same sales organization:</w:t>
      </w:r>
      <w:r>
        <w:t xml:space="preserve"> </w:t>
      </w:r>
      <w:r>
        <w:t xml:space="preserve">“</w:t>
      </w:r>
      <w:r>
        <w:t xml:space="preserve">these are the numbers we commit to . . . do not hedge.</w:t>
      </w:r>
      <w:r>
        <w:t xml:space="preserve">”</w:t>
      </w:r>
      <w:r>
        <w:t xml:space="preserve"> </w:t>
      </w:r>
      <w:r>
        <w:t xml:space="preserve">They are a different product, but Redmond’s counsel will argue the documents show how CIT’s sales force understands and uses performance figures.</w:t>
      </w:r>
      <w:r>
        <w:t xml:space="preserve"> </w:t>
      </w:r>
      <w:r>
        <w:rPr>
          <w:b/>
          <w:bCs/>
        </w:rPr>
        <w:t xml:space="preserve">Discovery opens in March 2025.</w:t>
      </w:r>
      <w:r>
        <w:t xml:space="preserve"> </w:t>
      </w:r>
      <w:r>
        <w:t xml:space="preserve">Depending on scope, the Max 9000 materials may be responsive (for example, to requests about CIT’s marketing practices and sales training). We should anticipate this.</w:t>
      </w:r>
    </w:p>
    <w:p>
      <w:pPr>
        <w:pStyle w:val="Compact"/>
        <w:numPr>
          <w:ilvl w:val="0"/>
          <w:numId w:val="1055"/>
        </w:numPr>
      </w:pPr>
      <w:r>
        <w:rPr>
          <w:b/>
          <w:bCs/>
        </w:rPr>
        <w:t xml:space="preserve">Preservation.</w:t>
      </w:r>
      <w:r>
        <w:t xml:space="preserve"> </w:t>
      </w:r>
      <w:r>
        <w:t xml:space="preserve">I recommend confirming with BSK, as litigation counsel of record, that CIT’s litigation hold is broad enough. It should cover sales-training and marketing materials, including the Max 9000 drafts and this correspondence. I understand your instruction not to contact BSK at this stage. I raise this because BSK is</w:t>
      </w:r>
      <w:r>
        <w:t xml:space="preserve"> </w:t>
      </w:r>
      <w:r>
        <w:rPr>
          <w:i/>
          <w:iCs/>
        </w:rPr>
        <w:t xml:space="preserve">already</w:t>
      </w:r>
      <w:r>
        <w:t xml:space="preserve"> </w:t>
      </w:r>
      <w:r>
        <w:t xml:space="preserve">counsel of record in</w:t>
      </w:r>
      <w:r>
        <w:t xml:space="preserve"> </w:t>
      </w:r>
      <w:r>
        <w:rPr>
          <w:i/>
          <w:iCs/>
        </w:rPr>
        <w:t xml:space="preserve">Redmond</w:t>
      </w:r>
      <w:r>
        <w:t xml:space="preserve">, so some coordination may be necessary on the litigation side regardless of whether BSK is engaged on the warranty review. I defer to you on timing and channel.</w:t>
      </w:r>
    </w:p>
    <w:p>
      <w:pPr>
        <w:pStyle w:val="Compact"/>
        <w:numPr>
          <w:ilvl w:val="0"/>
          <w:numId w:val="1055"/>
        </w:numPr>
      </w:pPr>
      <w:r>
        <w:rPr>
          <w:b/>
          <w:bCs/>
        </w:rPr>
        <w:t xml:space="preserve">Privilege.</w:t>
      </w:r>
      <w:r>
        <w:t xml:space="preserve"> </w:t>
      </w:r>
      <w:r>
        <w:t xml:space="preserve">This memo and our analysis should remain within the legal function. The recommendations sections can be shared with Mr. Lindholm and Ms. Dasgupta as legal advice. The memo should not be forwarded to the sales organization or to Stoneridge.</w:t>
      </w:r>
    </w:p>
    <w:p>
      <w:pPr>
        <w:pStyle w:val="Compact"/>
        <w:numPr>
          <w:ilvl w:val="0"/>
          <w:numId w:val="1055"/>
        </w:numPr>
      </w:pPr>
      <w:r>
        <w:rPr>
          <w:b/>
          <w:bCs/>
        </w:rPr>
        <w:t xml:space="preserve">Outcome as precedent.</w:t>
      </w:r>
      <w:r>
        <w:t xml:space="preserve"> </w:t>
      </w:r>
      <w:r>
        <w:t xml:space="preserve">A reported loss in</w:t>
      </w:r>
      <w:r>
        <w:t xml:space="preserve"> </w:t>
      </w:r>
      <w:r>
        <w:rPr>
          <w:i/>
          <w:iCs/>
        </w:rPr>
        <w:t xml:space="preserve">Redmond</w:t>
      </w:r>
      <w:r>
        <w:t xml:space="preserve"> </w:t>
      </w:r>
      <w:r>
        <w:t xml:space="preserve">would give every Max 9000 customer a roadmap. Settlement timing in</w:t>
      </w:r>
      <w:r>
        <w:t xml:space="preserve"> </w:t>
      </w:r>
      <w:r>
        <w:rPr>
          <w:i/>
          <w:iCs/>
        </w:rPr>
        <w:t xml:space="preserve">Redmond</w:t>
      </w:r>
      <w:r>
        <w:t xml:space="preserve"> </w:t>
      </w:r>
      <w:r>
        <w:t xml:space="preserve">should take that into account.</w:t>
      </w:r>
    </w:p>
    <w:bookmarkEnd w:id="46"/>
    <w:bookmarkStart w:id="47" w:name="d.-quantifying-the-risk"/>
    <w:p>
      <w:pPr>
        <w:pStyle w:val="Heading3"/>
      </w:pPr>
      <w:r>
        <w:t xml:space="preserve">D. Quantifying the risk</w:t>
      </w:r>
    </w:p>
    <w:p>
      <w:pPr>
        <w:pStyle w:val="FirstParagraph"/>
      </w:pPr>
      <w:r>
        <w:t xml:space="preserve">The workbook’s own projections (based on historical claim rates applied to 25 initial units) suggest:</w:t>
      </w:r>
    </w:p>
    <w:tbl>
      <w:tblPr>
        <w:tblStyle w:val="Table"/>
        <w:tblW w:type="auto" w:w="0"/>
        <w:jc w:val="left"/>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p>
            <w:pPr>
              <w:pStyle w:val="Compact"/>
              <w:jc w:val="left"/>
            </w:pPr>
            <w:r>
              <w:rPr>
                <w:b/>
              </w:rPr>
              <w:t xml:space="preserve">Year</w:t>
            </w:r>
          </w:p>
        </w:tc>
        <w:tc>
          <w:tcPr/>
          <w:p>
            <w:pPr>
              <w:pStyle w:val="Compact"/>
              <w:jc w:val="left"/>
            </w:pPr>
            <w:r>
              <w:rPr>
                <w:b/>
              </w:rPr>
              <w:t xml:space="preserve">Projected claims</w:t>
            </w:r>
          </w:p>
        </w:tc>
        <w:tc>
          <w:tcPr/>
          <w:p>
            <w:pPr>
              <w:pStyle w:val="Compact"/>
              <w:jc w:val="left"/>
            </w:pPr>
            <w:r>
              <w:rPr>
                <w:b/>
              </w:rPr>
              <w:t xml:space="preserve">Repair/replacement</w:t>
            </w:r>
          </w:p>
        </w:tc>
        <w:tc>
          <w:tcPr/>
          <w:p>
            <w:pPr>
              <w:pStyle w:val="Compact"/>
              <w:jc w:val="left"/>
            </w:pPr>
            <w:r>
              <w:rPr>
                <w:b/>
              </w:rPr>
              <w:t xml:space="preserve">Consequential (range)</w:t>
            </w:r>
          </w:p>
        </w:tc>
      </w:tr>
      <w:tr>
        <w:tc>
          <w:tcPr/>
          <w:p>
            <w:pPr>
              <w:pStyle w:val="Compact"/>
              <w:jc w:val="left"/>
            </w:pPr>
            <w:r>
              <w:t xml:space="preserve">Year 1</w:t>
            </w:r>
          </w:p>
        </w:tc>
        <w:tc>
          <w:tcPr/>
          <w:p>
            <w:pPr>
              <w:pStyle w:val="Compact"/>
              <w:jc w:val="left"/>
            </w:pPr>
            <w:r>
              <w:t xml:space="preserve">1–2</w:t>
            </w:r>
          </w:p>
        </w:tc>
        <w:tc>
          <w:tcPr/>
          <w:p>
            <w:pPr>
              <w:pStyle w:val="Compact"/>
              <w:jc w:val="left"/>
            </w:pPr>
            <w:r>
              <w:t xml:space="preserve">$39,000–$65,000</w:t>
            </w:r>
          </w:p>
        </w:tc>
        <w:tc>
          <w:tcPr/>
          <w:p>
            <w:pPr>
              <w:pStyle w:val="Compact"/>
              <w:jc w:val="left"/>
            </w:pPr>
            <w:r>
              <w:t xml:space="preserve">$0–$500,000</w:t>
            </w:r>
          </w:p>
        </w:tc>
      </w:tr>
      <w:tr>
        <w:tc>
          <w:tcPr/>
          <w:p>
            <w:pPr>
              <w:pStyle w:val="Compact"/>
              <w:jc w:val="left"/>
            </w:pPr>
            <w:r>
              <w:t xml:space="preserve">Year 2</w:t>
            </w:r>
          </w:p>
        </w:tc>
        <w:tc>
          <w:tcPr/>
          <w:p>
            <w:pPr>
              <w:pStyle w:val="Compact"/>
              <w:jc w:val="left"/>
            </w:pPr>
            <w:r>
              <w:t xml:space="preserve">2–4</w:t>
            </w:r>
          </w:p>
        </w:tc>
        <w:tc>
          <w:tcPr/>
          <w:p>
            <w:pPr>
              <w:pStyle w:val="Compact"/>
              <w:jc w:val="left"/>
            </w:pPr>
            <w:r>
              <w:t xml:space="preserve">$65,000–$135,000</w:t>
            </w:r>
          </w:p>
        </w:tc>
        <w:tc>
          <w:tcPr/>
          <w:p>
            <w:pPr>
              <w:pStyle w:val="Compact"/>
              <w:jc w:val="left"/>
            </w:pPr>
            <w:r>
              <w:t xml:space="preserve">$0–$2,000,000</w:t>
            </w:r>
          </w:p>
        </w:tc>
      </w:tr>
      <w:tr>
        <w:tc>
          <w:tcPr/>
          <w:p>
            <w:pPr>
              <w:pStyle w:val="Compact"/>
              <w:jc w:val="left"/>
            </w:pPr>
            <w:r>
              <w:t xml:space="preserve">Year 3</w:t>
            </w:r>
          </w:p>
        </w:tc>
        <w:tc>
          <w:tcPr/>
          <w:p>
            <w:pPr>
              <w:pStyle w:val="Compact"/>
              <w:jc w:val="left"/>
            </w:pPr>
            <w:r>
              <w:t xml:space="preserve">4–7</w:t>
            </w:r>
          </w:p>
        </w:tc>
        <w:tc>
          <w:tcPr/>
          <w:p>
            <w:pPr>
              <w:pStyle w:val="Compact"/>
              <w:jc w:val="left"/>
            </w:pPr>
            <w:r>
              <w:t xml:space="preserve">$135,000–$250,000</w:t>
            </w:r>
          </w:p>
        </w:tc>
        <w:tc>
          <w:tcPr/>
          <w:p>
            <w:pPr>
              <w:pStyle w:val="Compact"/>
              <w:jc w:val="left"/>
            </w:pPr>
            <w:r>
              <w:t xml:space="preserve">$0–$5,000,000</w:t>
            </w:r>
          </w:p>
        </w:tc>
      </w:tr>
    </w:tbl>
    <w:p>
      <w:pPr>
        <w:pStyle w:val="BodyText"/>
      </w:pPr>
      <w:r>
        <w:t xml:space="preserve">Under an adverse scenario, total three-year Max 9000 exposure is $5.0–7.5 million, comparable to CIT’s</w:t>
      </w:r>
      <w:r>
        <w:t xml:space="preserve"> </w:t>
      </w:r>
      <w:r>
        <w:rPr>
          <w:i/>
          <w:iCs/>
        </w:rPr>
        <w:t xml:space="preserve">entire</w:t>
      </w:r>
      <w:r>
        <w:t xml:space="preserve"> </w:t>
      </w:r>
      <w:r>
        <w:t xml:space="preserve">three-year legacy warranty expense ($6.1 million). These projections are directional. They rest on legacy claim rates and a small installed base, and I would not present them to the Board as forecasts. But two features make them conservative on severity: (a) a single full-unit replacement of a Max 9000 costs roughly $475,000–$525,000 before any consequential damages, and (b) the per-incident consequential estimate ($500,000–$2,000,000) is consistent with the Cascade Bottling ($890,000 claimed) and Redmond ($1.2 million claimed) demands on units priced at about half the Max 9000.</w:t>
      </w:r>
    </w:p>
    <w:p>
      <w:pPr>
        <w:pStyle w:val="BodyText"/>
      </w:pPr>
      <w:r>
        <w:rPr>
          <w:b/>
          <w:bCs/>
        </w:rPr>
        <w:t xml:space="preserve">Put in business terms:</w:t>
      </w:r>
      <w:r>
        <w:t xml:space="preserve"> </w:t>
      </w:r>
      <w:r>
        <w:t xml:space="preserve">one uninsured consequential claim at the mid-range, about $1 million, would wipe out the gross margin on several Max 9000 units. Two in a year would materially affect the program’s economics.</w:t>
      </w:r>
    </w:p>
    <w:p>
      <w:r>
        <w:pict>
          <v:rect style="width:0;height:1.5pt" o:hralign="center" o:hrstd="t" o:hr="t"/>
        </w:pict>
      </w:r>
    </w:p>
    <w:bookmarkEnd w:id="47"/>
    <w:bookmarkEnd w:id="48"/>
    <w:bookmarkStart w:id="49" w:name="ix.-issue-6-insurance-implications"/>
    <w:p>
      <w:pPr>
        <w:pStyle w:val="Heading2"/>
      </w:pPr>
      <w:r>
        <w:t xml:space="preserve">IX. ISSUE 6 — INSURANCE IMPLICATIONS</w:t>
      </w:r>
    </w:p>
    <w:p>
      <w:pPr>
        <w:pStyle w:val="FirstParagraph"/>
      </w:pPr>
      <w:r>
        <w:rPr>
          <w:b/>
          <w:bCs/>
        </w:rPr>
        <w:t xml:space="preserve">Current program (per Stoneridge):</w:t>
      </w:r>
      <w:r>
        <w:t xml:space="preserve"> </w:t>
      </w:r>
      <w:r>
        <w:t xml:space="preserve">Northern Cascade Mutual, Policy PLG-2024-08831. CGL with products/completed-operations. $5M per occurrence / $15M aggregate. $700,000 premium. The carrier will require +22% (+$154,000, to about $854,000) if the program proceeds as drafted,</w:t>
      </w:r>
      <w:r>
        <w:t xml:space="preserve"> </w:t>
      </w:r>
      <w:r>
        <w:rPr>
          <w:i/>
          <w:iCs/>
        </w:rPr>
        <w:t xml:space="preserve">without</w:t>
      </w:r>
      <w:r>
        <w:t xml:space="preserve"> </w:t>
      </w:r>
      <w:r>
        <w:t xml:space="preserve">expanding coverage. Warranty and indemnity or contractual-liability cover for performance guarantees is</w:t>
      </w:r>
      <w:r>
        <w:t xml:space="preserve"> </w:t>
      </w:r>
      <w:r>
        <w:t xml:space="preserve">“</w:t>
      </w:r>
      <w:r>
        <w:t xml:space="preserve">extremely limited and . . . prohibitively expensive.</w:t>
      </w:r>
      <w:r>
        <w:t xml:space="preserve">”</w:t>
      </w:r>
    </w:p>
    <w:p>
      <w:pPr>
        <w:pStyle w:val="BodyText"/>
      </w:pPr>
      <w:r>
        <w:rPr>
          <w:b/>
          <w:bCs/>
        </w:rPr>
        <w:t xml:space="preserve">Would current coverage respond to Max 9000 claims?</w:t>
      </w:r>
      <w:r>
        <w:t xml:space="preserve"> </w:t>
      </w:r>
      <w:r>
        <w:t xml:space="preserve">Largely no. Coverage counsel should confirm against the actual policy wording, which I have not seen.</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p>
            <w:pPr>
              <w:pStyle w:val="Compact"/>
              <w:jc w:val="left"/>
            </w:pPr>
            <w:r>
              <w:rPr>
                <w:b/>
              </w:rPr>
              <w:t xml:space="preserve">Claim type</w:t>
            </w:r>
          </w:p>
        </w:tc>
        <w:tc>
          <w:tcPr/>
          <w:p>
            <w:pPr>
              <w:pStyle w:val="Compact"/>
              <w:jc w:val="left"/>
            </w:pPr>
            <w:r>
              <w:rPr>
                <w:b/>
              </w:rPr>
              <w:t xml:space="preserve">Likely CGL response</w:t>
            </w:r>
          </w:p>
        </w:tc>
        <w:tc>
          <w:tcPr/>
          <w:p>
            <w:pPr>
              <w:pStyle w:val="Compact"/>
              <w:jc w:val="left"/>
            </w:pPr>
            <w:r>
              <w:rPr>
                <w:b/>
              </w:rPr>
              <w:t xml:space="preserve">Why</w:t>
            </w:r>
          </w:p>
        </w:tc>
      </w:tr>
      <w:tr>
        <w:tc>
          <w:tcPr/>
          <w:p>
            <w:pPr>
              <w:pStyle w:val="Compact"/>
              <w:jc w:val="left"/>
            </w:pPr>
            <w:r>
              <w:t xml:space="preserve">Buyer’s claim that the unit underperformed the guarantee (repair cost, lost profits, cost of substitute water)</w:t>
            </w:r>
          </w:p>
        </w:tc>
        <w:tc>
          <w:tcPr/>
          <w:p>
            <w:pPr>
              <w:pStyle w:val="Compact"/>
              <w:jc w:val="left"/>
            </w:pPr>
            <w:r>
              <w:rPr>
                <w:b/>
                <w:bCs/>
              </w:rPr>
              <w:t xml:space="preserve">No</w:t>
            </w:r>
          </w:p>
        </w:tc>
        <w:tc>
          <w:tcPr/>
          <w:p>
            <w:pPr>
              <w:pStyle w:val="Compact"/>
              <w:jc w:val="left"/>
            </w:pPr>
            <w:r>
              <w:t xml:space="preserve">Not</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caused by an</w:t>
            </w:r>
            <w:r>
              <w:t xml:space="preserve"> </w:t>
            </w:r>
            <w:r>
              <w:t xml:space="preserve">“</w:t>
            </w:r>
            <w:r>
              <w:t xml:space="preserve">occurrence.</w:t>
            </w:r>
            <w:r>
              <w:t xml:space="preserve">”</w:t>
            </w:r>
            <w:r>
              <w:t xml:space="preserve"> </w:t>
            </w:r>
            <w:r>
              <w:t xml:space="preserve">Excluded as damage to</w:t>
            </w:r>
            <w:r>
              <w:t xml:space="preserve"> </w:t>
            </w:r>
            <w:r>
              <w:t xml:space="preserve">“</w:t>
            </w:r>
            <w:r>
              <w:t xml:space="preserve">your product</w:t>
            </w:r>
            <w:r>
              <w:t xml:space="preserve">”</w:t>
            </w:r>
            <w:r>
              <w:t xml:space="preserve"> </w:t>
            </w:r>
            <w:r>
              <w:t xml:space="preserve">and</w:t>
            </w:r>
            <w:r>
              <w:t xml:space="preserve"> </w:t>
            </w:r>
            <w:r>
              <w:t xml:space="preserve">“</w:t>
            </w:r>
            <w:r>
              <w:t xml:space="preserve">impaired property</w:t>
            </w:r>
            <w:r>
              <w:t xml:space="preserve">”</w:t>
            </w:r>
            <w:r>
              <w:t xml:space="preserve"> </w:t>
            </w:r>
            <w:r>
              <w:t xml:space="preserve">(standard exclusions k and m). Stoneridge’s contractual-liability point (exclusion b) is an additional hurdle. I would note that many courts read exclusion b narrowly, as applying to assumed liability of</w:t>
            </w:r>
            <w:r>
              <w:t xml:space="preserve"> </w:t>
            </w:r>
            <w:r>
              <w:rPr>
                <w:i/>
                <w:iCs/>
              </w:rPr>
              <w:t xml:space="preserve">others</w:t>
            </w:r>
            <w:r>
              <w:t xml:space="preserve"> </w:t>
            </w:r>
            <w:r>
              <w:t xml:space="preserve">(indemnities) rather than breach of one’s own warranty. So the stronger reasons coverage fails are the insuring agreement and the product/impaired-property exclusions. The practical conclusion is the same as Stoneridge’s.</w:t>
            </w:r>
          </w:p>
        </w:tc>
      </w:tr>
      <w:tr>
        <w:tc>
          <w:tcPr/>
          <w:p>
            <w:pPr>
              <w:pStyle w:val="Compact"/>
              <w:jc w:val="left"/>
            </w:pPr>
            <w:r>
              <w:t xml:space="preserve">Recall or withdrawal of units, or customer’s product recall</w:t>
            </w:r>
          </w:p>
        </w:tc>
        <w:tc>
          <w:tcPr/>
          <w:p>
            <w:pPr>
              <w:pStyle w:val="Compact"/>
              <w:jc w:val="left"/>
            </w:pPr>
            <w:r>
              <w:rPr>
                <w:b/>
                <w:bCs/>
              </w:rPr>
              <w:t xml:space="preserve">No</w:t>
            </w:r>
          </w:p>
        </w:tc>
        <w:tc>
          <w:tcPr/>
          <w:p>
            <w:pPr>
              <w:pStyle w:val="Compact"/>
              <w:jc w:val="left"/>
            </w:pPr>
            <w:r>
              <w:t xml:space="preserve">Recall (</w:t>
            </w:r>
            <w:r>
              <w:t xml:space="preserve">“</w:t>
            </w:r>
            <w:r>
              <w:t xml:space="preserve">sistership</w:t>
            </w:r>
            <w:r>
              <w:t xml:space="preserve">”</w:t>
            </w:r>
            <w:r>
              <w:t xml:space="preserve">) exclusion (standard exclusion n).</w:t>
            </w:r>
          </w:p>
        </w:tc>
      </w:tr>
      <w:tr>
        <w:tc>
          <w:tcPr/>
          <w:p>
            <w:pPr>
              <w:pStyle w:val="Compact"/>
              <w:jc w:val="left"/>
            </w:pPr>
            <w:r>
              <w:t xml:space="preserve">Customer’s spoiled inventory or contaminated product (Great Lakes, Redmond type)</w:t>
            </w:r>
          </w:p>
        </w:tc>
        <w:tc>
          <w:tcPr/>
          <w:p>
            <w:pPr>
              <w:pStyle w:val="Compact"/>
              <w:jc w:val="left"/>
            </w:pPr>
            <w:r>
              <w:rPr>
                <w:b/>
                <w:bCs/>
              </w:rPr>
              <w:t xml:space="preserve">Possibly</w:t>
            </w:r>
            <w:r>
              <w:t xml:space="preserve">, in part</w:t>
            </w:r>
          </w:p>
        </w:tc>
        <w:tc>
          <w:tcPr/>
          <w:p>
            <w:pPr>
              <w:pStyle w:val="Compact"/>
              <w:jc w:val="left"/>
            </w:pPr>
            <w:r>
              <w:t xml:space="preserve">Physical injury to</w:t>
            </w:r>
            <w:r>
              <w:t xml:space="preserve"> </w:t>
            </w:r>
            <w:r>
              <w:rPr>
                <w:i/>
                <w:iCs/>
              </w:rPr>
              <w:t xml:space="preserve">other</w:t>
            </w:r>
            <w:r>
              <w:t xml:space="preserve"> </w:t>
            </w:r>
            <w:r>
              <w:t xml:space="preserve">property may be</w:t>
            </w:r>
            <w:r>
              <w:t xml:space="preserve"> </w:t>
            </w:r>
            <w:r>
              <w:t xml:space="preserve">“</w:t>
            </w:r>
            <w:r>
              <w:t xml:space="preserve">property damage.</w:t>
            </w:r>
            <w:r>
              <w:t xml:space="preserve">”</w:t>
            </w:r>
            <w:r>
              <w:t xml:space="preserve"> </w:t>
            </w:r>
            <w:r>
              <w:t xml:space="preserve">Coverage disputes are likely.</w:t>
            </w:r>
          </w:p>
        </w:tc>
      </w:tr>
      <w:tr>
        <w:tc>
          <w:tcPr/>
          <w:p>
            <w:pPr>
              <w:pStyle w:val="Compact"/>
              <w:jc w:val="left"/>
            </w:pPr>
            <w:r>
              <w:t xml:space="preserve">Third-party bodily injury from contaminated water (residents, consumers)</w:t>
            </w:r>
          </w:p>
        </w:tc>
        <w:tc>
          <w:tcPr/>
          <w:p>
            <w:pPr>
              <w:pStyle w:val="Compact"/>
              <w:jc w:val="left"/>
            </w:pPr>
            <w:r>
              <w:rPr>
                <w:b/>
                <w:bCs/>
              </w:rPr>
              <w:t xml:space="preserve">Likely yes</w:t>
            </w:r>
            <w:r>
              <w:t xml:space="preserve">, subject to limits</w:t>
            </w:r>
          </w:p>
        </w:tc>
        <w:tc>
          <w:tcPr/>
          <w:p>
            <w:pPr>
              <w:pStyle w:val="Compact"/>
              <w:jc w:val="left"/>
            </w:pPr>
            <w:r>
              <w:t xml:space="preserve">Core products coverage. But a municipal public-health event could produce many claimants and approach the $5M per-occurrence and $15M aggregate limits.</w:t>
            </w:r>
          </w:p>
        </w:tc>
      </w:tr>
      <w:tr>
        <w:tc>
          <w:tcPr/>
          <w:p>
            <w:pPr>
              <w:pStyle w:val="Compact"/>
              <w:jc w:val="left"/>
            </w:pPr>
            <w:r>
              <w:t xml:space="preserve">AquaMonitor data error, cloud outage, cyber incident</w:t>
            </w:r>
          </w:p>
        </w:tc>
        <w:tc>
          <w:tcPr/>
          <w:p>
            <w:pPr>
              <w:pStyle w:val="Compact"/>
              <w:jc w:val="left"/>
            </w:pPr>
            <w:r>
              <w:rPr>
                <w:b/>
                <w:bCs/>
              </w:rPr>
              <w:t xml:space="preserve">Likely no</w:t>
            </w:r>
          </w:p>
        </w:tc>
        <w:tc>
          <w:tcPr/>
          <w:p>
            <w:pPr>
              <w:pStyle w:val="Compact"/>
              <w:jc w:val="left"/>
            </w:pPr>
            <w:r>
              <w:t xml:space="preserve">Typical CGL exclusions for electronic data, and professional services/E&amp;O. Technology E&amp;O and cyber policies are needed.</w:t>
            </w:r>
          </w:p>
        </w:tc>
      </w:tr>
      <w:tr>
        <w:tc>
          <w:tcPr/>
          <w:p>
            <w:pPr>
              <w:pStyle w:val="Compact"/>
              <w:jc w:val="left"/>
            </w:pPr>
            <w:r>
              <w:t xml:space="preserve">Fines and penalties passed through by customers</w:t>
            </w:r>
          </w:p>
        </w:tc>
        <w:tc>
          <w:tcPr/>
          <w:p>
            <w:pPr>
              <w:pStyle w:val="Compact"/>
              <w:jc w:val="left"/>
            </w:pPr>
            <w:r>
              <w:rPr>
                <w:b/>
                <w:bCs/>
              </w:rPr>
              <w:t xml:space="preserve">No</w:t>
            </w:r>
          </w:p>
        </w:tc>
        <w:tc>
          <w:tcPr/>
          <w:p>
            <w:pPr>
              <w:pStyle w:val="Compact"/>
              <w:jc w:val="left"/>
            </w:pPr>
            <w:r>
              <w:t xml:space="preserve">Generally uninsurable or excluded.</w:t>
            </w:r>
          </w:p>
        </w:tc>
      </w:tr>
    </w:tbl>
    <w:p>
      <w:pPr>
        <w:pStyle w:val="BodyText"/>
      </w:pPr>
      <w:r>
        <w:rPr>
          <w:b/>
          <w:bCs/>
        </w:rPr>
        <w:t xml:space="preserve">What the premium increase signals.</w:t>
      </w:r>
      <w:r>
        <w:t xml:space="preserve"> </w:t>
      </w:r>
      <w:r>
        <w:t xml:space="preserve">Ms. Dasgupta calls $154,000</w:t>
      </w:r>
      <w:r>
        <w:t xml:space="preserve"> </w:t>
      </w:r>
      <w:r>
        <w:t xml:space="preserve">“</w:t>
      </w:r>
      <w:r>
        <w:t xml:space="preserve">a rounding error</w:t>
      </w:r>
      <w:r>
        <w:t xml:space="preserve">”</w:t>
      </w:r>
      <w:r>
        <w:t xml:space="preserve"> </w:t>
      </w:r>
      <w:r>
        <w:t xml:space="preserve">on $12.3M of pipeline. Measured against revenue, that is arithmetically fair. It is also beside the point, for three reasons:</w:t>
      </w:r>
    </w:p>
    <w:p>
      <w:pPr>
        <w:pStyle w:val="Compact"/>
        <w:numPr>
          <w:ilvl w:val="0"/>
          <w:numId w:val="1056"/>
        </w:numPr>
      </w:pPr>
    </w:p>
    <w:p>
      <w:pPr>
        <w:pStyle w:val="Compact"/>
        <w:numPr>
          <w:ilvl w:val="1"/>
          <w:numId w:val="1057"/>
        </w:numPr>
      </w:pPr>
      <w:r>
        <w:t xml:space="preserve">The premium buys</w:t>
      </w:r>
      <w:r>
        <w:t xml:space="preserve"> </w:t>
      </w:r>
      <w:r>
        <w:rPr>
          <w:b/>
          <w:bCs/>
        </w:rPr>
        <w:t xml:space="preserve">no new protection</w:t>
      </w:r>
      <w:r>
        <w:t xml:space="preserve"> </w:t>
      </w:r>
      <w:r>
        <w:t xml:space="preserve">against the claims the program is most likely to generate. CIT would pay more while effectively self-insuring guarantee claims.</w:t>
      </w:r>
    </w:p>
    <w:p>
      <w:pPr>
        <w:pStyle w:val="Compact"/>
        <w:numPr>
          <w:ilvl w:val="0"/>
          <w:numId w:val="1056"/>
        </w:numPr>
      </w:pPr>
    </w:p>
    <w:p>
      <w:pPr>
        <w:pStyle w:val="Compact"/>
        <w:numPr>
          <w:ilvl w:val="1"/>
          <w:numId w:val="1058"/>
        </w:numPr>
      </w:pPr>
      <w:r>
        <w:t xml:space="preserve">A 22% increase is an underwriter’s quantified judgment that CIT’s risk profile has worsened, on top of an adverse claims trend. Further adverse development (a</w:t>
      </w:r>
      <w:r>
        <w:t xml:space="preserve"> </w:t>
      </w:r>
      <w:r>
        <w:rPr>
          <w:i/>
          <w:iCs/>
        </w:rPr>
        <w:t xml:space="preserve">Redmond</w:t>
      </w:r>
      <w:r>
        <w:t xml:space="preserve"> </w:t>
      </w:r>
      <w:r>
        <w:t xml:space="preserve">loss, or a Max 9000 incident) risks non-renewal or restrictive endorsements at the next renewal, which would affect</w:t>
      </w:r>
      <w:r>
        <w:t xml:space="preserve"> </w:t>
      </w:r>
      <w:r>
        <w:rPr>
          <w:i/>
          <w:iCs/>
        </w:rPr>
        <w:t xml:space="preserve">all</w:t>
      </w:r>
      <w:r>
        <w:t xml:space="preserve"> </w:t>
      </w:r>
      <w:r>
        <w:t xml:space="preserve">product lines.</w:t>
      </w:r>
    </w:p>
    <w:p>
      <w:pPr>
        <w:pStyle w:val="Compact"/>
        <w:numPr>
          <w:ilvl w:val="0"/>
          <w:numId w:val="1056"/>
        </w:numPr>
      </w:pPr>
    </w:p>
    <w:p>
      <w:pPr>
        <w:pStyle w:val="Compact"/>
        <w:numPr>
          <w:ilvl w:val="1"/>
          <w:numId w:val="1059"/>
        </w:numPr>
      </w:pPr>
      <w:r>
        <w:t xml:space="preserve">Governmental and pharmaceutical customers (Triton, NYC agencies, Massachusetts pharma) will commonly</w:t>
      </w:r>
      <w:r>
        <w:t xml:space="preserve"> </w:t>
      </w:r>
      <w:r>
        <w:rPr>
          <w:i/>
          <w:iCs/>
        </w:rPr>
        <w:t xml:space="preserve">require</w:t>
      </w:r>
      <w:r>
        <w:t xml:space="preserve"> </w:t>
      </w:r>
      <w:r>
        <w:t xml:space="preserve">vendors to carry specified coverage and name them as additional insureds. CIT may be unable to meet those requirements for the risks that matter.</w:t>
      </w:r>
    </w:p>
    <w:p>
      <w:pPr>
        <w:pStyle w:val="FirstParagraph"/>
      </w:pPr>
      <w:r>
        <w:rPr>
          <w:b/>
          <w:bCs/>
        </w:rPr>
        <w:t xml:space="preserve">Governance point.</w:t>
      </w:r>
      <w:r>
        <w:t xml:space="preserve"> </w:t>
      </w:r>
      <w:r>
        <w:t xml:space="preserve">Stoneridge recommended a coverage review</w:t>
      </w:r>
      <w:r>
        <w:t xml:space="preserve"> </w:t>
      </w:r>
      <w:r>
        <w:rPr>
          <w:i/>
          <w:iCs/>
        </w:rPr>
        <w:t xml:space="preserve">before</w:t>
      </w:r>
      <w:r>
        <w:t xml:space="preserve"> </w:t>
      </w:r>
      <w:r>
        <w:t xml:space="preserve">the February 3 Board meeting. I have not seen anything indicating it took place, or that the Board was told about the coverage gap when it endorsed the program. If it was not, I recommend the CEO brief the Board, or its audit or risk committee, on the insurance and</w:t>
      </w:r>
      <w:r>
        <w:t xml:space="preserve"> </w:t>
      </w:r>
      <w:r>
        <w:rPr>
          <w:i/>
          <w:iCs/>
        </w:rPr>
        <w:t xml:space="preserve">Redmond</w:t>
      </w:r>
      <w:r>
        <w:t xml:space="preserve"> </w:t>
      </w:r>
      <w:r>
        <w:t xml:space="preserve">context. Directors’ oversight duties extend to known, material enterprise risks, and a record showing the Board was informed protects both the Board and management.</w:t>
      </w:r>
    </w:p>
    <w:p>
      <w:pPr>
        <w:pStyle w:val="BodyText"/>
      </w:pPr>
      <w:r>
        <w:rPr>
          <w:b/>
          <w:bCs/>
        </w:rPr>
        <w:t xml:space="preserve">Recommendations:</w:t>
      </w:r>
    </w:p>
    <w:p>
      <w:pPr>
        <w:pStyle w:val="Compact"/>
        <w:numPr>
          <w:ilvl w:val="0"/>
          <w:numId w:val="1060"/>
        </w:numPr>
      </w:pPr>
    </w:p>
    <w:p>
      <w:pPr>
        <w:pStyle w:val="Compact"/>
        <w:numPr>
          <w:ilvl w:val="1"/>
          <w:numId w:val="1061"/>
        </w:numPr>
      </w:pPr>
      <w:r>
        <w:t xml:space="preserve">Obtain a written coverage position from the carrier, with Stoneridge’s help, on</w:t>
      </w:r>
      <w:r>
        <w:t xml:space="preserve"> </w:t>
      </w:r>
      <w:r>
        <w:rPr>
          <w:i/>
          <w:iCs/>
        </w:rPr>
        <w:t xml:space="preserve">Redmond</w:t>
      </w:r>
      <w:r>
        <w:t xml:space="preserve">. Confirm notice has been given under the policy.</w:t>
      </w:r>
    </w:p>
    <w:p>
      <w:pPr>
        <w:pStyle w:val="Compact"/>
        <w:numPr>
          <w:ilvl w:val="0"/>
          <w:numId w:val="1060"/>
        </w:numPr>
      </w:pPr>
    </w:p>
    <w:p>
      <w:pPr>
        <w:pStyle w:val="Compact"/>
        <w:numPr>
          <w:ilvl w:val="1"/>
          <w:numId w:val="1062"/>
        </w:numPr>
      </w:pPr>
      <w:r>
        <w:t xml:space="preserve">Obtain the policy forms and have them reviewed for the exclusions above.</w:t>
      </w:r>
    </w:p>
    <w:p>
      <w:pPr>
        <w:pStyle w:val="Compact"/>
        <w:numPr>
          <w:ilvl w:val="0"/>
          <w:numId w:val="1060"/>
        </w:numPr>
      </w:pPr>
    </w:p>
    <w:p>
      <w:pPr>
        <w:pStyle w:val="Compact"/>
        <w:numPr>
          <w:ilvl w:val="1"/>
          <w:numId w:val="1063"/>
        </w:numPr>
      </w:pPr>
      <w:r>
        <w:t xml:space="preserve">Price technology E&amp;O/cyber, product-recall, and (if available) performance-guarantee coverage.</w:t>
      </w:r>
    </w:p>
    <w:p>
      <w:pPr>
        <w:pStyle w:val="Compact"/>
        <w:numPr>
          <w:ilvl w:val="0"/>
          <w:numId w:val="1060"/>
        </w:numPr>
      </w:pPr>
    </w:p>
    <w:p>
      <w:pPr>
        <w:pStyle w:val="Compact"/>
        <w:numPr>
          <w:ilvl w:val="1"/>
          <w:numId w:val="1064"/>
        </w:numPr>
      </w:pPr>
      <w:r>
        <w:t xml:space="preserve">Establish a specific warranty reserve for the Max 9000 performance warranty, sized from the defined remedies in Part X. Defined remedies make this possible in a way an open-ended</w:t>
      </w:r>
      <w:r>
        <w:t xml:space="preserve"> </w:t>
      </w:r>
      <w:r>
        <w:t xml:space="preserve">“</w:t>
      </w:r>
      <w:r>
        <w:t xml:space="preserve">make whole</w:t>
      </w:r>
      <w:r>
        <w:t xml:space="preserve">”</w:t>
      </w:r>
      <w:r>
        <w:t xml:space="preserve"> </w:t>
      </w:r>
      <w:r>
        <w:t xml:space="preserve">promise does not.</w:t>
      </w:r>
    </w:p>
    <w:p>
      <w:pPr>
        <w:pStyle w:val="Compact"/>
        <w:numPr>
          <w:ilvl w:val="0"/>
          <w:numId w:val="1060"/>
        </w:numPr>
      </w:pPr>
    </w:p>
    <w:p>
      <w:pPr>
        <w:pStyle w:val="Compact"/>
        <w:numPr>
          <w:ilvl w:val="1"/>
          <w:numId w:val="1065"/>
        </w:numPr>
      </w:pPr>
      <w:r>
        <w:t xml:space="preserve">Negotiate with Northern Cascade on whether the restructured program (Part X) warrants a lower increase than 22%. The underwriter’s concern was the program</w:t>
      </w:r>
      <w:r>
        <w:t xml:space="preserve"> </w:t>
      </w:r>
      <w:r>
        <w:t xml:space="preserve">“</w:t>
      </w:r>
      <w:r>
        <w:t xml:space="preserve">in its current form.</w:t>
      </w:r>
      <w:r>
        <w:t xml:space="preserve">”</w:t>
      </w:r>
    </w:p>
    <w:p>
      <w:r>
        <w:pict>
          <v:rect style="width:0;height:1.5pt" o:hralign="center" o:hrstd="t" o:hr="t"/>
        </w:pict>
      </w:r>
    </w:p>
    <w:bookmarkEnd w:id="49"/>
    <w:bookmarkStart w:id="56" w:name="x.-recommendations"/>
    <w:p>
      <w:pPr>
        <w:pStyle w:val="Heading2"/>
      </w:pPr>
      <w:r>
        <w:t xml:space="preserve">X. RECOMMENDATIONS</w:t>
      </w:r>
    </w:p>
    <w:p>
      <w:pPr>
        <w:pStyle w:val="FirstParagraph"/>
      </w:pPr>
      <w:r>
        <w:t xml:space="preserve">These are written for a business audience. The goal is to</w:t>
      </w:r>
      <w:r>
        <w:t xml:space="preserve"> </w:t>
      </w:r>
      <w:r>
        <w:rPr>
          <w:b/>
          <w:bCs/>
        </w:rPr>
        <w:t xml:space="preserve">keep the Total Performance Guarantee as a selling proposition</w:t>
      </w:r>
      <w:r>
        <w:t xml:space="preserve"> </w:t>
      </w:r>
      <w:r>
        <w:t xml:space="preserve">while making it a defined, priced, contractual commitment instead of an open-ended promise. Each item notes whether it is legally necessary or risk-reducing best practice, which responds to Ms. Dasgupta’s fair request to separate the two.</w:t>
      </w:r>
    </w:p>
    <w:bookmarkStart w:id="50" w:name="X4f4a6f61c4332698226ba8280e1f8cda33b31ac"/>
    <w:p>
      <w:pPr>
        <w:pStyle w:val="Heading3"/>
      </w:pPr>
      <w:r>
        <w:t xml:space="preserve">A. The core restructuring: from</w:t>
      </w:r>
      <w:r>
        <w:t xml:space="preserve"> </w:t>
      </w:r>
      <w:r>
        <w:t xml:space="preserve">“</w:t>
      </w:r>
      <w:r>
        <w:t xml:space="preserve">promise</w:t>
      </w:r>
      <w:r>
        <w:t xml:space="preserve">”</w:t>
      </w:r>
      <w:r>
        <w:t xml:space="preserve"> </w:t>
      </w:r>
      <w:r>
        <w:t xml:space="preserve">to</w:t>
      </w:r>
      <w:r>
        <w:t xml:space="preserve"> </w:t>
      </w:r>
      <w:r>
        <w:t xml:space="preserve">“</w:t>
      </w:r>
      <w:r>
        <w:t xml:space="preserve">Performance Warranty</w:t>
      </w:r>
      <w:r>
        <w:t xml:space="preserve">”</w:t>
      </w:r>
    </w:p>
    <w:p>
      <w:pPr>
        <w:pStyle w:val="FirstParagraph"/>
      </w:pPr>
      <w:r>
        <w:rPr>
          <w:b/>
          <w:bCs/>
        </w:rPr>
        <w:t xml:space="preserve">Legally necessary</w:t>
      </w:r>
      <w:r>
        <w:t xml:space="preserve"> </w:t>
      </w:r>
      <w:r>
        <w:t xml:space="preserve">if CIT intends to keep quantified guarantees. CIT should adopt a written</w:t>
      </w:r>
      <w:r>
        <w:t xml:space="preserve"> </w:t>
      </w:r>
      <w:r>
        <w:rPr>
          <w:b/>
          <w:bCs/>
        </w:rPr>
        <w:t xml:space="preserve">AquaPure Max 9000 Performance Warranty</w:t>
      </w:r>
      <w:r>
        <w:t xml:space="preserve">, which Sales can continue to brand as the</w:t>
      </w:r>
      <w:r>
        <w:t xml:space="preserve"> </w:t>
      </w:r>
      <w:r>
        <w:t xml:space="preserve">“</w:t>
      </w:r>
      <w:r>
        <w:t xml:space="preserve">Total Performance Guarantee,</w:t>
      </w:r>
      <w:r>
        <w:t xml:space="preserve">”</w:t>
      </w:r>
      <w:r>
        <w:t xml:space="preserve"> </w:t>
      </w:r>
      <w:r>
        <w:t xml:space="preserve">containing:</w:t>
      </w:r>
    </w:p>
    <w:p>
      <w:pPr>
        <w:pStyle w:val="Compact"/>
        <w:numPr>
          <w:ilvl w:val="0"/>
          <w:numId w:val="1066"/>
        </w:numPr>
      </w:pPr>
      <w:r>
        <w:rPr>
          <w:b/>
          <w:bCs/>
        </w:rPr>
        <w:t xml:space="preserve">Defined metrics.</w:t>
      </w:r>
    </w:p>
    <w:p>
      <w:pPr>
        <w:pStyle w:val="Compact"/>
        <w:numPr>
          <w:ilvl w:val="1"/>
          <w:numId w:val="1067"/>
        </w:numPr>
      </w:pPr>
      <w:r>
        <w:t xml:space="preserve">“</w:t>
      </w:r>
      <w:r>
        <w:t xml:space="preserve">99.97% removal</w:t>
      </w:r>
      <w:r>
        <w:t xml:space="preserve">”</w:t>
      </w:r>
      <w:r>
        <w:t xml:space="preserve"> </w:t>
      </w:r>
      <w:r>
        <w:t xml:space="preserve">is measured for a</w:t>
      </w:r>
      <w:r>
        <w:t xml:space="preserve"> </w:t>
      </w:r>
      <w:r>
        <w:rPr>
          <w:i/>
          <w:iCs/>
        </w:rPr>
        <w:t xml:space="preserve">listed</w:t>
      </w:r>
      <w:r>
        <w:t xml:space="preserve"> </w:t>
      </w:r>
      <w:r>
        <w:t xml:space="preserve">set of contaminants (e.g., specified PFAS compounds, lead, arsenic, mercury, and microplastics above a stated particle size), by a specified test method, at a specified sampling point, averaged over a specified period.</w:t>
      </w:r>
    </w:p>
    <w:p>
      <w:pPr>
        <w:pStyle w:val="Compact"/>
        <w:numPr>
          <w:ilvl w:val="1"/>
          <w:numId w:val="1067"/>
        </w:numPr>
      </w:pPr>
      <w:r>
        <w:t xml:space="preserve">Uptime is defined: 98.5% measured annually, excluding scheduled maintenance, customer-caused downtime, power or feed-water events, and force majeure.</w:t>
      </w:r>
    </w:p>
    <w:p>
      <w:pPr>
        <w:pStyle w:val="Compact"/>
        <w:numPr>
          <w:ilvl w:val="1"/>
          <w:numId w:val="1067"/>
        </w:numPr>
      </w:pPr>
      <w:r>
        <w:t xml:space="preserve">Throughput is rated at specified feed-water conditions.</w:t>
      </w:r>
    </w:p>
    <w:p>
      <w:pPr>
        <w:pStyle w:val="Compact"/>
        <w:numPr>
          <w:ilvl w:val="0"/>
          <w:numId w:val="1066"/>
        </w:numPr>
      </w:pPr>
      <w:r>
        <w:rPr>
          <w:b/>
          <w:bCs/>
        </w:rPr>
        <w:t xml:space="preserve">Conditions.</w:t>
      </w:r>
      <w:r>
        <w:t xml:space="preserve"> </w:t>
      </w:r>
      <w:r>
        <w:t xml:space="preserve">Feed water within published input parameters (with a site water analysis</w:t>
      </w:r>
      <w:r>
        <w:t xml:space="preserve"> </w:t>
      </w:r>
      <w:r>
        <w:rPr>
          <w:i/>
          <w:iCs/>
        </w:rPr>
        <w:t xml:space="preserve">before</w:t>
      </w:r>
      <w:r>
        <w:t xml:space="preserve"> </w:t>
      </w:r>
      <w:r>
        <w:t xml:space="preserve">sale, attached to the contract); CIT-certified installation; the maintenance schedule; genuine cartridges; and customer’s continued independent regulatory sampling.</w:t>
      </w:r>
    </w:p>
    <w:p>
      <w:pPr>
        <w:pStyle w:val="Compact"/>
        <w:numPr>
          <w:ilvl w:val="0"/>
          <w:numId w:val="1066"/>
        </w:numPr>
      </w:pPr>
      <w:r>
        <w:rPr>
          <w:b/>
          <w:bCs/>
        </w:rPr>
        <w:t xml:space="preserve">Acceptance testing.</w:t>
      </w:r>
      <w:r>
        <w:t xml:space="preserve"> </w:t>
      </w:r>
      <w:r>
        <w:t xml:space="preserve">A commissioning performance test establishes baseline conformance. Passing it starts the warranty. Failing it triggers CIT’s cure obligation before final payment.</w:t>
      </w:r>
    </w:p>
    <w:p>
      <w:pPr>
        <w:pStyle w:val="Compact"/>
        <w:numPr>
          <w:ilvl w:val="0"/>
          <w:numId w:val="1066"/>
        </w:numPr>
      </w:pPr>
      <w:r>
        <w:rPr>
          <w:b/>
          <w:bCs/>
        </w:rPr>
        <w:t xml:space="preserve">Cure period.</w:t>
      </w:r>
      <w:r>
        <w:t xml:space="preserve"> </w:t>
      </w:r>
      <w:r>
        <w:t xml:space="preserve">CIT gets a stated period, e.g., 30 days, to restore performance after notice, supported by AquaMonitor data where installed.</w:t>
      </w:r>
    </w:p>
    <w:p>
      <w:pPr>
        <w:pStyle w:val="Compact"/>
        <w:numPr>
          <w:ilvl w:val="0"/>
          <w:numId w:val="1066"/>
        </w:numPr>
      </w:pPr>
      <w:r>
        <w:rPr>
          <w:b/>
          <w:bCs/>
        </w:rPr>
        <w:t xml:space="preserve">Stepped remedies.</w:t>
      </w:r>
      <w:r>
        <w:t xml:space="preserve"> </w:t>
      </w:r>
      <w:r>
        <w:t xml:space="preserve">First, repair, adjust, or replace components. If not cured within the cure period, performance credits (liquidated damages, e.g., a stated percentage of unit price per week or month of non-conformance, capped). If still not cured within a longer period, CIT’s option to replace the unit or buy it back (refund of price less depreciation). Liquidated damages are enforceable under § 2-718 if reasonable in light of anticipated harm. This ladder gives customers a remedy that</w:t>
      </w:r>
      <w:r>
        <w:t xml:space="preserve"> </w:t>
      </w:r>
      <w:r>
        <w:rPr>
          <w:i/>
          <w:iCs/>
        </w:rPr>
        <w:t xml:space="preserve">does</w:t>
      </w:r>
      <w:r>
        <w:t xml:space="preserve"> </w:t>
      </w:r>
      <w:r>
        <w:t xml:space="preserve">address the period of non-conformity, which is the strongest answer to a § 2-719(2)</w:t>
      </w:r>
      <w:r>
        <w:t xml:space="preserve"> </w:t>
      </w:r>
      <w:r>
        <w:t xml:space="preserve">“</w:t>
      </w:r>
      <w:r>
        <w:t xml:space="preserve">failure of essential purpose</w:t>
      </w:r>
      <w:r>
        <w:t xml:space="preserve">”</w:t>
      </w:r>
      <w:r>
        <w:t xml:space="preserve"> </w:t>
      </w:r>
      <w:r>
        <w:t xml:space="preserve">argument.</w:t>
      </w:r>
    </w:p>
    <w:p>
      <w:pPr>
        <w:pStyle w:val="Compact"/>
        <w:numPr>
          <w:ilvl w:val="0"/>
          <w:numId w:val="1066"/>
        </w:numPr>
      </w:pPr>
      <w:r>
        <w:rPr>
          <w:b/>
          <w:bCs/>
        </w:rPr>
        <w:t xml:space="preserve">Aggregate cap and exclusion.</w:t>
      </w:r>
      <w:r>
        <w:t xml:space="preserve"> </w:t>
      </w:r>
      <w:r>
        <w:t xml:space="preserve">Total liability under the Performance Warranty capped (e.g., at the unit price or a percentage of it). A consequential-damages exclusion drafted as independent of the remedy and expressly acknowledged as surviving remedy failure. Consider</w:t>
      </w:r>
      <w:r>
        <w:t xml:space="preserve"> </w:t>
      </w:r>
      <w:r>
        <w:rPr>
          <w:i/>
          <w:iCs/>
        </w:rPr>
        <w:t xml:space="preserve">negotiated</w:t>
      </w:r>
      <w:r>
        <w:t xml:space="preserve"> </w:t>
      </w:r>
      <w:r>
        <w:t xml:space="preserve">carve-backs (e.g., a separate, capped sub-limit for documented substitute-water costs) for strategic accounts, because giving a little here is what makes the exclusion defensible.</w:t>
      </w:r>
    </w:p>
    <w:p>
      <w:pPr>
        <w:pStyle w:val="Compact"/>
        <w:numPr>
          <w:ilvl w:val="0"/>
          <w:numId w:val="1066"/>
        </w:numPr>
      </w:pPr>
      <w:r>
        <w:rPr>
          <w:b/>
          <w:bCs/>
        </w:rPr>
        <w:t xml:space="preserve">Duration.</w:t>
      </w:r>
      <w:r>
        <w:t xml:space="preserve"> </w:t>
      </w:r>
      <w:r>
        <w:t xml:space="preserve">Performance warranty term stated (e.g., 3 years, aligned to parts). The</w:t>
      </w:r>
      <w:r>
        <w:t xml:space="preserve"> </w:t>
      </w:r>
      <w:r>
        <w:t xml:space="preserve">“</w:t>
      </w:r>
      <w:r>
        <w:t xml:space="preserve">15-year design life</w:t>
      </w:r>
      <w:r>
        <w:t xml:space="preserve">”</w:t>
      </w:r>
      <w:r>
        <w:t xml:space="preserve"> </w:t>
      </w:r>
      <w:r>
        <w:t xml:space="preserve">is described as a design parameter, not a warranty.</w:t>
      </w:r>
    </w:p>
    <w:p>
      <w:pPr>
        <w:pStyle w:val="Compact"/>
        <w:numPr>
          <w:ilvl w:val="0"/>
          <w:numId w:val="1066"/>
        </w:numPr>
      </w:pPr>
      <w:r>
        <w:rPr>
          <w:b/>
          <w:bCs/>
        </w:rPr>
        <w:t xml:space="preserve">Regulatory statements.</w:t>
      </w:r>
      <w:r>
        <w:t xml:space="preserve"> </w:t>
      </w:r>
      <w:r>
        <w:t xml:space="preserve">Replace</w:t>
      </w:r>
      <w:r>
        <w:t xml:space="preserve"> </w:t>
      </w:r>
      <w:r>
        <w:t xml:space="preserve">“</w:t>
      </w:r>
      <w:r>
        <w:t xml:space="preserve">your water will meet or exceed all EPA and state standards</w:t>
      </w:r>
      <w:r>
        <w:t xml:space="preserve">”</w:t>
      </w:r>
      <w:r>
        <w:t xml:space="preserve"> </w:t>
      </w:r>
      <w:r>
        <w:t xml:space="preserve">with a statement of the</w:t>
      </w:r>
      <w:r>
        <w:t xml:space="preserve"> </w:t>
      </w:r>
      <w:r>
        <w:rPr>
          <w:i/>
          <w:iCs/>
        </w:rPr>
        <w:t xml:space="preserve">specified contaminant limits CIT warrants the system will achieve under the defined conditions</w:t>
      </w:r>
      <w:r>
        <w:t xml:space="preserve">, and a statement that regulatory compliance remains the customer’s responsibility.</w:t>
      </w:r>
    </w:p>
    <w:p>
      <w:pPr>
        <w:pStyle w:val="FirstParagraph"/>
      </w:pPr>
      <w:r>
        <w:rPr>
          <w:b/>
          <w:bCs/>
        </w:rPr>
        <w:t xml:space="preserve">Pricing and economics.</w:t>
      </w:r>
      <w:r>
        <w:t xml:space="preserve"> </w:t>
      </w:r>
      <w:r>
        <w:t xml:space="preserve">Because the remedies are defined, Finance can model the guarantee’s cost and set a reserve, and Stoneridge can present a bounded risk to the underwriter.</w:t>
      </w:r>
    </w:p>
    <w:bookmarkEnd w:id="50"/>
    <w:bookmarkStart w:id="51" w:name="X4a8f89911945af3a191d26c4af9f1c1cdf14c71"/>
    <w:p>
      <w:pPr>
        <w:pStyle w:val="Heading3"/>
      </w:pPr>
      <w:r>
        <w:t xml:space="preserve">B. Immediate actions (before March 17, some this week)</w:t>
      </w:r>
    </w:p>
    <w:tbl>
      <w:tblPr>
        <w:tblStyle w:val="Table"/>
        <w:tblW w:type="pct" w:w="5000"/>
        <w:jc w:val="left"/>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on"/>
        </w:trPr>
        <w:tc>
          <w:tcPr/>
          <w:p>
            <w:pPr>
              <w:pStyle w:val="Compact"/>
              <w:jc w:val="left"/>
            </w:pPr>
            <w:r>
              <w:rPr>
                <w:b/>
              </w:rPr>
              <w:t xml:space="preserve">#</w:t>
            </w:r>
          </w:p>
        </w:tc>
        <w:tc>
          <w:tcPr/>
          <w:p>
            <w:pPr>
              <w:pStyle w:val="Compact"/>
              <w:jc w:val="left"/>
            </w:pPr>
            <w:r>
              <w:rPr>
                <w:b/>
              </w:rPr>
              <w:t xml:space="preserve">Action</w:t>
            </w:r>
          </w:p>
        </w:tc>
        <w:tc>
          <w:tcPr/>
          <w:p>
            <w:pPr>
              <w:pStyle w:val="Compact"/>
              <w:jc w:val="left"/>
            </w:pPr>
            <w:r>
              <w:rPr>
                <w:b/>
              </w:rPr>
              <w:t xml:space="preserve">Necessary / best practice</w:t>
            </w:r>
          </w:p>
        </w:tc>
        <w:tc>
          <w:tcPr/>
          <w:p>
            <w:pPr>
              <w:pStyle w:val="Compact"/>
              <w:jc w:val="left"/>
            </w:pPr>
            <w:r>
              <w:rPr>
                <w:b/>
              </w:rPr>
              <w:t xml:space="preserve">Owner (proposed)</w:t>
            </w:r>
          </w:p>
        </w:tc>
        <w:tc>
          <w:tcPr/>
          <w:p>
            <w:pPr>
              <w:pStyle w:val="Compact"/>
              <w:jc w:val="left"/>
            </w:pPr>
            <w:r>
              <w:rPr>
                <w:b/>
              </w:rPr>
              <w:t xml:space="preserve">Timing</w:t>
            </w:r>
          </w:p>
        </w:tc>
      </w:tr>
      <w:tr>
        <w:tc>
          <w:tcPr/>
          <w:p>
            <w:pPr>
              <w:pStyle w:val="Compact"/>
              <w:jc w:val="left"/>
            </w:pPr>
            <w:r>
              <w:t xml:space="preserve">1</w:t>
            </w:r>
          </w:p>
        </w:tc>
        <w:tc>
          <w:tcPr/>
          <w:p>
            <w:pPr>
              <w:pStyle w:val="Compact"/>
              <w:jc w:val="left"/>
            </w:pPr>
            <w:r>
              <w:rPr>
                <w:b/>
                <w:bCs/>
              </w:rPr>
              <w:t xml:space="preserve">Withdraw the Jan. 8 sales memo</w:t>
            </w:r>
            <w:r>
              <w:t xml:space="preserve"> </w:t>
            </w:r>
            <w:r>
              <w:t xml:space="preserve">and issue interim guidance. Stop</w:t>
            </w:r>
            <w:r>
              <w:t xml:space="preserve"> </w:t>
            </w:r>
            <w:r>
              <w:t xml:space="preserve">“</w:t>
            </w:r>
            <w:r>
              <w:t xml:space="preserve">guaranteed/make customers whole/do not hedge.</w:t>
            </w:r>
            <w:r>
              <w:t xml:space="preserve">”</w:t>
            </w:r>
            <w:r>
              <w:t xml:space="preserve"> </w:t>
            </w:r>
            <w:r>
              <w:t xml:space="preserve">Stop withholding the warranty. Refer contract-term questions to Legal. Figures may be described as</w:t>
            </w:r>
            <w:r>
              <w:t xml:space="preserve"> </w:t>
            </w:r>
            <w:r>
              <w:t xml:space="preserve">“</w:t>
            </w:r>
            <w:r>
              <w:t xml:space="preserve">rated performance under specified conditions; a formal Performance Warranty will be provided with your proposal.</w:t>
            </w:r>
            <w:r>
              <w:t xml:space="preserve">”</w:t>
            </w:r>
          </w:p>
        </w:tc>
        <w:tc>
          <w:tcPr/>
          <w:p>
            <w:pPr>
              <w:pStyle w:val="Compact"/>
              <w:jc w:val="left"/>
            </w:pPr>
            <w:r>
              <w:rPr>
                <w:b/>
                <w:bCs/>
              </w:rPr>
              <w:t xml:space="preserve">Necessary.</w:t>
            </w:r>
            <w:r>
              <w:t xml:space="preserve"> </w:t>
            </w:r>
            <w:r>
              <w:t xml:space="preserve">Warranties are being created in live deals</w:t>
            </w:r>
          </w:p>
        </w:tc>
        <w:tc>
          <w:tcPr/>
          <w:p>
            <w:pPr>
              <w:pStyle w:val="Compact"/>
              <w:jc w:val="left"/>
            </w:pPr>
            <w:r>
              <w:t xml:space="preserve">Legal drafts; Dasgupta issues</w:t>
            </w:r>
          </w:p>
        </w:tc>
        <w:tc>
          <w:tcPr/>
          <w:p>
            <w:pPr>
              <w:pStyle w:val="Compact"/>
              <w:jc w:val="left"/>
            </w:pPr>
            <w:r>
              <w:t xml:space="preserve">This week</w:t>
            </w:r>
          </w:p>
        </w:tc>
      </w:tr>
      <w:tr>
        <w:tc>
          <w:tcPr/>
          <w:p>
            <w:pPr>
              <w:pStyle w:val="Compact"/>
              <w:jc w:val="left"/>
            </w:pPr>
            <w:r>
              <w:t xml:space="preserve">2</w:t>
            </w:r>
          </w:p>
        </w:tc>
        <w:tc>
          <w:tcPr/>
          <w:p>
            <w:pPr>
              <w:pStyle w:val="Compact"/>
              <w:jc w:val="left"/>
            </w:pPr>
            <w:r>
              <w:rPr>
                <w:b/>
                <w:bCs/>
              </w:rPr>
              <w:t xml:space="preserve">Written</w:t>
            </w:r>
            <w:r>
              <w:rPr>
                <w:b/>
                <w:bCs/>
              </w:rPr>
              <w:t xml:space="preserve"> </w:t>
            </w:r>
            <w:r>
              <w:rPr>
                <w:b/>
                <w:bCs/>
              </w:rPr>
              <w:t xml:space="preserve">“</w:t>
            </w:r>
            <w:r>
              <w:rPr>
                <w:b/>
                <w:bCs/>
              </w:rPr>
              <w:t xml:space="preserve">no side promises</w:t>
            </w:r>
            <w:r>
              <w:rPr>
                <w:b/>
                <w:bCs/>
              </w:rPr>
              <w:t xml:space="preserve">”</w:t>
            </w:r>
            <w:r>
              <w:rPr>
                <w:b/>
                <w:bCs/>
              </w:rPr>
              <w:t xml:space="preserve"> </w:t>
            </w:r>
            <w:r>
              <w:rPr>
                <w:b/>
                <w:bCs/>
              </w:rPr>
              <w:t xml:space="preserve">notice to reps.</w:t>
            </w:r>
            <w:r>
              <w:t xml:space="preserve"> </w:t>
            </w:r>
            <w:r>
              <w:t xml:space="preserve">Document what has been said to Triton, Great Lakes, and Harmon Valley to date (rep call notes, emails, decks sent)</w:t>
            </w:r>
          </w:p>
        </w:tc>
        <w:tc>
          <w:tcPr/>
          <w:p>
            <w:pPr>
              <w:pStyle w:val="Compact"/>
              <w:jc w:val="left"/>
            </w:pPr>
            <w:r>
              <w:rPr>
                <w:b/>
                <w:bCs/>
              </w:rPr>
              <w:t xml:space="preserve">Necessary.</w:t>
            </w:r>
            <w:r>
              <w:t xml:space="preserve"> </w:t>
            </w:r>
            <w:r>
              <w:t xml:space="preserve">Need to know what warranties already exist</w:t>
            </w:r>
          </w:p>
        </w:tc>
        <w:tc>
          <w:tcPr/>
          <w:p>
            <w:pPr>
              <w:pStyle w:val="Compact"/>
              <w:jc w:val="left"/>
            </w:pPr>
            <w:r>
              <w:t xml:space="preserve">Legal/Sales</w:t>
            </w:r>
          </w:p>
        </w:tc>
        <w:tc>
          <w:tcPr/>
          <w:p>
            <w:pPr>
              <w:pStyle w:val="Compact"/>
              <w:jc w:val="left"/>
            </w:pPr>
            <w:r>
              <w:t xml:space="preserve">This week</w:t>
            </w:r>
          </w:p>
        </w:tc>
      </w:tr>
      <w:tr>
        <w:tc>
          <w:tcPr/>
          <w:p>
            <w:pPr>
              <w:pStyle w:val="Compact"/>
              <w:jc w:val="left"/>
            </w:pPr>
            <w:r>
              <w:t xml:space="preserve">3</w:t>
            </w:r>
          </w:p>
        </w:tc>
        <w:tc>
          <w:tcPr/>
          <w:p>
            <w:pPr>
              <w:pStyle w:val="Compact"/>
              <w:jc w:val="left"/>
            </w:pPr>
            <w:r>
              <w:rPr>
                <w:b/>
                <w:bCs/>
              </w:rPr>
              <w:t xml:space="preserve">Litigation hold check:</w:t>
            </w:r>
            <w:r>
              <w:t xml:space="preserve"> </w:t>
            </w:r>
            <w:r>
              <w:t xml:space="preserve">ensure Max 9000 marketing and sales materials are preserved given</w:t>
            </w:r>
            <w:r>
              <w:t xml:space="preserve"> </w:t>
            </w:r>
            <w:r>
              <w:rPr>
                <w:i/>
                <w:iCs/>
              </w:rPr>
              <w:t xml:space="preserve">Redmond</w:t>
            </w:r>
            <w:r>
              <w:t xml:space="preserve"> </w:t>
            </w:r>
            <w:r>
              <w:t xml:space="preserve">discovery</w:t>
            </w:r>
          </w:p>
        </w:tc>
        <w:tc>
          <w:tcPr/>
          <w:p>
            <w:pPr>
              <w:pStyle w:val="Compact"/>
              <w:jc w:val="left"/>
            </w:pPr>
            <w:r>
              <w:rPr>
                <w:b/>
                <w:bCs/>
              </w:rPr>
              <w:t xml:space="preserve">Necessary</w:t>
            </w:r>
          </w:p>
        </w:tc>
        <w:tc>
          <w:tcPr/>
          <w:p>
            <w:pPr>
              <w:pStyle w:val="Compact"/>
              <w:jc w:val="left"/>
            </w:pPr>
            <w:r>
              <w:t xml:space="preserve">Legal (coordinate with litigation counsel at your discretion)</w:t>
            </w:r>
          </w:p>
        </w:tc>
        <w:tc>
          <w:tcPr/>
          <w:p>
            <w:pPr>
              <w:pStyle w:val="Compact"/>
              <w:jc w:val="left"/>
            </w:pPr>
            <w:r>
              <w:t xml:space="preserve">This week</w:t>
            </w:r>
          </w:p>
        </w:tc>
      </w:tr>
      <w:tr>
        <w:tc>
          <w:tcPr/>
          <w:p>
            <w:pPr>
              <w:pStyle w:val="Compact"/>
              <w:jc w:val="left"/>
            </w:pPr>
            <w:r>
              <w:t xml:space="preserve">4</w:t>
            </w:r>
          </w:p>
        </w:tc>
        <w:tc>
          <w:tcPr/>
          <w:p>
            <w:pPr>
              <w:pStyle w:val="Compact"/>
              <w:jc w:val="left"/>
            </w:pPr>
            <w:r>
              <w:rPr>
                <w:b/>
                <w:bCs/>
              </w:rPr>
              <w:t xml:space="preserve">Remove unsubstantiated regulatory claims</w:t>
            </w:r>
            <w:r>
              <w:t xml:space="preserve"> </w:t>
            </w:r>
            <w:r>
              <w:t xml:space="preserve">(WFI;</w:t>
            </w:r>
            <w:r>
              <w:t xml:space="preserve"> </w:t>
            </w:r>
            <w:r>
              <w:t xml:space="preserve">“</w:t>
            </w:r>
            <w:r>
              <w:t xml:space="preserve">21 CFR Part 11 compliant</w:t>
            </w:r>
            <w:r>
              <w:t xml:space="preserve">”</w:t>
            </w:r>
            <w:r>
              <w:t xml:space="preserve">;</w:t>
            </w:r>
            <w:r>
              <w:t xml:space="preserve"> </w:t>
            </w:r>
            <w:r>
              <w:t xml:space="preserve">“</w:t>
            </w:r>
            <w:r>
              <w:t xml:space="preserve">validated for GMP</w:t>
            </w:r>
            <w:r>
              <w:t xml:space="preserve">”</w:t>
            </w:r>
            <w:r>
              <w:t xml:space="preserve">;</w:t>
            </w:r>
            <w:r>
              <w:t xml:space="preserve"> </w:t>
            </w:r>
            <w:r>
              <w:t xml:space="preserve">“</w:t>
            </w:r>
            <w:r>
              <w:t xml:space="preserve">ensures</w:t>
            </w:r>
            <w:r>
              <w:t xml:space="preserve">”</w:t>
            </w:r>
            <w:r>
              <w:t xml:space="preserve"> </w:t>
            </w:r>
            <w:r>
              <w:t xml:space="preserve">FDA/EPA compliance;</w:t>
            </w:r>
            <w:r>
              <w:t xml:space="preserve"> </w:t>
            </w:r>
            <w:r>
              <w:t xml:space="preserve">“</w:t>
            </w:r>
            <w:r>
              <w:t xml:space="preserve">eliminates</w:t>
            </w:r>
            <w:r>
              <w:t xml:space="preserve">”</w:t>
            </w:r>
            <w:r>
              <w:t xml:space="preserve"> </w:t>
            </w:r>
            <w:r>
              <w:t xml:space="preserve">recall risk;</w:t>
            </w:r>
            <w:r>
              <w:t xml:space="preserve"> </w:t>
            </w:r>
            <w:r>
              <w:t xml:space="preserve">“</w:t>
            </w:r>
            <w:r>
              <w:t xml:space="preserve">verified</w:t>
            </w:r>
            <w:r>
              <w:t xml:space="preserve">”</w:t>
            </w:r>
            <w:r>
              <w:t xml:space="preserve"> </w:t>
            </w:r>
            <w:r>
              <w:t xml:space="preserve">unless substantiated)</w:t>
            </w:r>
          </w:p>
        </w:tc>
        <w:tc>
          <w:tcPr/>
          <w:p>
            <w:pPr>
              <w:pStyle w:val="Compact"/>
              <w:jc w:val="left"/>
            </w:pPr>
            <w:r>
              <w:rPr>
                <w:b/>
                <w:bCs/>
              </w:rPr>
              <w:t xml:space="preserve">Necessary</w:t>
            </w:r>
            <w:r>
              <w:t xml:space="preserve"> </w:t>
            </w:r>
            <w:r>
              <w:t xml:space="preserve">(misrepresentation/UDAP)</w:t>
            </w:r>
          </w:p>
        </w:tc>
        <w:tc>
          <w:tcPr/>
          <w:p>
            <w:pPr>
              <w:pStyle w:val="Compact"/>
              <w:jc w:val="left"/>
            </w:pPr>
            <w:r>
              <w:t xml:space="preserve">Legal + Engineering</w:t>
            </w:r>
          </w:p>
        </w:tc>
        <w:tc>
          <w:tcPr/>
          <w:p>
            <w:pPr>
              <w:pStyle w:val="Compact"/>
              <w:jc w:val="left"/>
            </w:pPr>
            <w:r>
              <w:t xml:space="preserve">By Mar. 17</w:t>
            </w:r>
          </w:p>
        </w:tc>
      </w:tr>
      <w:tr>
        <w:tc>
          <w:tcPr/>
          <w:p>
            <w:pPr>
              <w:pStyle w:val="Compact"/>
              <w:jc w:val="left"/>
            </w:pPr>
            <w:r>
              <w:t xml:space="preserve">5</w:t>
            </w:r>
          </w:p>
        </w:tc>
        <w:tc>
          <w:tcPr/>
          <w:p>
            <w:pPr>
              <w:pStyle w:val="Compact"/>
              <w:jc w:val="left"/>
            </w:pPr>
            <w:r>
              <w:rPr>
                <w:b/>
                <w:bCs/>
              </w:rPr>
              <w:t xml:space="preserve">Substantiation file</w:t>
            </w:r>
            <w:r>
              <w:t xml:space="preserve"> </w:t>
            </w:r>
            <w:r>
              <w:t xml:space="preserve">for each quantified claim (beta data, test conditions, feed-water ranges)</w:t>
            </w:r>
          </w:p>
        </w:tc>
        <w:tc>
          <w:tcPr/>
          <w:p>
            <w:pPr>
              <w:pStyle w:val="Compact"/>
              <w:jc w:val="left"/>
            </w:pPr>
            <w:r>
              <w:rPr>
                <w:b/>
                <w:bCs/>
              </w:rPr>
              <w:t xml:space="preserve">Necessary</w:t>
            </w:r>
            <w:r>
              <w:t xml:space="preserve"> </w:t>
            </w:r>
            <w:r>
              <w:t xml:space="preserve">for any figure kept</w:t>
            </w:r>
          </w:p>
        </w:tc>
        <w:tc>
          <w:tcPr/>
          <w:p>
            <w:pPr>
              <w:pStyle w:val="Compact"/>
              <w:jc w:val="left"/>
            </w:pPr>
            <w:r>
              <w:t xml:space="preserve">Engineering</w:t>
            </w:r>
          </w:p>
        </w:tc>
        <w:tc>
          <w:tcPr/>
          <w:p>
            <w:pPr>
              <w:pStyle w:val="Compact"/>
              <w:jc w:val="left"/>
            </w:pPr>
            <w:r>
              <w:t xml:space="preserve">By Mar. 17</w:t>
            </w:r>
          </w:p>
        </w:tc>
      </w:tr>
      <w:tr>
        <w:tc>
          <w:tcPr/>
          <w:p>
            <w:pPr>
              <w:pStyle w:val="Compact"/>
              <w:jc w:val="left"/>
            </w:pPr>
            <w:r>
              <w:t xml:space="preserve">6</w:t>
            </w:r>
          </w:p>
        </w:tc>
        <w:tc>
          <w:tcPr/>
          <w:p>
            <w:pPr>
              <w:pStyle w:val="Compact"/>
              <w:jc w:val="left"/>
            </w:pPr>
            <w:r>
              <w:rPr>
                <w:b/>
                <w:bCs/>
              </w:rPr>
              <w:t xml:space="preserve">Warranty version control:</w:t>
            </w:r>
            <w:r>
              <w:t xml:space="preserve"> </w:t>
            </w:r>
            <w:r>
              <w:t xml:space="preserve">confirm the text and history of CIT-WRN-2021-001 (the BSK-described version vs. the current file copy), and which version shipped with Redmond’s unit</w:t>
            </w:r>
          </w:p>
        </w:tc>
        <w:tc>
          <w:tcPr/>
          <w:p>
            <w:pPr>
              <w:pStyle w:val="Compact"/>
              <w:jc w:val="left"/>
            </w:pPr>
            <w:r>
              <w:rPr>
                <w:b/>
                <w:bCs/>
              </w:rPr>
              <w:t xml:space="preserve">Necessary</w:t>
            </w:r>
            <w:r>
              <w:t xml:space="preserve"> </w:t>
            </w:r>
            <w:r>
              <w:t xml:space="preserve">(litigation)</w:t>
            </w:r>
          </w:p>
        </w:tc>
        <w:tc>
          <w:tcPr/>
          <w:p>
            <w:pPr>
              <w:pStyle w:val="Compact"/>
              <w:jc w:val="left"/>
            </w:pPr>
            <w:r>
              <w:t xml:space="preserve">Legal</w:t>
            </w:r>
          </w:p>
        </w:tc>
        <w:tc>
          <w:tcPr/>
          <w:p>
            <w:pPr>
              <w:pStyle w:val="Compact"/>
              <w:jc w:val="left"/>
            </w:pPr>
            <w:r>
              <w:t xml:space="preserve">By Mar. 10</w:t>
            </w:r>
          </w:p>
        </w:tc>
      </w:tr>
      <w:tr>
        <w:tc>
          <w:tcPr/>
          <w:p>
            <w:pPr>
              <w:pStyle w:val="Compact"/>
              <w:jc w:val="left"/>
            </w:pPr>
            <w:r>
              <w:t xml:space="preserve">7</w:t>
            </w:r>
          </w:p>
        </w:tc>
        <w:tc>
          <w:tcPr/>
          <w:p>
            <w:pPr>
              <w:pStyle w:val="Compact"/>
              <w:jc w:val="left"/>
            </w:pPr>
            <w:r>
              <w:rPr>
                <w:b/>
                <w:bCs/>
              </w:rPr>
              <w:t xml:space="preserve">Reconcile configuration descriptions</w:t>
            </w:r>
            <w:r>
              <w:t xml:space="preserve"> </w:t>
            </w:r>
            <w:r>
              <w:t xml:space="preserve">(Base vs. Enhanced; AquaMonitor inclusion; municipal population range) across all materials</w:t>
            </w:r>
          </w:p>
        </w:tc>
        <w:tc>
          <w:tcPr/>
          <w:p>
            <w:pPr>
              <w:pStyle w:val="Compact"/>
              <w:jc w:val="left"/>
            </w:pPr>
            <w:r>
              <w:rPr>
                <w:b/>
                <w:bCs/>
              </w:rPr>
              <w:t xml:space="preserve">Necessary</w:t>
            </w:r>
            <w:r>
              <w:t xml:space="preserve"> </w:t>
            </w:r>
            <w:r>
              <w:t xml:space="preserve">(descriptions are warranties)</w:t>
            </w:r>
          </w:p>
        </w:tc>
        <w:tc>
          <w:tcPr/>
          <w:p>
            <w:pPr>
              <w:pStyle w:val="Compact"/>
              <w:jc w:val="left"/>
            </w:pPr>
            <w:r>
              <w:t xml:space="preserve">Product Dev.</w:t>
            </w:r>
          </w:p>
        </w:tc>
        <w:tc>
          <w:tcPr/>
          <w:p>
            <w:pPr>
              <w:pStyle w:val="Compact"/>
              <w:jc w:val="left"/>
            </w:pPr>
            <w:r>
              <w:t xml:space="preserve">By Mar. 17</w:t>
            </w:r>
          </w:p>
        </w:tc>
      </w:tr>
      <w:tr>
        <w:tc>
          <w:tcPr/>
          <w:p>
            <w:pPr>
              <w:pStyle w:val="Compact"/>
              <w:jc w:val="left"/>
            </w:pPr>
            <w:r>
              <w:t xml:space="preserve">8</w:t>
            </w:r>
          </w:p>
        </w:tc>
        <w:tc>
          <w:tcPr/>
          <w:p>
            <w:pPr>
              <w:pStyle w:val="Compact"/>
              <w:jc w:val="left"/>
            </w:pPr>
            <w:r>
              <w:rPr>
                <w:b/>
                <w:bCs/>
              </w:rPr>
              <w:t xml:space="preserve">Revise the Quotation Template:</w:t>
            </w:r>
            <w:r>
              <w:t xml:space="preserve"> </w:t>
            </w:r>
            <w:r>
              <w:t xml:space="preserve">attach the SLW, Performance Warranty, and software terms as exhibits; replace</w:t>
            </w:r>
            <w:r>
              <w:t xml:space="preserve"> </w:t>
            </w:r>
            <w:r>
              <w:t xml:space="preserve">“</w:t>
            </w:r>
            <w:r>
              <w:t xml:space="preserve">included with product delivery</w:t>
            </w:r>
            <w:r>
              <w:t xml:space="preserve">”</w:t>
            </w:r>
            <w:r>
              <w:t xml:space="preserve">; state that performance figures are governed exclusively by the attached Performance Warranty; fix governing law; delete unqualified</w:t>
            </w:r>
            <w:r>
              <w:t xml:space="preserve"> </w:t>
            </w:r>
            <w:r>
              <w:t xml:space="preserve">“</w:t>
            </w:r>
            <w:r>
              <w:t xml:space="preserve">meets or exceeds</w:t>
            </w:r>
            <w:r>
              <w:t xml:space="preserve">”</w:t>
            </w:r>
            <w:r>
              <w:t xml:space="preserve"> </w:t>
            </w:r>
            <w:r>
              <w:t xml:space="preserve">sentences</w:t>
            </w:r>
          </w:p>
        </w:tc>
        <w:tc>
          <w:tcPr/>
          <w:p>
            <w:pPr>
              <w:pStyle w:val="Compact"/>
              <w:jc w:val="left"/>
            </w:pPr>
            <w:r>
              <w:rPr>
                <w:b/>
                <w:bCs/>
              </w:rPr>
              <w:t xml:space="preserve">Necessary</w:t>
            </w:r>
          </w:p>
        </w:tc>
        <w:tc>
          <w:tcPr/>
          <w:p>
            <w:pPr>
              <w:pStyle w:val="Compact"/>
              <w:jc w:val="left"/>
            </w:pPr>
            <w:r>
              <w:t xml:space="preserve">Legal</w:t>
            </w:r>
          </w:p>
        </w:tc>
        <w:tc>
          <w:tcPr/>
          <w:p>
            <w:pPr>
              <w:pStyle w:val="Compact"/>
              <w:jc w:val="left"/>
            </w:pPr>
            <w:r>
              <w:t xml:space="preserve">By Mar. 17</w:t>
            </w:r>
          </w:p>
        </w:tc>
      </w:tr>
      <w:tr>
        <w:tc>
          <w:tcPr/>
          <w:p>
            <w:pPr>
              <w:pStyle w:val="Compact"/>
              <w:jc w:val="left"/>
            </w:pPr>
            <w:r>
              <w:t xml:space="preserve">9</w:t>
            </w:r>
          </w:p>
        </w:tc>
        <w:tc>
          <w:tcPr/>
          <w:p>
            <w:pPr>
              <w:pStyle w:val="Compact"/>
              <w:jc w:val="left"/>
            </w:pPr>
            <w:r>
              <w:rPr>
                <w:b/>
                <w:bCs/>
              </w:rPr>
              <w:t xml:space="preserve">CEO/Board briefing</w:t>
            </w:r>
            <w:r>
              <w:t xml:space="preserve"> </w:t>
            </w:r>
            <w:r>
              <w:t xml:space="preserve">on insurance gap,</w:t>
            </w:r>
            <w:r>
              <w:t xml:space="preserve"> </w:t>
            </w:r>
            <w:r>
              <w:rPr>
                <w:i/>
                <w:iCs/>
              </w:rPr>
              <w:t xml:space="preserve">Redmond</w:t>
            </w:r>
            <w:r>
              <w:t xml:space="preserve"> </w:t>
            </w:r>
            <w:r>
              <w:t xml:space="preserve">linkage, and the restructured program</w:t>
            </w:r>
          </w:p>
        </w:tc>
        <w:tc>
          <w:tcPr/>
          <w:p>
            <w:pPr>
              <w:pStyle w:val="Compact"/>
              <w:jc w:val="left"/>
            </w:pPr>
            <w:r>
              <w:t xml:space="preserve">Strongly recommended (governance)</w:t>
            </w:r>
          </w:p>
        </w:tc>
        <w:tc>
          <w:tcPr/>
          <w:p>
            <w:pPr>
              <w:pStyle w:val="Compact"/>
              <w:jc w:val="left"/>
            </w:pPr>
            <w:r>
              <w:t xml:space="preserve">GC/CEO</w:t>
            </w:r>
          </w:p>
        </w:tc>
        <w:tc>
          <w:tcPr/>
          <w:p>
            <w:pPr>
              <w:pStyle w:val="Compact"/>
              <w:jc w:val="left"/>
            </w:pPr>
            <w:r>
              <w:t xml:space="preserve">Before Apr. 1</w:t>
            </w:r>
          </w:p>
        </w:tc>
      </w:tr>
    </w:tbl>
    <w:bookmarkEnd w:id="51"/>
    <w:bookmarkStart w:id="52" w:name="Xb500a816b8f8ba3d97953db15be0ce5e27596ba"/>
    <w:p>
      <w:pPr>
        <w:pStyle w:val="Heading3"/>
      </w:pPr>
      <w:r>
        <w:t xml:space="preserve">C. Documents to build before pre-orders open (April 1)</w:t>
      </w:r>
    </w:p>
    <w:p>
      <w:pPr>
        <w:pStyle w:val="Compact"/>
        <w:numPr>
          <w:ilvl w:val="0"/>
          <w:numId w:val="1068"/>
        </w:numPr>
      </w:pPr>
      <w:r>
        <w:rPr>
          <w:b/>
          <w:bCs/>
        </w:rPr>
        <w:t xml:space="preserve">Max 9000 Master Purchase Agreement</w:t>
      </w:r>
      <w:r>
        <w:t xml:space="preserve"> </w:t>
      </w:r>
      <w:r>
        <w:t xml:space="preserve">(or Terms of Sale) incorporating the SLW (revised), the Performance Warranty, and the AquaMonitor terms. It is signed by the buyer</w:t>
      </w:r>
      <w:r>
        <w:t xml:space="preserve"> </w:t>
      </w:r>
      <w:r>
        <w:rPr>
          <w:i/>
          <w:iCs/>
        </w:rPr>
        <w:t xml:space="preserve">before</w:t>
      </w:r>
      <w:r>
        <w:t xml:space="preserve"> </w:t>
      </w:r>
      <w:r>
        <w:t xml:space="preserve">the deposit, with a separately initialed disclaimer and limitation block.</w:t>
      </w:r>
      <w:r>
        <w:t xml:space="preserve"> </w:t>
      </w:r>
      <w:r>
        <w:rPr>
          <w:b/>
          <w:bCs/>
        </w:rPr>
        <w:t xml:space="preserve">Necessary.</w:t>
      </w:r>
      <w:r>
        <w:t xml:space="preserve"> </w:t>
      </w:r>
      <w:r>
        <w:t xml:space="preserve">This single step fixes the assent defect, and in Texas it supplies</w:t>
      </w:r>
      <w:r>
        <w:t xml:space="preserve"> </w:t>
      </w:r>
      <w:r>
        <w:t xml:space="preserve">“</w:t>
      </w:r>
      <w:r>
        <w:t xml:space="preserve">actual knowledge</w:t>
      </w:r>
      <w:r>
        <w:t xml:space="preserve">”</w:t>
      </w:r>
      <w:r>
        <w:t xml:space="preserve"> </w:t>
      </w:r>
      <w:r>
        <w:t xml:space="preserve">under</w:t>
      </w:r>
      <w:r>
        <w:t xml:space="preserve"> </w:t>
      </w:r>
      <w:r>
        <w:rPr>
          <w:i/>
          <w:iCs/>
        </w:rPr>
        <w:t xml:space="preserve">Cate</w:t>
      </w:r>
      <w:r>
        <w:t xml:space="preserve">.</w:t>
      </w:r>
    </w:p>
    <w:p>
      <w:pPr>
        <w:pStyle w:val="Compact"/>
        <w:numPr>
          <w:ilvl w:val="0"/>
          <w:numId w:val="1068"/>
        </w:numPr>
      </w:pPr>
      <w:r>
        <w:rPr>
          <w:b/>
          <w:bCs/>
        </w:rPr>
        <w:t xml:space="preserve">Revised SLW (Max 9000 edition):</w:t>
      </w:r>
    </w:p>
    <w:p>
      <w:pPr>
        <w:pStyle w:val="Compact"/>
        <w:numPr>
          <w:ilvl w:val="1"/>
          <w:numId w:val="1069"/>
        </w:numPr>
      </w:pPr>
      <w:r>
        <w:t xml:space="preserve">enhanced conspicuousness (bold, larger type, boxed, stand-alone heading, initials) for §§ 4–6;</w:t>
      </w:r>
    </w:p>
    <w:p>
      <w:pPr>
        <w:pStyle w:val="Compact"/>
        <w:numPr>
          <w:ilvl w:val="1"/>
          <w:numId w:val="1069"/>
        </w:numPr>
      </w:pPr>
      <w:r>
        <w:t xml:space="preserve">“</w:t>
      </w:r>
      <w:r>
        <w:t xml:space="preserve">Product</w:t>
      </w:r>
      <w:r>
        <w:t xml:space="preserve">”</w:t>
      </w:r>
      <w:r>
        <w:t xml:space="preserve"> </w:t>
      </w:r>
      <w:r>
        <w:t xml:space="preserve">redefined to include embedded software and firmware;</w:t>
      </w:r>
    </w:p>
    <w:p>
      <w:pPr>
        <w:pStyle w:val="Compact"/>
        <w:numPr>
          <w:ilvl w:val="1"/>
          <w:numId w:val="1069"/>
        </w:numPr>
      </w:pPr>
      <w:r>
        <w:t xml:space="preserve">§ 3.1 cross-referenced to the Performance Warranty, so there is no conflict between</w:t>
      </w:r>
      <w:r>
        <w:t xml:space="preserve"> </w:t>
      </w:r>
      <w:r>
        <w:t xml:space="preserve">“</w:t>
      </w:r>
      <w:r>
        <w:t xml:space="preserve">materials and workmanship only</w:t>
      </w:r>
      <w:r>
        <w:t xml:space="preserve">”</w:t>
      </w:r>
      <w:r>
        <w:t xml:space="preserve"> </w:t>
      </w:r>
      <w:r>
        <w:t xml:space="preserve">and the guarantee;</w:t>
      </w:r>
    </w:p>
    <w:p>
      <w:pPr>
        <w:pStyle w:val="Compact"/>
        <w:numPr>
          <w:ilvl w:val="1"/>
          <w:numId w:val="1069"/>
        </w:numPr>
      </w:pPr>
      <w:r>
        <w:t xml:space="preserve">notice period restated as</w:t>
      </w:r>
      <w:r>
        <w:t xml:space="preserve"> </w:t>
      </w:r>
      <w:r>
        <w:t xml:space="preserve">“</w:t>
      </w:r>
      <w:r>
        <w:t xml:space="preserve">within 30 days after Buyer knew or should have known</w:t>
      </w:r>
      <w:r>
        <w:t xml:space="preserve">”</w:t>
      </w:r>
      <w:r>
        <w:t xml:space="preserve">;</w:t>
      </w:r>
    </w:p>
    <w:p>
      <w:pPr>
        <w:pStyle w:val="Compact"/>
        <w:numPr>
          <w:ilvl w:val="1"/>
          <w:numId w:val="1069"/>
        </w:numPr>
      </w:pPr>
      <w:r>
        <w:t xml:space="preserve">an express consequential-damages exclusion independent of remedy failure, retained;</w:t>
      </w:r>
    </w:p>
    <w:p>
      <w:pPr>
        <w:pStyle w:val="Compact"/>
        <w:numPr>
          <w:ilvl w:val="1"/>
          <w:numId w:val="1069"/>
        </w:numPr>
      </w:pPr>
      <w:r>
        <w:t xml:space="preserve">an MMWA savings clause (per BSK, low cost);</w:t>
      </w:r>
    </w:p>
    <w:p>
      <w:pPr>
        <w:pStyle w:val="Compact"/>
        <w:numPr>
          <w:ilvl w:val="1"/>
          <w:numId w:val="1069"/>
        </w:numPr>
      </w:pPr>
      <w:r>
        <w:t xml:space="preserve">goods classification (</w:t>
      </w:r>
      <w:r>
        <w:t xml:space="preserve">“</w:t>
      </w:r>
      <w:r>
        <w:t xml:space="preserve">purchased for commercial, industrial, municipal, or agricultural use and not for personal, family, or household purposes</w:t>
      </w:r>
      <w:r>
        <w:t xml:space="preserve">”</w:t>
      </w:r>
      <w:r>
        <w:t xml:space="preserve">);</w:t>
      </w:r>
    </w:p>
    <w:p>
      <w:pPr>
        <w:pStyle w:val="Compact"/>
        <w:numPr>
          <w:ilvl w:val="1"/>
          <w:numId w:val="1069"/>
        </w:numPr>
      </w:pPr>
      <w:r>
        <w:t xml:space="preserve">a new revision number and date.</w:t>
      </w:r>
    </w:p>
    <w:p>
      <w:pPr>
        <w:pStyle w:val="Compact"/>
        <w:numPr>
          <w:ilvl w:val="0"/>
          <w:numId w:val="1068"/>
        </w:numPr>
      </w:pPr>
      <w:r>
        <w:rPr>
          <w:b/>
          <w:bCs/>
        </w:rPr>
        <w:t xml:space="preserve">AquaMonitor License &amp; Subscription Agreement</w:t>
      </w:r>
      <w:r>
        <w:t xml:space="preserve"> </w:t>
      </w:r>
      <w:r>
        <w:t xml:space="preserve">(Part VII.C).</w:t>
      </w:r>
      <w:r>
        <w:t xml:space="preserve"> </w:t>
      </w:r>
      <w:r>
        <w:rPr>
          <w:b/>
          <w:bCs/>
        </w:rPr>
        <w:t xml:space="preserve">Necessary</w:t>
      </w:r>
      <w:r>
        <w:t xml:space="preserve"> </w:t>
      </w:r>
      <w:r>
        <w:t xml:space="preserve">for Enhanced sales.</w:t>
      </w:r>
    </w:p>
    <w:p>
      <w:pPr>
        <w:pStyle w:val="Compact"/>
        <w:numPr>
          <w:ilvl w:val="0"/>
          <w:numId w:val="1068"/>
        </w:numPr>
      </w:pPr>
      <w:r>
        <w:rPr>
          <w:b/>
          <w:bCs/>
        </w:rPr>
        <w:t xml:space="preserve">Revised brochure and deck:</w:t>
      </w:r>
      <w:r>
        <w:t xml:space="preserve"> </w:t>
      </w:r>
      <w:r>
        <w:t xml:space="preserve">keep the figures (if substantiated), keep</w:t>
      </w:r>
      <w:r>
        <w:t xml:space="preserve"> </w:t>
      </w:r>
      <w:r>
        <w:t xml:space="preserve">“</w:t>
      </w:r>
      <w:r>
        <w:t xml:space="preserve">Total Performance Guarantee</w:t>
      </w:r>
      <w:r>
        <w:t xml:space="preserve">”</w:t>
      </w:r>
      <w:r>
        <w:t xml:space="preserve"> </w:t>
      </w:r>
      <w:r>
        <w:t xml:space="preserve">branding, and add a clear, prominent line on the same page:</w:t>
      </w:r>
      <w:r>
        <w:t xml:space="preserve"> </w:t>
      </w:r>
      <w:r>
        <w:rPr>
          <w:i/>
          <w:iCs/>
        </w:rPr>
        <w:t xml:space="preserve">“</w:t>
      </w:r>
      <w:r>
        <w:rPr>
          <w:i/>
          <w:iCs/>
        </w:rPr>
        <w:t xml:space="preserve">The Total Performance Guarantee is provided solely under CIT’s written Performance Warranty, which defines the performance levels, conditions, testing, and exclusive remedies. Ask your representative for a copy.</w:t>
      </w:r>
      <w:r>
        <w:rPr>
          <w:i/>
          <w:iCs/>
        </w:rPr>
        <w:t xml:space="preserve">”</w:t>
      </w:r>
      <w:r>
        <w:t xml:space="preserve"> </w:t>
      </w:r>
      <w:r>
        <w:t xml:space="preserve">Remove</w:t>
      </w:r>
      <w:r>
        <w:t xml:space="preserve"> </w:t>
      </w:r>
      <w:r>
        <w:t xml:space="preserve">“</w:t>
      </w:r>
      <w:r>
        <w:t xml:space="preserve">make customers whole</w:t>
      </w:r>
      <w:r>
        <w:t xml:space="preserve">”</w:t>
      </w:r>
      <w:r>
        <w:t xml:space="preserve"> </w:t>
      </w:r>
      <w:r>
        <w:t xml:space="preserve">and</w:t>
      </w:r>
      <w:r>
        <w:t xml:space="preserve"> </w:t>
      </w:r>
      <w:r>
        <w:t xml:space="preserve">“</w:t>
      </w:r>
      <w:r>
        <w:t xml:space="preserve">Period.</w:t>
      </w:r>
      <w:r>
        <w:t xml:space="preserve">”</w:t>
      </w:r>
      <w:r>
        <w:t xml:space="preserve"> </w:t>
      </w:r>
      <w:r>
        <w:rPr>
          <w:b/>
          <w:bCs/>
        </w:rPr>
        <w:t xml:space="preserve">Necessary.</w:t>
      </w:r>
    </w:p>
    <w:p>
      <w:pPr>
        <w:pStyle w:val="Compact"/>
        <w:numPr>
          <w:ilvl w:val="0"/>
          <w:numId w:val="1068"/>
        </w:numPr>
      </w:pPr>
      <w:r>
        <w:rPr>
          <w:b/>
          <w:bCs/>
        </w:rPr>
        <w:t xml:space="preserve">Deal-specific playbooks:</w:t>
      </w:r>
    </w:p>
    <w:p>
      <w:pPr>
        <w:pStyle w:val="Compact"/>
        <w:numPr>
          <w:ilvl w:val="1"/>
          <w:numId w:val="1070"/>
        </w:numPr>
      </w:pPr>
      <w:r>
        <w:rPr>
          <w:b/>
          <w:bCs/>
        </w:rPr>
        <w:t xml:space="preserve">Triton:</w:t>
      </w:r>
      <w:r>
        <w:t xml:space="preserve"> </w:t>
      </w:r>
      <w:r>
        <w:t xml:space="preserve">obtain procurement documents; prepare a proposed Performance Warranty</w:t>
      </w:r>
      <w:r>
        <w:t xml:space="preserve"> </w:t>
      </w:r>
      <w:r>
        <w:rPr>
          <w:i/>
          <w:iCs/>
        </w:rPr>
        <w:t xml:space="preserve">as specification language</w:t>
      </w:r>
      <w:r>
        <w:t xml:space="preserve">; confirm § 17.49(g) DTPA structure; identify Texas public-contract compliance filings; engage Texas counsel for immunity and procurement questions.</w:t>
      </w:r>
    </w:p>
    <w:p>
      <w:pPr>
        <w:pStyle w:val="Compact"/>
        <w:numPr>
          <w:ilvl w:val="1"/>
          <w:numId w:val="1070"/>
        </w:numPr>
      </w:pPr>
      <w:r>
        <w:rPr>
          <w:b/>
          <w:bCs/>
        </w:rPr>
        <w:t xml:space="preserve">Great Lakes:</w:t>
      </w:r>
      <w:r>
        <w:t xml:space="preserve"> </w:t>
      </w:r>
      <w:r>
        <w:t xml:space="preserve">review the LOI; add FDA allocation language (AquaMonitor supports but does not replace the customer’s verification); discuss a negotiated sub-limit for inventory loss if needed to close.</w:t>
      </w:r>
    </w:p>
    <w:p>
      <w:pPr>
        <w:pStyle w:val="Compact"/>
        <w:numPr>
          <w:ilvl w:val="1"/>
          <w:numId w:val="1070"/>
        </w:numPr>
      </w:pPr>
      <w:r>
        <w:rPr>
          <w:b/>
          <w:bCs/>
        </w:rPr>
        <w:t xml:space="preserve">Harmon Valley:</w:t>
      </w:r>
      <w:r>
        <w:t xml:space="preserve"> </w:t>
      </w:r>
      <w:r>
        <w:t xml:space="preserve">contract with the co-op as principal; no third-party beneficiaries; member flow-down and acknowledgment; site-specific feed-water analysis for each member location.</w:t>
      </w:r>
    </w:p>
    <w:p>
      <w:pPr>
        <w:pStyle w:val="Compact"/>
        <w:numPr>
          <w:ilvl w:val="1"/>
          <w:numId w:val="1070"/>
        </w:numPr>
      </w:pPr>
      <w:r>
        <w:rPr>
          <w:b/>
          <w:bCs/>
        </w:rPr>
        <w:t xml:space="preserve">NY municipal / MA pharma:</w:t>
      </w:r>
      <w:r>
        <w:t xml:space="preserve"> </w:t>
      </w:r>
      <w:r>
        <w:t xml:space="preserve">pre-review standard municipal contract terms and insurance requirements; pharma-specific validation-support language; 93A-conscious marketing review.</w:t>
      </w:r>
    </w:p>
    <w:bookmarkEnd w:id="52"/>
    <w:bookmarkStart w:id="53" w:name="X606efcae9072d926f37201ea6fcae4bacf9917e"/>
    <w:p>
      <w:pPr>
        <w:pStyle w:val="Heading3"/>
      </w:pPr>
      <w:r>
        <w:t xml:space="preserve">D. Operational measures (best practice, but they directly determine whether the remedy holds)</w:t>
      </w:r>
    </w:p>
    <w:p>
      <w:pPr>
        <w:pStyle w:val="Compact"/>
        <w:numPr>
          <w:ilvl w:val="0"/>
          <w:numId w:val="1071"/>
        </w:numPr>
      </w:pPr>
      <w:r>
        <w:rPr>
          <w:b/>
          <w:bCs/>
        </w:rPr>
        <w:t xml:space="preserve">Spares and service capacity plan</w:t>
      </w:r>
      <w:r>
        <w:t xml:space="preserve"> </w:t>
      </w:r>
      <w:r>
        <w:t xml:space="preserve">for the Max 9000 (a loaner or spare-module pool; guaranteed response times you can actually meet). Resolution times of 47–85 days will defeat any remedy clause.</w:t>
      </w:r>
    </w:p>
    <w:p>
      <w:pPr>
        <w:pStyle w:val="Compact"/>
        <w:numPr>
          <w:ilvl w:val="0"/>
          <w:numId w:val="1071"/>
        </w:numPr>
      </w:pPr>
      <w:r>
        <w:rPr>
          <w:b/>
          <w:bCs/>
        </w:rPr>
        <w:t xml:space="preserve">Close out the pressure-vessel investigation</w:t>
      </w:r>
      <w:r>
        <w:t xml:space="preserve"> </w:t>
      </w:r>
      <w:r>
        <w:t xml:space="preserve">and confirm whether the Max 9000 shares affected components or processes.</w:t>
      </w:r>
    </w:p>
    <w:p>
      <w:pPr>
        <w:pStyle w:val="Compact"/>
        <w:numPr>
          <w:ilvl w:val="0"/>
          <w:numId w:val="1071"/>
        </w:numPr>
      </w:pPr>
      <w:r>
        <w:rPr>
          <w:b/>
          <w:bCs/>
        </w:rPr>
        <w:t xml:space="preserve">Warranty reserve and claims-handling protocol</w:t>
      </w:r>
      <w:r>
        <w:t xml:space="preserve"> </w:t>
      </w:r>
      <w:r>
        <w:t xml:space="preserve">for performance claims, including early legal involvement where consequential damages are threatened. The two FY2024 settlements show that the first 60 days determine the outcome.</w:t>
      </w:r>
    </w:p>
    <w:bookmarkEnd w:id="53"/>
    <w:bookmarkStart w:id="54" w:name="Xd5d66e7ae884f64e6e99cf69bbcdbcfaada6590"/>
    <w:p>
      <w:pPr>
        <w:pStyle w:val="Heading3"/>
      </w:pPr>
      <w:r>
        <w:t xml:space="preserve">E. What CIT can responsibly tell customers</w:t>
      </w:r>
    </w:p>
    <w:p>
      <w:pPr>
        <w:pStyle w:val="FirstParagraph"/>
      </w:pPr>
      <w:r>
        <w:t xml:space="preserve">For Sales, here is the difference in plain terms:</w:t>
      </w:r>
    </w:p>
    <w:p>
      <w:pPr>
        <w:pStyle w:val="Compact"/>
        <w:numPr>
          <w:ilvl w:val="0"/>
          <w:numId w:val="1072"/>
        </w:numPr>
      </w:pPr>
      <w:r>
        <w:rPr>
          <w:b/>
          <w:bCs/>
        </w:rPr>
        <w:t xml:space="preserve">Acceptable (with the Performance Warranty in place):</w:t>
      </w:r>
      <w:r>
        <w:t xml:space="preserve"> </w:t>
      </w:r>
      <w:r>
        <w:rPr>
          <w:i/>
          <w:iCs/>
        </w:rPr>
        <w:t xml:space="preserve">“</w:t>
      </w:r>
      <w:r>
        <w:rPr>
          <w:i/>
          <w:iCs/>
        </w:rPr>
        <w:t xml:space="preserve">The Max 9000 is rated at 99.97% removal of the listed contaminants and 98.5% annual uptime. We back that with our Total Performance Guarantee, a written Performance Warranty with defined testing and remedies, including performance credits if we don’t restore performance within the cure period. Here is a copy.</w:t>
      </w:r>
      <w:r>
        <w:rPr>
          <w:i/>
          <w:iCs/>
        </w:rPr>
        <w:t xml:space="preserve">”</w:t>
      </w:r>
    </w:p>
    <w:p>
      <w:pPr>
        <w:pStyle w:val="Compact"/>
        <w:numPr>
          <w:ilvl w:val="0"/>
          <w:numId w:val="1072"/>
        </w:numPr>
      </w:pPr>
      <w:r>
        <w:rPr>
          <w:b/>
          <w:bCs/>
        </w:rPr>
        <w:t xml:space="preserve">Not acceptable:</w:t>
      </w:r>
      <w:r>
        <w:t xml:space="preserve"> </w:t>
      </w:r>
      <w:r>
        <w:rPr>
          <w:i/>
          <w:iCs/>
        </w:rPr>
        <w:t xml:space="preserve">“</w:t>
      </w:r>
      <w:r>
        <w:rPr>
          <w:i/>
          <w:iCs/>
        </w:rPr>
        <w:t xml:space="preserve">We guarantee your water will meet every EPA and state standard.</w:t>
      </w:r>
      <w:r>
        <w:rPr>
          <w:i/>
          <w:iCs/>
        </w:rPr>
        <w:t xml:space="preserve">”</w:t>
      </w:r>
      <w:r>
        <w:t xml:space="preserve"> </w:t>
      </w:r>
      <w:r>
        <w:t xml:space="preserve">/</w:t>
      </w:r>
      <w:r>
        <w:t xml:space="preserve"> </w:t>
      </w:r>
      <w:r>
        <w:rPr>
          <w:i/>
          <w:iCs/>
        </w:rPr>
        <w:t xml:space="preserve">“</w:t>
      </w:r>
      <w:r>
        <w:rPr>
          <w:i/>
          <w:iCs/>
        </w:rPr>
        <w:t xml:space="preserve">If it doesn’t deliver, we make you whole.</w:t>
      </w:r>
      <w:r>
        <w:rPr>
          <w:i/>
          <w:iCs/>
        </w:rPr>
        <w:t xml:space="preserve">”</w:t>
      </w:r>
      <w:r>
        <w:t xml:space="preserve"> </w:t>
      </w:r>
      <w:r>
        <w:t xml:space="preserve">/</w:t>
      </w:r>
      <w:r>
        <w:t xml:space="preserve"> </w:t>
      </w:r>
      <w:r>
        <w:rPr>
          <w:i/>
          <w:iCs/>
        </w:rPr>
        <w:t xml:space="preserve">“</w:t>
      </w:r>
      <w:r>
        <w:rPr>
          <w:i/>
          <w:iCs/>
        </w:rPr>
        <w:t xml:space="preserve">Don’t worry about the warranty; you’ll get it at delivery.</w:t>
      </w:r>
      <w:r>
        <w:rPr>
          <w:i/>
          <w:iCs/>
        </w:rPr>
        <w:t xml:space="preserve">”</w:t>
      </w:r>
      <w:r>
        <w:t xml:space="preserve"> </w:t>
      </w:r>
      <w:r>
        <w:t xml:space="preserve">/</w:t>
      </w:r>
      <w:r>
        <w:t xml:space="preserve"> </w:t>
      </w:r>
      <w:r>
        <w:rPr>
          <w:i/>
          <w:iCs/>
        </w:rPr>
        <w:t xml:space="preserve">“</w:t>
      </w:r>
      <w:r>
        <w:rPr>
          <w:i/>
          <w:iCs/>
        </w:rPr>
        <w:t xml:space="preserve">AquaMonitor means you don’t need to worry about compliance.</w:t>
      </w:r>
      <w:r>
        <w:rPr>
          <w:i/>
          <w:iCs/>
        </w:rPr>
        <w:t xml:space="preserve">”</w:t>
      </w:r>
    </w:p>
    <w:bookmarkEnd w:id="54"/>
    <w:bookmarkStart w:id="55" w:name="f.-outside-counsel"/>
    <w:p>
      <w:pPr>
        <w:pStyle w:val="Heading3"/>
      </w:pPr>
      <w:r>
        <w:t xml:space="preserve">F. Outside counsel</w:t>
      </w:r>
    </w:p>
    <w:p>
      <w:pPr>
        <w:pStyle w:val="FirstParagraph"/>
      </w:pPr>
      <w:r>
        <w:t xml:space="preserve">If you decide to re-engage outside counsel, I would propose a scope informed by this memo, not a repeat of 2021:</w:t>
      </w:r>
    </w:p>
    <w:p>
      <w:pPr>
        <w:pStyle w:val="Compact"/>
        <w:numPr>
          <w:ilvl w:val="0"/>
          <w:numId w:val="1073"/>
        </w:numPr>
      </w:pPr>
    </w:p>
    <w:p>
      <w:pPr>
        <w:pStyle w:val="Compact"/>
        <w:numPr>
          <w:ilvl w:val="1"/>
          <w:numId w:val="1074"/>
        </w:numPr>
      </w:pPr>
      <w:r>
        <w:t xml:space="preserve">50-state (or priority-state) survey of the independent-versus-dependent consequential-damages rule and liquidated-damages enforceability;</w:t>
      </w:r>
    </w:p>
    <w:p>
      <w:pPr>
        <w:pStyle w:val="Compact"/>
        <w:numPr>
          <w:ilvl w:val="0"/>
          <w:numId w:val="1073"/>
        </w:numPr>
      </w:pPr>
    </w:p>
    <w:p>
      <w:pPr>
        <w:pStyle w:val="Compact"/>
        <w:numPr>
          <w:ilvl w:val="1"/>
          <w:numId w:val="1075"/>
        </w:numPr>
      </w:pPr>
      <w:r>
        <w:t xml:space="preserve">Texas procurement and immunity counsel for Triton;</w:t>
      </w:r>
    </w:p>
    <w:p>
      <w:pPr>
        <w:pStyle w:val="Compact"/>
        <w:numPr>
          <w:ilvl w:val="0"/>
          <w:numId w:val="1073"/>
        </w:numPr>
      </w:pPr>
    </w:p>
    <w:p>
      <w:pPr>
        <w:pStyle w:val="Compact"/>
        <w:numPr>
          <w:ilvl w:val="1"/>
          <w:numId w:val="1076"/>
        </w:numPr>
      </w:pPr>
      <w:r>
        <w:t xml:space="preserve">coverage counsel review of the Northern Cascade policy;</w:t>
      </w:r>
    </w:p>
    <w:p>
      <w:pPr>
        <w:pStyle w:val="Compact"/>
        <w:numPr>
          <w:ilvl w:val="0"/>
          <w:numId w:val="1073"/>
        </w:numPr>
      </w:pPr>
    </w:p>
    <w:p>
      <w:pPr>
        <w:pStyle w:val="Compact"/>
        <w:numPr>
          <w:ilvl w:val="1"/>
          <w:numId w:val="1077"/>
        </w:numPr>
      </w:pPr>
      <w:r>
        <w:t xml:space="preserve">review of the Performance Warranty and AquaMonitor license drafts; and</w:t>
      </w:r>
    </w:p>
    <w:p>
      <w:pPr>
        <w:pStyle w:val="Compact"/>
        <w:numPr>
          <w:ilvl w:val="0"/>
          <w:numId w:val="1073"/>
        </w:numPr>
      </w:pPr>
    </w:p>
    <w:p>
      <w:pPr>
        <w:pStyle w:val="Compact"/>
        <w:numPr>
          <w:ilvl w:val="1"/>
          <w:numId w:val="1078"/>
        </w:numPr>
      </w:pPr>
      <w:r>
        <w:t xml:space="preserve">coordination with the</w:t>
      </w:r>
      <w:r>
        <w:t xml:space="preserve"> </w:t>
      </w:r>
      <w:r>
        <w:rPr>
          <w:i/>
          <w:iCs/>
        </w:rPr>
        <w:t xml:space="preserve">Redmond</w:t>
      </w:r>
      <w:r>
        <w:t xml:space="preserve"> </w:t>
      </w:r>
      <w:r>
        <w:t xml:space="preserve">defense on position consistency.</w:t>
      </w:r>
    </w:p>
    <w:p>
      <w:r>
        <w:pict>
          <v:rect style="width:0;height:1.5pt" o:hralign="center" o:hrstd="t" o:hr="t"/>
        </w:pict>
      </w:r>
    </w:p>
    <w:bookmarkEnd w:id="55"/>
    <w:bookmarkEnd w:id="56"/>
    <w:bookmarkStart w:id="59" w:name="xi.-conclusion"/>
    <w:p>
      <w:pPr>
        <w:pStyle w:val="Heading2"/>
      </w:pPr>
      <w:r>
        <w:t xml:space="preserve">XI. CONCLUSION</w:t>
      </w:r>
    </w:p>
    <w:p>
      <w:pPr>
        <w:pStyle w:val="FirstParagraph"/>
      </w:pPr>
      <w:r>
        <w:t xml:space="preserve">The core problem is not that CIT markets strong performance numbers. It is that CIT makes guarantees in one set of documents and tries to take them back in another document that the customer does not see until after the sale, and that does not even clearly cover the software CIT is promoting. Courts resolve that contradiction against the seller, and the claims history shows they already are. The remedy is achievable within Ms. Dasgupta’s timeline:</w:t>
      </w:r>
    </w:p>
    <w:p>
      <w:pPr>
        <w:pStyle w:val="Compact"/>
        <w:numPr>
          <w:ilvl w:val="0"/>
          <w:numId w:val="1079"/>
        </w:numPr>
      </w:pPr>
      <w:r>
        <w:t xml:space="preserve">define the guarantee;</w:t>
      </w:r>
    </w:p>
    <w:p>
      <w:pPr>
        <w:pStyle w:val="Compact"/>
        <w:numPr>
          <w:ilvl w:val="0"/>
          <w:numId w:val="1079"/>
        </w:numPr>
      </w:pPr>
      <w:r>
        <w:t xml:space="preserve">attach it, with the warranty and software terms, to every quote;</w:t>
      </w:r>
    </w:p>
    <w:p>
      <w:pPr>
        <w:pStyle w:val="Compact"/>
        <w:numPr>
          <w:ilvl w:val="0"/>
          <w:numId w:val="1079"/>
        </w:numPr>
      </w:pPr>
      <w:r>
        <w:t xml:space="preserve">get a signature before the deposit;</w:t>
      </w:r>
    </w:p>
    <w:p>
      <w:pPr>
        <w:pStyle w:val="Compact"/>
        <w:numPr>
          <w:ilvl w:val="0"/>
          <w:numId w:val="1079"/>
        </w:numPr>
      </w:pPr>
      <w:r>
        <w:t xml:space="preserve">retrain the sales team; and</w:t>
      </w:r>
    </w:p>
    <w:p>
      <w:pPr>
        <w:pStyle w:val="Compact"/>
        <w:numPr>
          <w:ilvl w:val="0"/>
          <w:numId w:val="1079"/>
        </w:numPr>
      </w:pPr>
      <w:r>
        <w:t xml:space="preserve">give the Board an accurate picture of the insurance position.</w:t>
      </w:r>
    </w:p>
    <w:p>
      <w:pPr>
        <w:pStyle w:val="FirstParagraph"/>
      </w:pPr>
      <w:r>
        <w:t xml:space="preserve">Done well, this lets CIT sell the Max 9000 on its numbers, with a guarantee that is honest, bounded, and defensible.</w:t>
      </w:r>
    </w:p>
    <w:p>
      <w:pPr>
        <w:pStyle w:val="BodyText"/>
      </w:pPr>
      <w:r>
        <w:t xml:space="preserve">I am available to walk through any part of this with you, Marcus, or Priya, and to begin drafting the Performance Warranty, revised SLW, and AquaMonitor terms immediately upon your go-ahead.</w:t>
      </w:r>
    </w:p>
    <w:p>
      <w:pPr>
        <w:pStyle w:val="BodyText"/>
      </w:pPr>
      <w:r>
        <w:t xml:space="preserve">— N.H.</w:t>
      </w:r>
    </w:p>
    <w:p>
      <w:r>
        <w:pict>
          <v:rect style="width:0;height:1.5pt" o:hralign="center" o:hrstd="t" o:hr="t"/>
        </w:pict>
      </w:r>
    </w:p>
    <w:bookmarkStart w:id="57" w:name="appendix-a-key-ucc-provisions-referenced"/>
    <w:p>
      <w:pPr>
        <w:pStyle w:val="Heading3"/>
      </w:pPr>
      <w:r>
        <w:t xml:space="preserve">Appendix A — Key UCC provisions referenced</w:t>
      </w:r>
    </w:p>
    <w:p>
      <w:pPr>
        <w:pStyle w:val="Compact"/>
        <w:numPr>
          <w:ilvl w:val="0"/>
          <w:numId w:val="1080"/>
        </w:numPr>
      </w:pPr>
      <w:r>
        <w:rPr>
          <w:b/>
          <w:bCs/>
        </w:rPr>
        <w:t xml:space="preserve">§ 1-201(b)(10)</w:t>
      </w:r>
      <w:r>
        <w:t xml:space="preserve"> </w:t>
      </w:r>
      <w:r>
        <w:t xml:space="preserve">Conspicuous</w:t>
      </w:r>
    </w:p>
    <w:p>
      <w:pPr>
        <w:pStyle w:val="Compact"/>
        <w:numPr>
          <w:ilvl w:val="0"/>
          <w:numId w:val="1080"/>
        </w:numPr>
      </w:pPr>
      <w:r>
        <w:rPr>
          <w:b/>
          <w:bCs/>
        </w:rPr>
        <w:t xml:space="preserve">§ 1-301</w:t>
      </w:r>
      <w:r>
        <w:t xml:space="preserve"> </w:t>
      </w:r>
      <w:r>
        <w:t xml:space="preserve">Choice of law</w:t>
      </w:r>
    </w:p>
    <w:p>
      <w:pPr>
        <w:pStyle w:val="Compact"/>
        <w:numPr>
          <w:ilvl w:val="0"/>
          <w:numId w:val="1080"/>
        </w:numPr>
      </w:pPr>
      <w:r>
        <w:rPr>
          <w:b/>
          <w:bCs/>
        </w:rPr>
        <w:t xml:space="preserve">§ 2-202</w:t>
      </w:r>
      <w:r>
        <w:t xml:space="preserve"> </w:t>
      </w:r>
      <w:r>
        <w:t xml:space="preserve">Parol evidence</w:t>
      </w:r>
    </w:p>
    <w:p>
      <w:pPr>
        <w:pStyle w:val="Compact"/>
        <w:numPr>
          <w:ilvl w:val="0"/>
          <w:numId w:val="1080"/>
        </w:numPr>
      </w:pPr>
      <w:r>
        <w:rPr>
          <w:b/>
          <w:bCs/>
        </w:rPr>
        <w:t xml:space="preserve">§ 2-207</w:t>
      </w:r>
      <w:r>
        <w:t xml:space="preserve"> </w:t>
      </w:r>
      <w:r>
        <w:t xml:space="preserve">Additional terms</w:t>
      </w:r>
    </w:p>
    <w:p>
      <w:pPr>
        <w:pStyle w:val="Compact"/>
        <w:numPr>
          <w:ilvl w:val="0"/>
          <w:numId w:val="1080"/>
        </w:numPr>
      </w:pPr>
      <w:r>
        <w:rPr>
          <w:b/>
          <w:bCs/>
        </w:rPr>
        <w:t xml:space="preserve">§ 2-209</w:t>
      </w:r>
      <w:r>
        <w:t xml:space="preserve"> </w:t>
      </w:r>
      <w:r>
        <w:t xml:space="preserve">Modification</w:t>
      </w:r>
    </w:p>
    <w:p>
      <w:pPr>
        <w:pStyle w:val="Compact"/>
        <w:numPr>
          <w:ilvl w:val="0"/>
          <w:numId w:val="1080"/>
        </w:numPr>
      </w:pPr>
      <w:r>
        <w:rPr>
          <w:b/>
          <w:bCs/>
        </w:rPr>
        <w:t xml:space="preserve">§ 2-313</w:t>
      </w:r>
      <w:r>
        <w:t xml:space="preserve"> </w:t>
      </w:r>
      <w:r>
        <w:t xml:space="preserve">Express warranties</w:t>
      </w:r>
    </w:p>
    <w:p>
      <w:pPr>
        <w:pStyle w:val="Compact"/>
        <w:numPr>
          <w:ilvl w:val="0"/>
          <w:numId w:val="1080"/>
        </w:numPr>
      </w:pPr>
      <w:r>
        <w:rPr>
          <w:b/>
          <w:bCs/>
        </w:rPr>
        <w:t xml:space="preserve">§ 2-314</w:t>
      </w:r>
      <w:r>
        <w:t xml:space="preserve"> </w:t>
      </w:r>
      <w:r>
        <w:t xml:space="preserve">Merchantability</w:t>
      </w:r>
    </w:p>
    <w:p>
      <w:pPr>
        <w:pStyle w:val="Compact"/>
        <w:numPr>
          <w:ilvl w:val="0"/>
          <w:numId w:val="1080"/>
        </w:numPr>
      </w:pPr>
      <w:r>
        <w:rPr>
          <w:b/>
          <w:bCs/>
        </w:rPr>
        <w:t xml:space="preserve">§ 2-315</w:t>
      </w:r>
      <w:r>
        <w:t xml:space="preserve"> </w:t>
      </w:r>
      <w:r>
        <w:t xml:space="preserve">Fitness for particular purpose</w:t>
      </w:r>
    </w:p>
    <w:p>
      <w:pPr>
        <w:pStyle w:val="Compact"/>
        <w:numPr>
          <w:ilvl w:val="0"/>
          <w:numId w:val="1080"/>
        </w:numPr>
      </w:pPr>
      <w:r>
        <w:rPr>
          <w:b/>
          <w:bCs/>
        </w:rPr>
        <w:t xml:space="preserve">§ 2-316</w:t>
      </w:r>
      <w:r>
        <w:t xml:space="preserve"> </w:t>
      </w:r>
      <w:r>
        <w:t xml:space="preserve">Exclusion or modification of warranties</w:t>
      </w:r>
    </w:p>
    <w:p>
      <w:pPr>
        <w:pStyle w:val="Compact"/>
        <w:numPr>
          <w:ilvl w:val="0"/>
          <w:numId w:val="1080"/>
        </w:numPr>
      </w:pPr>
      <w:r>
        <w:rPr>
          <w:b/>
          <w:bCs/>
        </w:rPr>
        <w:t xml:space="preserve">§ 2-318</w:t>
      </w:r>
      <w:r>
        <w:t xml:space="preserve"> </w:t>
      </w:r>
      <w:r>
        <w:t xml:space="preserve">Third-party beneficiaries (non-uniform in CA)</w:t>
      </w:r>
    </w:p>
    <w:p>
      <w:pPr>
        <w:pStyle w:val="Compact"/>
        <w:numPr>
          <w:ilvl w:val="0"/>
          <w:numId w:val="1080"/>
        </w:numPr>
      </w:pPr>
      <w:r>
        <w:rPr>
          <w:b/>
          <w:bCs/>
        </w:rPr>
        <w:t xml:space="preserve">§ 2-607(3)(a)</w:t>
      </w:r>
      <w:r>
        <w:t xml:space="preserve"> </w:t>
      </w:r>
      <w:r>
        <w:t xml:space="preserve">Notice of breach</w:t>
      </w:r>
    </w:p>
    <w:p>
      <w:pPr>
        <w:pStyle w:val="Compact"/>
        <w:numPr>
          <w:ilvl w:val="0"/>
          <w:numId w:val="1080"/>
        </w:numPr>
      </w:pPr>
      <w:r>
        <w:rPr>
          <w:b/>
          <w:bCs/>
        </w:rPr>
        <w:t xml:space="preserve">§ 2-714/2-715</w:t>
      </w:r>
      <w:r>
        <w:t xml:space="preserve"> </w:t>
      </w:r>
      <w:r>
        <w:t xml:space="preserve">Buyer’s damages; incidental and consequential</w:t>
      </w:r>
    </w:p>
    <w:p>
      <w:pPr>
        <w:pStyle w:val="Compact"/>
        <w:numPr>
          <w:ilvl w:val="0"/>
          <w:numId w:val="1080"/>
        </w:numPr>
      </w:pPr>
      <w:r>
        <w:rPr>
          <w:b/>
          <w:bCs/>
        </w:rPr>
        <w:t xml:space="preserve">§ 2-718</w:t>
      </w:r>
      <w:r>
        <w:t xml:space="preserve"> </w:t>
      </w:r>
      <w:r>
        <w:t xml:space="preserve">Liquidated damages</w:t>
      </w:r>
    </w:p>
    <w:p>
      <w:pPr>
        <w:pStyle w:val="Compact"/>
        <w:numPr>
          <w:ilvl w:val="0"/>
          <w:numId w:val="1080"/>
        </w:numPr>
      </w:pPr>
      <w:r>
        <w:rPr>
          <w:b/>
          <w:bCs/>
        </w:rPr>
        <w:t xml:space="preserve">§ 2-719</w:t>
      </w:r>
      <w:r>
        <w:t xml:space="preserve"> </w:t>
      </w:r>
      <w:r>
        <w:t xml:space="preserve">Contractual modification or limitation of remedy</w:t>
      </w:r>
    </w:p>
    <w:bookmarkEnd w:id="57"/>
    <w:bookmarkStart w:id="58" w:name="X39fc681a1d54202490ce539707637f0a6265ecd"/>
    <w:p>
      <w:pPr>
        <w:pStyle w:val="Heading3"/>
      </w:pPr>
      <w:r>
        <w:t xml:space="preserve">Appendix B — Open items and information requests (to route through GC)</w:t>
      </w:r>
    </w:p>
    <w:p>
      <w:pPr>
        <w:pStyle w:val="Compact"/>
        <w:numPr>
          <w:ilvl w:val="0"/>
          <w:numId w:val="1081"/>
        </w:numPr>
      </w:pPr>
      <w:r>
        <w:t xml:space="preserve">AquaMonitor v3.2 documentation (functional spec, sensor architecture, validation, Part 11 assessment, cybersecurity, any EULA/ToS).</w:t>
      </w:r>
    </w:p>
    <w:p>
      <w:pPr>
        <w:pStyle w:val="Compact"/>
        <w:numPr>
          <w:ilvl w:val="0"/>
          <w:numId w:val="1081"/>
        </w:numPr>
      </w:pPr>
      <w:r>
        <w:t xml:space="preserve">CIT standard terms and conditions of sale and PO terms (current version).</w:t>
      </w:r>
    </w:p>
    <w:p>
      <w:pPr>
        <w:pStyle w:val="Compact"/>
        <w:numPr>
          <w:ilvl w:val="0"/>
          <w:numId w:val="1081"/>
        </w:numPr>
      </w:pPr>
      <w:r>
        <w:t xml:space="preserve">Great Lakes LOI.</w:t>
      </w:r>
    </w:p>
    <w:p>
      <w:pPr>
        <w:pStyle w:val="Compact"/>
        <w:numPr>
          <w:ilvl w:val="0"/>
          <w:numId w:val="1081"/>
        </w:numPr>
      </w:pPr>
      <w:r>
        <w:t xml:space="preserve">Triton procurement documents and Triton’s organizational form.</w:t>
      </w:r>
    </w:p>
    <w:p>
      <w:pPr>
        <w:pStyle w:val="Compact"/>
        <w:numPr>
          <w:ilvl w:val="0"/>
          <w:numId w:val="1081"/>
        </w:numPr>
      </w:pPr>
      <w:r>
        <w:t xml:space="preserve">Engineering substantiation for 99.97% / 98.5% / 500,000 gpd / 15-year design life; contaminant list and test methods.</w:t>
      </w:r>
    </w:p>
    <w:p>
      <w:pPr>
        <w:pStyle w:val="Compact"/>
        <w:numPr>
          <w:ilvl w:val="0"/>
          <w:numId w:val="1081"/>
        </w:numPr>
      </w:pPr>
      <w:r>
        <w:t xml:space="preserve">Any</w:t>
      </w:r>
      <w:r>
        <w:t xml:space="preserve"> </w:t>
      </w:r>
      <w:r>
        <w:t xml:space="preserve">“</w:t>
      </w:r>
      <w:r>
        <w:t xml:space="preserve">email campaign</w:t>
      </w:r>
      <w:r>
        <w:t xml:space="preserve">”</w:t>
      </w:r>
      <w:r>
        <w:t xml:space="preserve"> </w:t>
      </w:r>
      <w:r>
        <w:t xml:space="preserve">copy and any customer-specific decks or proposals sent to the three priority prospects.</w:t>
      </w:r>
    </w:p>
    <w:p>
      <w:pPr>
        <w:pStyle w:val="Compact"/>
        <w:numPr>
          <w:ilvl w:val="0"/>
          <w:numId w:val="1081"/>
        </w:numPr>
      </w:pPr>
      <w:r>
        <w:t xml:space="preserve">Version history of CIT-WRN-2021-001, and the version shipped with Redmond’s unit (AP7-2022-04102).</w:t>
      </w:r>
    </w:p>
    <w:p>
      <w:pPr>
        <w:pStyle w:val="Compact"/>
        <w:numPr>
          <w:ilvl w:val="0"/>
          <w:numId w:val="1081"/>
        </w:numPr>
      </w:pPr>
      <w:r>
        <w:t xml:space="preserve">Northern Cascade policy forms; confirmation of</w:t>
      </w:r>
      <w:r>
        <w:t xml:space="preserve"> </w:t>
      </w:r>
      <w:r>
        <w:rPr>
          <w:i/>
          <w:iCs/>
        </w:rPr>
        <w:t xml:space="preserve">Redmond</w:t>
      </w:r>
      <w:r>
        <w:t xml:space="preserve"> </w:t>
      </w:r>
      <w:r>
        <w:t xml:space="preserve">notice and coverage position.</w:t>
      </w:r>
    </w:p>
    <w:p>
      <w:pPr>
        <w:pStyle w:val="Compact"/>
        <w:numPr>
          <w:ilvl w:val="0"/>
          <w:numId w:val="1081"/>
        </w:numPr>
      </w:pPr>
      <w:r>
        <w:t xml:space="preserve">Whether the Stoneridge coverage review occurred before the February 3 Board meeting, and what the Board was told.</w:t>
      </w:r>
    </w:p>
    <w:p>
      <w:pPr>
        <w:pStyle w:val="Compact"/>
        <w:numPr>
          <w:ilvl w:val="0"/>
          <w:numId w:val="1081"/>
        </w:numPr>
      </w:pPr>
      <w:r>
        <w:t xml:space="preserve">Pressure-vessel investigation status and Max 9000 component commonality.</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2">
    <w:nsid w:val="00A9943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33">
    <w:nsid w:val="00A9943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9538">
    <w:nsid w:val="00A99538"/>
    <w:multiLevelType w:val="multilevel"/>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99539">
    <w:nsid w:val="00A99539"/>
    <w:multiLevelType w:val="multilevel"/>
    <w:lvl w:ilvl="0">
      <w:start w:val="9"/>
      <w:numFmt w:val="lowerRoman"/>
      <w:lvlText w:val="(%1)"/>
      <w:lvlJc w:val="left"/>
      <w:pPr>
        <w:ind w:left="720" w:hanging="480"/>
      </w:pPr>
    </w:lvl>
    <w:lvl w:ilvl="1">
      <w:start w:val="9"/>
      <w:numFmt w:val="lowerRoman"/>
      <w:lvlText w:val="(%2)"/>
      <w:lvlJc w:val="left"/>
      <w:pPr>
        <w:ind w:left="1440" w:hanging="480"/>
      </w:pPr>
    </w:lvl>
    <w:lvl w:ilvl="2">
      <w:start w:val="9"/>
      <w:numFmt w:val="lowerRoman"/>
      <w:lvlText w:val="(%3)"/>
      <w:lvlJc w:val="left"/>
      <w:pPr>
        <w:ind w:left="2160" w:hanging="480"/>
      </w:pPr>
    </w:lvl>
    <w:lvl w:ilvl="3">
      <w:start w:val="9"/>
      <w:numFmt w:val="lowerRoman"/>
      <w:lvlText w:val="(%4)"/>
      <w:lvlJc w:val="left"/>
      <w:pPr>
        <w:ind w:left="2880" w:hanging="480"/>
      </w:pPr>
    </w:lvl>
    <w:lvl w:ilvl="4">
      <w:start w:val="9"/>
      <w:numFmt w:val="lowerRoman"/>
      <w:lvlText w:val="(%5)"/>
      <w:lvlJc w:val="left"/>
      <w:pPr>
        <w:ind w:left="3600" w:hanging="480"/>
      </w:pPr>
    </w:lvl>
    <w:lvl w:ilvl="5">
      <w:start w:val="9"/>
      <w:numFmt w:val="lowerRoman"/>
      <w:lvlText w:val="(%6)"/>
      <w:lvlJc w:val="left"/>
      <w:pPr>
        <w:ind w:left="4320" w:hanging="480"/>
      </w:pPr>
    </w:lvl>
    <w:lvl w:ilvl="6">
      <w:start w:val="9"/>
      <w:numFmt w:val="lowerRoman"/>
      <w:lvlText w:val="(%7)"/>
      <w:lvlJc w:val="left"/>
      <w:pPr>
        <w:ind w:left="5040" w:hanging="480"/>
      </w:pPr>
    </w:lvl>
    <w:lvl w:ilvl="7">
      <w:start w:val="9"/>
      <w:numFmt w:val="lowerRoman"/>
      <w:lvlText w:val="(%8)"/>
      <w:lvlJc w:val="left"/>
      <w:pPr>
        <w:ind w:left="5760" w:hanging="480"/>
      </w:pPr>
    </w:lvl>
    <w:lvl w:ilvl="8">
      <w:start w:val="9"/>
      <w:numFmt w:val="lowerRoman"/>
      <w:lvlText w:val="(%9)"/>
      <w:lvlJc w:val="left"/>
      <w:pPr>
        <w:ind w:left="6480" w:hanging="480"/>
      </w:pPr>
    </w:lvl>
  </w:abstractNum>
  <w:abstractNum w:abstractNumId="99434">
    <w:nsid w:val="00A9943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5">
    <w:nsid w:val="00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1"/>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1"/>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9">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0">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5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2">
    <w:abstractNumId w:val="995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1"/>
  </w:num>
  <w:num w:numId="106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qFormat/>
    <w:pPr>
      <w:spacing w:after="180" w:before="180"/>
    </w:pPr>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sz w:val="30"/>
      <w:szCs w:val="30"/>
    </w:rPr>
  </w:style>
  <w:style w:customStyle="1" w:styleId="Author" w:type="paragraph">
    <w:name w:val="Author"/>
    <w:next w:val="BodyText"/>
    <w:qFormat/>
    <w:pPr>
      <w:keepNext/>
      <w:keepLines/>
      <w:jc w:val="center"/>
    </w:pPr>
    <w:rPr>
      <w:rFonts w:ascii="Calibri" w:hAnsi="Calibri"/>
    </w:rPr>
  </w:style>
  <w:style w:styleId="Date" w:type="paragraph">
    <w:name w:val="Date"/>
    <w:next w:val="BodyText"/>
    <w:qFormat/>
    <w:pPr>
      <w:keepNext/>
      <w:keepLines/>
      <w:jc w:val="center"/>
    </w:pPr>
    <w:rPr>
      <w:rFonts w:ascii="Calibri" w:hAnsi="Calibri"/>
    </w:rPr>
  </w:style>
  <w:style w:customStyle="1" w:styleId="AbstractTitle" w:type="paragraph">
    <w:name w:val="Abstract Title"/>
    <w:basedOn w:val="Normal"/>
    <w:next w:val="Abstract"/>
    <w:qFormat/>
    <w:pPr>
      <w:keepNext/>
      <w:keepLines/>
      <w:spacing w:after="0" w:before="300"/>
      <w:jc w:val="center"/>
    </w:pPr>
    <w:rPr>
      <w:rFonts w:ascii="Calibri" w:hAnsi="Calibri"/>
      <w:b/>
      <w:color w:val="345A8A"/>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2026-09-27T01:31:48Z</dcterms:created>
  <dcterms:modified xsi:type="dcterms:W3CDTF">2026-09-27T01:31:48Z</dcterms:modified>
</cp:coreProperties>
</file>

<file path=docProps/custom.xml><?xml version="1.0" encoding="utf-8"?>
<Properties xmlns="http://schemas.openxmlformats.org/officeDocument/2006/custom-properties" xmlns:vt="http://schemas.openxmlformats.org/officeDocument/2006/docPropsVTypes"/>
</file>