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ISSUES MEMORANDUM</w:t>
      </w:r>
    </w:p>
    <w:p>
      <w:pPr>
        <w:widowControl/>
        <w:jc w:val="center"/>
      </w:pPr>
      <w:r>
        <w:rPr>
          <w:b/>
          <w:color w:val="1F4E79"/>
          <w:sz w:val="24"/>
        </w:rPr>
        <w:t>Defense Proposed Jury Instructions (Nos. 1–35)</w:t>
      </w:r>
    </w:p>
    <w:tbl>
      <w:tblPr>
        <w:tblW w:type="auto" w:w="0"/>
        <w:jc w:val="center"/>
        <w:tblLayout w:type="fixed"/>
        <w:tblLook w:firstColumn="1" w:firstRow="1" w:lastColumn="0" w:lastRow="0" w:noHBand="0" w:noVBand="1" w:val="04A0"/>
      </w:tblPr>
      <w:tblGrid>
        <w:gridCol w:w="1181"/>
        <w:gridCol w:w="9288"/>
      </w:tblGrid>
      <w:tr>
        <w:trPr>
          <w:cantSplit/>
        </w:trPr>
        <w:tc>
          <w:tcPr>
            <w:tcW w:type="dxa" w:w="1181"/>
            <w:shd w:fill="D9EAF7"/>
            <w:tcMar>
              <w:top w:w="75" w:type="dxa"/>
              <w:start w:w="90" w:type="dxa"/>
              <w:bottom w:w="75" w:type="dxa"/>
              <w:end w:w="90" w:type="dxa"/>
            </w:tcMar>
            <w:vAlign w:val="center"/>
          </w:tcPr>
          <w:p>
            <w:r>
              <w:rPr>
                <w:b/>
              </w:rPr>
              <w:t>TO</w:t>
            </w:r>
          </w:p>
        </w:tc>
        <w:tc>
          <w:tcPr>
            <w:tcW w:type="dxa" w:w="9288"/>
            <w:tcMar>
              <w:top w:w="75" w:type="dxa"/>
              <w:start w:w="90" w:type="dxa"/>
              <w:bottom w:w="75" w:type="dxa"/>
              <w:end w:w="90" w:type="dxa"/>
            </w:tcMar>
            <w:vAlign w:val="center"/>
          </w:tcPr>
          <w:p>
            <w:r>
              <w:t>Trial team</w:t>
            </w:r>
          </w:p>
        </w:tc>
      </w:tr>
      <w:tr>
        <w:trPr>
          <w:cantSplit/>
        </w:trPr>
        <w:tc>
          <w:tcPr>
            <w:tcW w:type="dxa" w:w="1181"/>
            <w:shd w:fill="D9EAF7"/>
            <w:tcMar>
              <w:top w:w="75" w:type="dxa"/>
              <w:start w:w="90" w:type="dxa"/>
              <w:bottom w:w="75" w:type="dxa"/>
              <w:end w:w="90" w:type="dxa"/>
            </w:tcMar>
            <w:vAlign w:val="center"/>
          </w:tcPr>
          <w:p>
            <w:r>
              <w:rPr>
                <w:b/>
              </w:rPr>
              <w:t>FROM</w:t>
            </w:r>
          </w:p>
        </w:tc>
        <w:tc>
          <w:tcPr>
            <w:tcW w:type="dxa" w:w="9288"/>
            <w:tcMar>
              <w:top w:w="75" w:type="dxa"/>
              <w:start w:w="90" w:type="dxa"/>
              <w:bottom w:w="75" w:type="dxa"/>
              <w:end w:w="90" w:type="dxa"/>
            </w:tcMar>
            <w:vAlign w:val="center"/>
          </w:tcPr>
          <w:p>
            <w:r>
              <w:t>Trial counsel</w:t>
            </w:r>
          </w:p>
        </w:tc>
      </w:tr>
      <w:tr>
        <w:trPr>
          <w:cantSplit/>
        </w:trPr>
        <w:tc>
          <w:tcPr>
            <w:tcW w:type="dxa" w:w="1181"/>
            <w:shd w:fill="D9EAF7"/>
            <w:tcMar>
              <w:top w:w="75" w:type="dxa"/>
              <w:start w:w="90" w:type="dxa"/>
              <w:bottom w:w="75" w:type="dxa"/>
              <w:end w:w="90" w:type="dxa"/>
            </w:tcMar>
            <w:vAlign w:val="center"/>
          </w:tcPr>
          <w:p>
            <w:r>
              <w:rPr>
                <w:b/>
              </w:rPr>
              <w:t>DATE</w:t>
            </w:r>
          </w:p>
        </w:tc>
        <w:tc>
          <w:tcPr>
            <w:tcW w:type="dxa" w:w="9288"/>
            <w:tcMar>
              <w:top w:w="75" w:type="dxa"/>
              <w:start w:w="90" w:type="dxa"/>
              <w:bottom w:w="75" w:type="dxa"/>
              <w:end w:w="90" w:type="dxa"/>
            </w:tcMar>
            <w:vAlign w:val="center"/>
          </w:tcPr>
          <w:p>
            <w:r>
              <w:t>For April 7 objections / April 14 charge conference</w:t>
            </w:r>
          </w:p>
        </w:tc>
      </w:tr>
      <w:tr>
        <w:trPr>
          <w:cantSplit/>
        </w:trPr>
        <w:tc>
          <w:tcPr>
            <w:tcW w:type="dxa" w:w="1181"/>
            <w:shd w:fill="D9EAF7"/>
            <w:tcMar>
              <w:top w:w="75" w:type="dxa"/>
              <w:start w:w="90" w:type="dxa"/>
              <w:bottom w:w="75" w:type="dxa"/>
              <w:end w:w="90" w:type="dxa"/>
            </w:tcMar>
            <w:vAlign w:val="center"/>
          </w:tcPr>
          <w:p>
            <w:r>
              <w:rPr>
                <w:b/>
              </w:rPr>
              <w:t>RE</w:t>
            </w:r>
          </w:p>
        </w:tc>
        <w:tc>
          <w:tcPr>
            <w:tcW w:type="dxa" w:w="9288"/>
            <w:tcMar>
              <w:top w:w="75" w:type="dxa"/>
              <w:start w:w="90" w:type="dxa"/>
              <w:bottom w:w="75" w:type="dxa"/>
              <w:end w:w="90" w:type="dxa"/>
            </w:tcMar>
            <w:vAlign w:val="center"/>
          </w:tcPr>
          <w:p>
            <w:r>
              <w:t>Objections and proposed corrections to Defendants’ March 28, 2025 instructions</w:t>
            </w:r>
          </w:p>
        </w:tc>
      </w:tr>
    </w:tbl>
    <w:p>
      <w:pPr>
        <w:widowControl/>
      </w:pPr>
    </w:p>
    <w:p>
      <w:pPr>
        <w:widowControl/>
      </w:pPr>
      <w:r>
        <w:t>Purpose. This memorandum identifies the material conflicts between Defendants’ proposed charge and the January 12, 2025 summary-judgment order, September 5, 2024 sanctions order, February 10, 2025 pretrial minutes, the supplied Employment Agreement, and the damages record. It is an issue-spotting and charge-conference document, not a proposed complete charge.</w:t>
      </w:r>
    </w:p>
    <w:p>
      <w:pPr>
        <w:pStyle w:val="Heading1"/>
        <w:widowControl/>
      </w:pPr>
      <w:r>
        <w:t>Executive assessment</w:t>
      </w:r>
    </w:p>
    <w:p>
      <w:pPr>
        <w:widowControl/>
      </w:pPr>
      <w:r>
        <w:t>Object promptly to Instructions 12, 14–16, 20–21, 23, 25, 27, 29–32, and 35. The clearest order violations are the categorical bar on adverse inferences (No. 21), the withdrawn mitigation/apportionment charge (No. 29), inclusion of dismissed SignalSift (No. 14), the instruction that job similarity is “not evidence” (No. 23), and the contract instruction that limits breach to disclosure of specific documents (No. 25). The GTSA instructions also materially omit the statute’s unauthorized-use/disclosure routes and introduce a novelty requirement the Court expressly rejected.</w:t>
      </w:r>
    </w:p>
    <w:p>
      <w:pPr>
        <w:widowControl/>
      </w:pPr>
      <w:r>
        <w:t>The defense packet has several issues requiring a record check before a final charge: the plaintiff’s legal name, the numbering/text of the executed Employment Agreement, and the dates of the cloud-file deletions. Damages, the punitive-damages standard/cap, and any nominal-damages instruction should be resolved expressly at the charge conference; the parties’ briefs are not rulings.</w:t>
      </w:r>
    </w:p>
    <w:p>
      <w:pPr>
        <w:pStyle w:val="Heading1"/>
        <w:widowControl/>
      </w:pPr>
      <w:r>
        <w:t>Priority objections</w:t>
      </w:r>
    </w:p>
    <w:tbl>
      <w:tblPr>
        <w:tblStyle w:val="TableGrid"/>
        <w:tblW w:type="auto" w:w="0"/>
        <w:jc w:val="center"/>
        <w:tblLayout w:type="fixed"/>
        <w:tblLook w:firstColumn="1" w:firstRow="1" w:lastColumn="0" w:lastRow="0" w:noHBand="0" w:noVBand="1" w:val="04A0"/>
      </w:tblPr>
      <w:tblGrid>
        <w:gridCol w:w="1037"/>
        <w:gridCol w:w="1613"/>
        <w:gridCol w:w="4680"/>
        <w:gridCol w:w="2952"/>
      </w:tblGrid>
      <w:tr>
        <w:trPr>
          <w:tblHeader w:val="true"/>
        </w:trPr>
        <w:tc>
          <w:tcPr>
            <w:tcW w:type="dxa" w:w="1037"/>
            <w:shd w:fill="17365D"/>
            <w:tcMar>
              <w:top w:w="60" w:type="dxa"/>
              <w:start w:w="60" w:type="dxa"/>
              <w:bottom w:w="60" w:type="dxa"/>
              <w:end w:w="60" w:type="dxa"/>
            </w:tcMar>
          </w:tcPr>
          <w:p>
            <w:r>
              <w:rPr>
                <w:b/>
                <w:color w:val="FFFFFF"/>
                <w:sz w:val="16"/>
              </w:rPr>
              <w:t>Priority</w:t>
            </w:r>
          </w:p>
        </w:tc>
        <w:tc>
          <w:tcPr>
            <w:tcW w:type="dxa" w:w="1613"/>
            <w:shd w:fill="17365D"/>
            <w:tcMar>
              <w:top w:w="60" w:type="dxa"/>
              <w:start w:w="60" w:type="dxa"/>
              <w:bottom w:w="60" w:type="dxa"/>
              <w:end w:w="60" w:type="dxa"/>
            </w:tcMar>
          </w:tcPr>
          <w:p>
            <w:r>
              <w:rPr>
                <w:b/>
                <w:color w:val="FFFFFF"/>
                <w:sz w:val="16"/>
              </w:rPr>
              <w:t>Instructions</w:t>
            </w:r>
          </w:p>
        </w:tc>
        <w:tc>
          <w:tcPr>
            <w:tcW w:type="dxa" w:w="4680"/>
            <w:shd w:fill="17365D"/>
            <w:tcMar>
              <w:top w:w="60" w:type="dxa"/>
              <w:start w:w="60" w:type="dxa"/>
              <w:bottom w:w="60" w:type="dxa"/>
              <w:end w:w="60" w:type="dxa"/>
            </w:tcMar>
          </w:tcPr>
          <w:p>
            <w:r>
              <w:rPr>
                <w:b/>
                <w:color w:val="FFFFFF"/>
                <w:sz w:val="16"/>
              </w:rPr>
              <w:t>Issue</w:t>
            </w:r>
          </w:p>
        </w:tc>
        <w:tc>
          <w:tcPr>
            <w:tcW w:type="dxa" w:w="2952"/>
            <w:shd w:fill="17365D"/>
            <w:tcMar>
              <w:top w:w="60" w:type="dxa"/>
              <w:start w:w="60" w:type="dxa"/>
              <w:bottom w:w="60" w:type="dxa"/>
              <w:end w:w="60" w:type="dxa"/>
            </w:tcMar>
          </w:tcPr>
          <w:p>
            <w:r>
              <w:rPr>
                <w:b/>
                <w:color w:val="FFFFFF"/>
                <w:sz w:val="16"/>
              </w:rPr>
              <w:t>Requested result</w:t>
            </w:r>
          </w:p>
        </w:tc>
      </w:tr>
      <w:tr>
        <w:trPr>
          <w:cantSplit/>
        </w:trPr>
        <w:tc>
          <w:tcPr>
            <w:tcW w:type="dxa" w:w="1037"/>
            <w:tcMar>
              <w:top w:w="60" w:type="dxa"/>
              <w:start w:w="60" w:type="dxa"/>
              <w:bottom w:w="60" w:type="dxa"/>
              <w:end w:w="60" w:type="dxa"/>
            </w:tcMar>
            <w:vAlign w:val="top"/>
            <w:shd w:fill="FCE4D6"/>
          </w:tcPr>
          <w:p>
            <w:pPr>
              <w:spacing w:after="20" w:line="240" w:lineRule="auto"/>
            </w:pPr>
            <w:r>
              <w:rPr>
                <w:sz w:val="16"/>
              </w:rPr>
              <w:t>Critical</w:t>
            </w:r>
          </w:p>
        </w:tc>
        <w:tc>
          <w:tcPr>
            <w:tcW w:type="dxa" w:w="1613"/>
            <w:tcMar>
              <w:top w:w="60" w:type="dxa"/>
              <w:start w:w="60" w:type="dxa"/>
              <w:bottom w:w="60" w:type="dxa"/>
              <w:end w:w="60" w:type="dxa"/>
            </w:tcMar>
            <w:vAlign w:val="top"/>
          </w:tcPr>
          <w:p>
            <w:pPr>
              <w:spacing w:after="20" w:line="240" w:lineRule="auto"/>
            </w:pPr>
            <w:r>
              <w:rPr>
                <w:sz w:val="16"/>
              </w:rPr>
              <w:t>14, 21, 23, 25, 29</w:t>
            </w:r>
          </w:p>
        </w:tc>
        <w:tc>
          <w:tcPr>
            <w:tcW w:type="dxa" w:w="4680"/>
            <w:tcMar>
              <w:top w:w="60" w:type="dxa"/>
              <w:start w:w="60" w:type="dxa"/>
              <w:bottom w:w="60" w:type="dxa"/>
              <w:end w:w="60" w:type="dxa"/>
            </w:tcMar>
            <w:vAlign w:val="top"/>
          </w:tcPr>
          <w:p>
            <w:pPr>
              <w:spacing w:after="20" w:line="240" w:lineRule="auto"/>
            </w:pPr>
            <w:r>
              <w:rPr>
                <w:sz w:val="16"/>
              </w:rPr>
              <w:t>Direct conflicts with final orders: dismissed category; adverse-inference authorization; permitted circumstantial evidence of job similarity; broad contract use/disclosure; unconditional withdrawal of mitigation.</w:t>
            </w:r>
          </w:p>
        </w:tc>
        <w:tc>
          <w:tcPr>
            <w:tcW w:type="dxa" w:w="2952"/>
            <w:tcMar>
              <w:top w:w="60" w:type="dxa"/>
              <w:start w:w="60" w:type="dxa"/>
              <w:bottom w:w="60" w:type="dxa"/>
              <w:end w:w="60" w:type="dxa"/>
            </w:tcMar>
            <w:vAlign w:val="top"/>
          </w:tcPr>
          <w:p>
            <w:pPr>
              <w:spacing w:after="20" w:line="240" w:lineRule="auto"/>
            </w:pPr>
            <w:r>
              <w:rPr>
                <w:sz w:val="16"/>
              </w:rPr>
              <w:t>Strike or replace as specified below.</w:t>
            </w:r>
          </w:p>
        </w:tc>
      </w:tr>
      <w:tr>
        <w:trPr>
          <w:cantSplit/>
        </w:trPr>
        <w:tc>
          <w:tcPr>
            <w:tcW w:type="dxa" w:w="1037"/>
            <w:tcMar>
              <w:top w:w="60" w:type="dxa"/>
              <w:start w:w="60" w:type="dxa"/>
              <w:bottom w:w="60" w:type="dxa"/>
              <w:end w:w="60" w:type="dxa"/>
            </w:tcMar>
            <w:vAlign w:val="top"/>
            <w:shd w:fill="FCE4D6"/>
          </w:tcPr>
          <w:p>
            <w:pPr>
              <w:spacing w:after="20" w:line="240" w:lineRule="auto"/>
            </w:pPr>
            <w:r>
              <w:rPr>
                <w:sz w:val="16"/>
              </w:rPr>
              <w:t>Critical</w:t>
            </w:r>
          </w:p>
        </w:tc>
        <w:tc>
          <w:tcPr>
            <w:tcW w:type="dxa" w:w="1613"/>
            <w:tcMar>
              <w:top w:w="60" w:type="dxa"/>
              <w:start w:w="60" w:type="dxa"/>
              <w:bottom w:w="60" w:type="dxa"/>
              <w:end w:w="60" w:type="dxa"/>
            </w:tcMar>
            <w:vAlign w:val="top"/>
          </w:tcPr>
          <w:p>
            <w:pPr>
              <w:spacing w:after="20" w:line="240" w:lineRule="auto"/>
            </w:pPr>
            <w:r>
              <w:rPr>
                <w:sz w:val="16"/>
              </w:rPr>
              <w:t>12, 15–16, 20, 27</w:t>
            </w:r>
          </w:p>
        </w:tc>
        <w:tc>
          <w:tcPr>
            <w:tcW w:type="dxa" w:w="4680"/>
            <w:tcMar>
              <w:top w:w="60" w:type="dxa"/>
              <w:start w:w="60" w:type="dxa"/>
              <w:bottom w:w="60" w:type="dxa"/>
              <w:end w:w="60" w:type="dxa"/>
            </w:tcMar>
            <w:vAlign w:val="top"/>
          </w:tcPr>
          <w:p>
            <w:pPr>
              <w:spacing w:after="20" w:line="240" w:lineRule="auto"/>
            </w:pPr>
            <w:r>
              <w:rPr>
                <w:sz w:val="16"/>
              </w:rPr>
              <w:t>Misstate statutory/case-law framework: novelty; “could be obtained” instead of readily ascertainable; omission of unauthorized use/disclosure; added combination hurdle; extra “independently wrongful act” element for interference.</w:t>
            </w:r>
          </w:p>
        </w:tc>
        <w:tc>
          <w:tcPr>
            <w:tcW w:type="dxa" w:w="2952"/>
            <w:tcMar>
              <w:top w:w="60" w:type="dxa"/>
              <w:start w:w="60" w:type="dxa"/>
              <w:bottom w:w="60" w:type="dxa"/>
              <w:end w:w="60" w:type="dxa"/>
            </w:tcMar>
            <w:vAlign w:val="top"/>
          </w:tcPr>
          <w:p>
            <w:pPr>
              <w:spacing w:after="20" w:line="240" w:lineRule="auto"/>
            </w:pPr>
            <w:r>
              <w:rPr>
                <w:sz w:val="16"/>
              </w:rPr>
              <w:t>Use order-tracking language and the statutory elements the Court set out.</w:t>
            </w:r>
          </w:p>
        </w:tc>
      </w:tr>
      <w:tr>
        <w:trPr>
          <w:cantSplit/>
        </w:trPr>
        <w:tc>
          <w:tcPr>
            <w:tcW w:type="dxa" w:w="1037"/>
            <w:tcMar>
              <w:top w:w="60" w:type="dxa"/>
              <w:start w:w="60" w:type="dxa"/>
              <w:bottom w:w="60" w:type="dxa"/>
              <w:end w:w="60" w:type="dxa"/>
            </w:tcMar>
            <w:vAlign w:val="top"/>
            <w:shd w:fill="FFF2CC"/>
          </w:tcPr>
          <w:p>
            <w:pPr>
              <w:spacing w:after="20" w:line="240" w:lineRule="auto"/>
            </w:pPr>
            <w:r>
              <w:rPr>
                <w:sz w:val="16"/>
              </w:rPr>
              <w:t>High</w:t>
            </w:r>
          </w:p>
        </w:tc>
        <w:tc>
          <w:tcPr>
            <w:tcW w:type="dxa" w:w="1613"/>
            <w:tcMar>
              <w:top w:w="60" w:type="dxa"/>
              <w:start w:w="60" w:type="dxa"/>
              <w:bottom w:w="60" w:type="dxa"/>
              <w:end w:w="60" w:type="dxa"/>
            </w:tcMar>
            <w:vAlign w:val="top"/>
          </w:tcPr>
          <w:p>
            <w:pPr>
              <w:spacing w:after="20" w:line="240" w:lineRule="auto"/>
            </w:pPr>
            <w:r>
              <w:rPr>
                <w:sz w:val="16"/>
              </w:rPr>
              <w:t>30–32, 35</w:t>
            </w:r>
          </w:p>
        </w:tc>
        <w:tc>
          <w:tcPr>
            <w:tcW w:type="dxa" w:w="4680"/>
            <w:tcMar>
              <w:top w:w="60" w:type="dxa"/>
              <w:start w:w="60" w:type="dxa"/>
              <w:bottom w:w="60" w:type="dxa"/>
              <w:end w:w="60" w:type="dxa"/>
            </w:tcMar>
            <w:vAlign w:val="top"/>
          </w:tcPr>
          <w:p>
            <w:pPr>
              <w:spacing w:after="20" w:line="240" w:lineRule="auto"/>
            </w:pPr>
            <w:r>
              <w:rPr>
                <w:sz w:val="16"/>
              </w:rPr>
              <w:t>Improper damages election/unanimity, one-sided expert skepticism, unapproved punitive prerequisites, and insufficiently specific verdict structure.</w:t>
            </w:r>
          </w:p>
        </w:tc>
        <w:tc>
          <w:tcPr>
            <w:tcW w:type="dxa" w:w="2952"/>
            <w:tcMar>
              <w:top w:w="60" w:type="dxa"/>
              <w:start w:w="60" w:type="dxa"/>
              <w:bottom w:w="60" w:type="dxa"/>
              <w:end w:w="60" w:type="dxa"/>
            </w:tcMar>
            <w:vAlign w:val="top"/>
          </w:tcPr>
          <w:p>
            <w:pPr>
              <w:spacing w:after="20" w:line="240" w:lineRule="auto"/>
            </w:pPr>
            <w:r>
              <w:rPr>
                <w:sz w:val="16"/>
              </w:rPr>
              <w:t>Give anti-duplication only; neutral expert charge; reserve punitive standard/cap for ruling; use claim/category-specific verdict questions.</w:t>
            </w:r>
          </w:p>
        </w:tc>
      </w:tr>
      <w:tr>
        <w:trPr>
          <w:cantSplit/>
        </w:trPr>
        <w:tc>
          <w:tcPr>
            <w:tcW w:type="dxa" w:w="1037"/>
            <w:tcMar>
              <w:top w:w="60" w:type="dxa"/>
              <w:start w:w="60" w:type="dxa"/>
              <w:bottom w:w="60" w:type="dxa"/>
              <w:end w:w="60" w:type="dxa"/>
            </w:tcMar>
            <w:vAlign w:val="top"/>
            <w:shd w:fill="FFF2CC"/>
          </w:tcPr>
          <w:p>
            <w:pPr>
              <w:spacing w:after="20" w:line="240" w:lineRule="auto"/>
            </w:pPr>
            <w:r>
              <w:rPr>
                <w:sz w:val="16"/>
              </w:rPr>
              <w:t>High</w:t>
            </w:r>
          </w:p>
        </w:tc>
        <w:tc>
          <w:tcPr>
            <w:tcW w:type="dxa" w:w="1613"/>
            <w:tcMar>
              <w:top w:w="60" w:type="dxa"/>
              <w:start w:w="60" w:type="dxa"/>
              <w:bottom w:w="60" w:type="dxa"/>
              <w:end w:w="60" w:type="dxa"/>
            </w:tcMar>
            <w:vAlign w:val="top"/>
          </w:tcPr>
          <w:p>
            <w:pPr>
              <w:spacing w:after="20" w:line="240" w:lineRule="auto"/>
            </w:pPr>
            <w:r>
              <w:rPr>
                <w:sz w:val="16"/>
              </w:rPr>
              <w:t>10, 24, 26; threshold record</w:t>
            </w:r>
          </w:p>
        </w:tc>
        <w:tc>
          <w:tcPr>
            <w:tcW w:type="dxa" w:w="4680"/>
            <w:tcMar>
              <w:top w:w="60" w:type="dxa"/>
              <w:start w:w="60" w:type="dxa"/>
              <w:bottom w:w="60" w:type="dxa"/>
              <w:end w:w="60" w:type="dxa"/>
            </w:tcMar>
            <w:vAlign w:val="top"/>
          </w:tcPr>
          <w:p>
            <w:pPr>
              <w:spacing w:after="20" w:line="240" w:lineRule="auto"/>
            </w:pPr>
            <w:r>
              <w:rPr>
                <w:sz w:val="16"/>
              </w:rPr>
              <w:t>Name and agreement-version discrepancies; unsupported “stipulated” characterization; possible duplicate damages across claims.</w:t>
            </w:r>
          </w:p>
        </w:tc>
        <w:tc>
          <w:tcPr>
            <w:tcW w:type="dxa" w:w="2952"/>
            <w:tcMar>
              <w:top w:w="60" w:type="dxa"/>
              <w:start w:w="60" w:type="dxa"/>
              <w:bottom w:w="60" w:type="dxa"/>
              <w:end w:w="60" w:type="dxa"/>
            </w:tcMar>
            <w:vAlign w:val="top"/>
          </w:tcPr>
          <w:p>
            <w:pPr>
              <w:spacing w:after="20" w:line="240" w:lineRule="auto"/>
            </w:pPr>
            <w:r>
              <w:rPr>
                <w:sz w:val="16"/>
              </w:rPr>
              <w:t>Confirm the record, identify the contract by substance, and avoid duplicative recovery.</w:t>
            </w:r>
          </w:p>
        </w:tc>
      </w:tr>
      <w:tr>
        <w:trPr>
          <w:cantSplit/>
        </w:trPr>
        <w:tc>
          <w:tcPr>
            <w:tcW w:type="dxa" w:w="1037"/>
            <w:tcMar>
              <w:top w:w="60" w:type="dxa"/>
              <w:start w:w="60" w:type="dxa"/>
              <w:bottom w:w="60" w:type="dxa"/>
              <w:end w:w="60" w:type="dxa"/>
            </w:tcMar>
            <w:vAlign w:val="top"/>
            <w:shd w:fill="E2F0D9"/>
          </w:tcPr>
          <w:p>
            <w:pPr>
              <w:spacing w:after="20" w:line="240" w:lineRule="auto"/>
            </w:pPr>
            <w:r>
              <w:rPr>
                <w:sz w:val="16"/>
              </w:rPr>
              <w:t>Moderate</w:t>
            </w:r>
          </w:p>
        </w:tc>
        <w:tc>
          <w:tcPr>
            <w:tcW w:type="dxa" w:w="1613"/>
            <w:tcMar>
              <w:top w:w="60" w:type="dxa"/>
              <w:start w:w="60" w:type="dxa"/>
              <w:bottom w:w="60" w:type="dxa"/>
              <w:end w:w="60" w:type="dxa"/>
            </w:tcMar>
            <w:vAlign w:val="top"/>
          </w:tcPr>
          <w:p>
            <w:pPr>
              <w:spacing w:after="20" w:line="240" w:lineRule="auto"/>
            </w:pPr>
            <w:r>
              <w:rPr>
                <w:sz w:val="16"/>
              </w:rPr>
              <w:t>13, 18–19, 22, 28, 33</w:t>
            </w:r>
          </w:p>
        </w:tc>
        <w:tc>
          <w:tcPr>
            <w:tcW w:type="dxa" w:w="4680"/>
            <w:tcMar>
              <w:top w:w="60" w:type="dxa"/>
              <w:start w:w="60" w:type="dxa"/>
              <w:bottom w:w="60" w:type="dxa"/>
              <w:end w:w="60" w:type="dxa"/>
            </w:tcMar>
            <w:vAlign w:val="top"/>
          </w:tcPr>
          <w:p>
            <w:pPr>
              <w:spacing w:after="20" w:line="240" w:lineRule="auto"/>
            </w:pPr>
            <w:r>
              <w:rPr>
                <w:sz w:val="16"/>
              </w:rPr>
              <w:t>Need to preserve totality-of-circumstances secrecy analysis, clarify burdens and scope of independent development/general skills, and avoid a categorical damages/causation shortcut.</w:t>
            </w:r>
          </w:p>
        </w:tc>
        <w:tc>
          <w:tcPr>
            <w:tcW w:type="dxa" w:w="2952"/>
            <w:tcMar>
              <w:top w:w="60" w:type="dxa"/>
              <w:start w:w="60" w:type="dxa"/>
              <w:bottom w:w="60" w:type="dxa"/>
              <w:end w:w="60" w:type="dxa"/>
            </w:tcMar>
            <w:vAlign w:val="top"/>
          </w:tcPr>
          <w:p>
            <w:pPr>
              <w:spacing w:after="20" w:line="240" w:lineRule="auto"/>
            </w:pPr>
            <w:r>
              <w:rPr>
                <w:sz w:val="16"/>
              </w:rPr>
              <w:t>Refine; do not necessarily exclude in full.</w:t>
            </w:r>
          </w:p>
        </w:tc>
      </w:tr>
    </w:tbl>
    <w:p>
      <w:pPr>
        <w:pStyle w:val="Heading1"/>
        <w:widowControl/>
      </w:pPr>
      <w:r>
        <w:t>I. Record checks to resolve before settling the charge</w:t>
      </w:r>
    </w:p>
    <w:p>
      <w:pPr>
        <w:pStyle w:val="Heading3"/>
        <w:keepNext/>
        <w:widowControl/>
      </w:pPr>
      <w:r>
        <w:t>A. Plaintiff name (all instructions and verdict form).</w:t>
      </w:r>
    </w:p>
    <w:p>
      <w:pPr>
        <w:keepLines/>
        <w:widowControl/>
      </w:pPr>
      <w:r>
        <w:rPr>
          <w:b/>
          <w:color w:val="9D3628"/>
        </w:rPr>
        <w:t xml:space="preserve">RECONCILE. </w:t>
      </w:r>
      <w:r>
        <w:t>The supplied captions identify “Ridgemont Technologies, Inc.” as Plaintiff, while the body of the summary-judgment order, pretrial minutes, sanctions order, Employment Agreement, damages brief, and proposed instructions repeatedly identify “Oakvale Technologies, Inc.” The packet does not explain whether one is a pseudonym, a caption error, or a different entity.</w:t>
      </w:r>
    </w:p>
    <w:p>
      <w:pPr>
        <w:keepLines/>
        <w:widowControl/>
        <w:ind w:left="259" w:right="173"/>
      </w:pPr>
      <w:r>
        <w:rPr>
          <w:b/>
        </w:rPr>
        <w:t xml:space="preserve">Requested revision: </w:t>
      </w:r>
      <w:r>
        <w:t>Confirm the operative caption/pleadings and any stipulation or amendment. Use one exact legal name consistently in the charge, verdict form, caption, and party references; do not silently assume either name.</w:t>
      </w:r>
    </w:p>
    <w:p>
      <w:pPr>
        <w:pStyle w:val="Heading3"/>
        <w:keepNext/>
        <w:widowControl/>
      </w:pPr>
      <w:r>
        <w:t>B. Employment Agreement version and section numbering.</w:t>
      </w:r>
    </w:p>
    <w:p>
      <w:pPr>
        <w:keepLines/>
        <w:widowControl/>
      </w:pPr>
      <w:r>
        <w:rPr>
          <w:b/>
          <w:color w:val="9D3628"/>
        </w:rPr>
        <w:t xml:space="preserve">CONFIRM THE ADMITTED EXECUTED VERSION. </w:t>
      </w:r>
      <w:r>
        <w:t>The supplied Agreement places confidentiality in Section 4, invention assignment in Section 5, non-solicitation in Section 6, and remedies in Section 7. The summary-judgment order describes confidentiality as Section 5 and assigns the following provisions different section numbers. Defense No. 25 cites Section 4. The substantive ruling is clear that the confidentiality obligation reaches unauthorized use or disclosure of covered information, including intangible information retained in memory, but the section numbering is not consistent across the packet.</w:t>
      </w:r>
    </w:p>
    <w:p>
      <w:pPr>
        <w:keepLines/>
        <w:widowControl/>
        <w:ind w:left="259" w:right="173"/>
      </w:pPr>
      <w:r>
        <w:rPr>
          <w:b/>
        </w:rPr>
        <w:t xml:space="preserve">Requested revision: </w:t>
      </w:r>
      <w:r>
        <w:t>Identify the operative exhibit/version. In jury instructions, describe the “confidentiality provision” by substance (or use the verified section number), not an unverified section reference.</w:t>
      </w:r>
    </w:p>
    <w:p>
      <w:pPr>
        <w:pStyle w:val="Heading3"/>
        <w:keepNext/>
        <w:widowControl/>
      </w:pPr>
      <w:r>
        <w:t>C. Spoliation dates.</w:t>
      </w:r>
    </w:p>
    <w:p>
      <w:pPr>
        <w:keepLines/>
        <w:widowControl/>
      </w:pPr>
      <w:r>
        <w:rPr>
          <w:b/>
          <w:color w:val="9D3628"/>
        </w:rPr>
        <w:t xml:space="preserve">ASK THE COURT TO CLARIFY; OMIT DATES UNTIL THEN. </w:t>
      </w:r>
      <w:r>
        <w:t>The September 5 sanctions order finds the litigation hold was communicated by April 17, 2023 and the 347 deletions occurred approximately April 19–May 3, 2023. The January 12 summary-judgment order instead says the notice was October 14, 2022 and deletions October 19–November 3, 2022. The February 10 minutes confirm the sanctions ruling remains in effect but do not resolve the date discrepancy.</w:t>
      </w:r>
    </w:p>
    <w:p>
      <w:pPr>
        <w:keepLines/>
        <w:widowControl/>
        <w:ind w:left="259" w:right="173"/>
      </w:pPr>
      <w:r>
        <w:rPr>
          <w:b/>
        </w:rPr>
        <w:t xml:space="preserve">Requested revision: </w:t>
      </w:r>
      <w:r>
        <w:t>The controlling sanction is unambiguous as to the findings and authorized inference. The instruction can state the Court’s finding and the 347 files without a date; clarify the chronology only if the Court wants dates included.</w:t>
      </w:r>
    </w:p>
    <w:p>
      <w:pPr>
        <w:pStyle w:val="Heading3"/>
        <w:keepNext/>
        <w:widowControl/>
      </w:pPr>
      <w:r>
        <w:t>D. Damages and punitive issues left open.</w:t>
      </w:r>
    </w:p>
    <w:p>
      <w:pPr>
        <w:keepLines/>
        <w:widowControl/>
      </w:pPr>
      <w:r>
        <w:rPr>
          <w:b/>
          <w:color w:val="9D3628"/>
        </w:rPr>
        <w:t xml:space="preserve">DO NOT TREAT ADVOCACY AS A RULING. </w:t>
      </w:r>
      <w:r>
        <w:t>The summary-judgment order admits both damages measures subject to an anti-duplication instruction and reserves the cap on punitive damages. The pretrial minutes likewise reserve the § 51-12-5.1(g) cap and any statutory exceptions for the charge conference. The plaintiff’s damages brief asserts no overlap and a distinct punitive standard; those are advocacy positions, not judicial findings. The summary order describes $22 million in total Prism revenue times 70% for unjust enrichment; the brief also asserts the same 14 diverted customers were excluded from the unjust-enrichment base. The jury must decide what the evidence actually supports.</w:t>
      </w:r>
    </w:p>
    <w:p>
      <w:pPr>
        <w:keepLines/>
        <w:widowControl/>
        <w:ind w:left="259" w:right="173"/>
      </w:pPr>
      <w:r>
        <w:rPr>
          <w:b/>
        </w:rPr>
        <w:t xml:space="preserve">Requested revision: </w:t>
      </w:r>
      <w:r>
        <w:t>Obtain rulings on theory-specific unanimity, the anti-duplication formulation, punitive burden/standard/cap, and any nominal-damages instruction. Do not charge that the damages pools are factually non-overlapping.</w:t>
      </w:r>
    </w:p>
    <w:p>
      <w:pPr>
        <w:pStyle w:val="Heading1"/>
        <w:widowControl/>
      </w:pPr>
      <w:r>
        <w:t>II. Instruction-by-instruction review</w:t>
      </w:r>
    </w:p>
    <w:p>
      <w:pPr>
        <w:pStyle w:val="Heading2"/>
        <w:widowControl/>
      </w:pPr>
      <w:r>
        <w:t>A. General instructions (Nos. 1–9)</w:t>
      </w:r>
    </w:p>
    <w:p>
      <w:pPr>
        <w:pStyle w:val="Heading3"/>
        <w:keepNext/>
        <w:widowControl/>
      </w:pPr>
      <w:r>
        <w:t>Nos. 1, 3, 7, 8 — generally acceptable.</w:t>
      </w:r>
    </w:p>
    <w:p>
      <w:pPr>
        <w:keepLines/>
        <w:widowControl/>
      </w:pPr>
      <w:r>
        <w:rPr>
          <w:b/>
          <w:color w:val="9D3628"/>
        </w:rPr>
        <w:t xml:space="preserve">NO SUBSTANTIVE OBJECTION. </w:t>
      </w:r>
      <w:r>
        <w:t>These are conventional neutrality, direct/circumstantial evidence, separate-defendant, and credibility instructions. No identified order conflicts. The circumstantial-evidence instruction is consistent with the summary-judgment order’s recognition that misappropriation may be proved circumstantially.</w:t>
      </w:r>
    </w:p>
    <w:p>
      <w:pPr>
        <w:keepLines/>
        <w:widowControl/>
        <w:ind w:left="259" w:right="173"/>
      </w:pPr>
      <w:r>
        <w:rPr>
          <w:b/>
        </w:rPr>
        <w:t xml:space="preserve">Requested revision: </w:t>
      </w:r>
      <w:r>
        <w:t>Keep the charge consistent with the specific adverse-inference instruction and the claim-specific verdict questions.</w:t>
      </w:r>
    </w:p>
    <w:p>
      <w:pPr>
        <w:pStyle w:val="Heading3"/>
        <w:keepNext/>
        <w:widowControl/>
      </w:pPr>
      <w:r>
        <w:t>No. 2 — Evidence defined.</w:t>
      </w:r>
    </w:p>
    <w:p>
      <w:pPr>
        <w:keepLines/>
        <w:widowControl/>
      </w:pPr>
      <w:r>
        <w:rPr>
          <w:b/>
          <w:color w:val="9D3628"/>
        </w:rPr>
        <w:t xml:space="preserve">ACCEPT WITH A CROSS-REFERENCE. </w:t>
      </w:r>
      <w:r>
        <w:t>The “do not speculate” language must not be used to negate the inference the sanctions order expressly authorizes. A juror may draw the court-authorized inference from the deleted files even though their full contents are unavailable.</w:t>
      </w:r>
    </w:p>
    <w:p>
      <w:pPr>
        <w:keepLines/>
        <w:widowControl/>
        <w:ind w:left="259" w:right="173"/>
      </w:pPr>
      <w:r>
        <w:rPr>
          <w:b/>
        </w:rPr>
        <w:t xml:space="preserve">Requested revision: </w:t>
      </w:r>
      <w:r>
        <w:t>Add that the charge’s specific spoliation instruction is an authorized inference and controls over any generalized “do not speculate” wording.</w:t>
      </w:r>
    </w:p>
    <w:p>
      <w:pPr>
        <w:pStyle w:val="Heading3"/>
        <w:keepNext/>
        <w:widowControl/>
      </w:pPr>
      <w:r>
        <w:t>No. 4 — Stipulations.</w:t>
      </w:r>
    </w:p>
    <w:p>
      <w:pPr>
        <w:keepLines/>
        <w:widowControl/>
      </w:pPr>
      <w:r>
        <w:rPr>
          <w:b/>
          <w:color w:val="9D3628"/>
        </w:rPr>
        <w:t xml:space="preserve">CONDITION ON ACTUAL STIPULATIONS. </w:t>
      </w:r>
      <w:r>
        <w:t>No supplied order/minutes identifies a list of trial stipulations. The boilerplate is harmless only if the Court identifies the stipulations actually made.</w:t>
      </w:r>
    </w:p>
    <w:p>
      <w:pPr>
        <w:keepLines/>
        <w:widowControl/>
        <w:ind w:left="259" w:right="173"/>
      </w:pPr>
      <w:r>
        <w:rPr>
          <w:b/>
        </w:rPr>
        <w:t xml:space="preserve">Requested revision: </w:t>
      </w:r>
      <w:r>
        <w:t>Use only for facts formally stipulated or expressly established by the Court; do not imply that contested facts are stipulated.</w:t>
      </w:r>
    </w:p>
    <w:p>
      <w:pPr>
        <w:pStyle w:val="Heading3"/>
        <w:keepNext/>
        <w:widowControl/>
      </w:pPr>
      <w:r>
        <w:t>No. 5 — Burden of proof.</w:t>
      </w:r>
    </w:p>
    <w:p>
      <w:pPr>
        <w:keepLines/>
        <w:widowControl/>
      </w:pPr>
      <w:r>
        <w:rPr>
          <w:b/>
          <w:color w:val="9D3628"/>
        </w:rPr>
        <w:t xml:space="preserve">REVISE THE PARTY NAME AND KEEP BURDENS CLAIM-SPECIFIC. </w:t>
      </w:r>
      <w:r>
        <w:t>The instruction uses Oakvale, but the caption discrepancy must be resolved. General preponderance language is appropriate for ordinary claim elements; the punitive-damages burden is not settled by this boilerplate and is addressed separately below.</w:t>
      </w:r>
    </w:p>
    <w:p>
      <w:pPr>
        <w:keepLines/>
        <w:widowControl/>
        <w:ind w:left="259" w:right="173"/>
      </w:pPr>
      <w:r>
        <w:rPr>
          <w:b/>
        </w:rPr>
        <w:t xml:space="preserve">Requested revision: </w:t>
      </w:r>
      <w:r>
        <w:t>Use the confirmed plaintiff name and state the burden separately where the Court determines a different standard applies.</w:t>
      </w:r>
    </w:p>
    <w:p>
      <w:pPr>
        <w:pStyle w:val="Heading3"/>
        <w:keepNext/>
        <w:widowControl/>
      </w:pPr>
      <w:r>
        <w:t>No. 6 — Equal treatment.</w:t>
      </w:r>
    </w:p>
    <w:p>
      <w:pPr>
        <w:keepLines/>
        <w:widowControl/>
      </w:pPr>
      <w:r>
        <w:rPr>
          <w:b/>
          <w:color w:val="9D3628"/>
        </w:rPr>
        <w:t xml:space="preserve">MINOR CONFORMING EDIT. </w:t>
      </w:r>
      <w:r>
        <w:t>The instruction again uses Oakvale and Axial; conform the plaintiff name after record clarification. Otherwise no material conflict.</w:t>
      </w:r>
    </w:p>
    <w:p>
      <w:pPr>
        <w:pStyle w:val="Heading3"/>
        <w:keepNext/>
        <w:widowControl/>
      </w:pPr>
      <w:r>
        <w:t>No. 9 — Deposition testimony.</w:t>
      </w:r>
    </w:p>
    <w:p>
      <w:pPr>
        <w:keepLines/>
        <w:widowControl/>
      </w:pPr>
      <w:r>
        <w:rPr>
          <w:b/>
          <w:color w:val="9D3628"/>
        </w:rPr>
        <w:t xml:space="preserve">MODIFY “SAME CONSIDERATION AND WEIGHT.” </w:t>
      </w:r>
      <w:r>
        <w:t>The instruction tells jurors deposition testimony “should be given the same consideration and weight” as live testimony. That can be read as mandating equal weight rather than allowing jurors to evaluate credibility and context. The pretrial minutes allow video deposition playback, but do not prescribe equal weight.</w:t>
      </w:r>
    </w:p>
    <w:p>
      <w:pPr>
        <w:keepLines/>
        <w:widowControl/>
        <w:ind w:left="259" w:right="173"/>
      </w:pPr>
      <w:r>
        <w:rPr>
          <w:b/>
        </w:rPr>
        <w:t xml:space="preserve">Requested revision: </w:t>
      </w:r>
      <w:r>
        <w:t>Use permissive language: jurors may consider admitted deposition testimony as they would other testimony, applying the same credibility principles; weight remains for the jury.</w:t>
      </w:r>
    </w:p>
    <w:p>
      <w:pPr>
        <w:pStyle w:val="Heading2"/>
        <w:widowControl/>
      </w:pPr>
      <w:r>
        <w:t>B. Claims and trade-secret instructions (Nos. 10–23)</w:t>
      </w:r>
    </w:p>
    <w:p>
      <w:pPr>
        <w:pStyle w:val="Heading3"/>
        <w:keepNext/>
        <w:widowControl/>
      </w:pPr>
      <w:r>
        <w:t>No. 10 — Summary of claims.</w:t>
      </w:r>
    </w:p>
    <w:p>
      <w:pPr>
        <w:keepLines/>
        <w:widowControl/>
      </w:pPr>
      <w:r>
        <w:rPr>
          <w:b/>
          <w:color w:val="9D3628"/>
        </w:rPr>
        <w:t xml:space="preserve">REVISE. </w:t>
      </w:r>
      <w:r>
        <w:t>The three surviving claims are correctly identified in broad outline, but the plaintiff’s name must be confirmed. State expressly that the GTSA case concerns only categories (1)–(6); SignalSift was dismissed with prejudice. Avoid any suggestion that the jury decides injunctive relief, which the February 10 minutes reserve to the Court.</w:t>
      </w:r>
    </w:p>
    <w:p>
      <w:pPr>
        <w:keepLines/>
        <w:widowControl/>
        <w:ind w:left="259" w:right="173"/>
      </w:pPr>
      <w:r>
        <w:rPr>
          <w:b/>
        </w:rPr>
        <w:t xml:space="preserve">Requested revision: </w:t>
      </w:r>
      <w:r>
        <w:t>Use the claim/defendant mapping: GTSA against Voss and Axial; confidentiality-contract claim against Voss; tortious-interference claim against Axial. Add that only the six surviving categories go to the jury.</w:t>
      </w:r>
    </w:p>
    <w:p>
      <w:pPr>
        <w:pStyle w:val="Heading3"/>
        <w:keepNext/>
        <w:widowControl/>
      </w:pPr>
      <w:r>
        <w:t>No. 11 — Applicable law.</w:t>
      </w:r>
    </w:p>
    <w:p>
      <w:pPr>
        <w:keepLines/>
        <w:widowControl/>
      </w:pPr>
      <w:r>
        <w:rPr>
          <w:b/>
          <w:color w:val="9D3628"/>
        </w:rPr>
        <w:t xml:space="preserve">GENERALLY ACCEPTABLE. </w:t>
      </w:r>
      <w:r>
        <w:t>The January 12 order confirms Georgia substantive law governs these claims and federal procedural law applies. The order describes the parties as not disputing Georgia law; “stipulated” is not necessary unless there is an actual stipulation.</w:t>
      </w:r>
    </w:p>
    <w:p>
      <w:pPr>
        <w:keepLines/>
        <w:widowControl/>
        <w:ind w:left="259" w:right="173"/>
      </w:pPr>
      <w:r>
        <w:rPr>
          <w:b/>
        </w:rPr>
        <w:t xml:space="preserve">Requested revision: </w:t>
      </w:r>
      <w:r>
        <w:t>Replace “as stipulated” with “as the Court has determined” or omit that characterization.</w:t>
      </w:r>
    </w:p>
    <w:p>
      <w:pPr>
        <w:pStyle w:val="Heading3"/>
        <w:keepNext/>
        <w:widowControl/>
      </w:pPr>
      <w:r>
        <w:t>No. 12 — Definition of trade secret.</w:t>
      </w:r>
    </w:p>
    <w:p>
      <w:pPr>
        <w:keepLines/>
        <w:widowControl/>
      </w:pPr>
      <w:r>
        <w:rPr>
          <w:b/>
          <w:color w:val="9D3628"/>
        </w:rPr>
        <w:t xml:space="preserve">OBJECT; REPLACE. </w:t>
      </w:r>
      <w:r>
        <w:t>The instruction adds “novel.” The summary-judgment order expressly holds that GTSA protection does not require novelty or an advance over prior art. It also should track the statutory elements, including the information not being commonly known or available to the public, economic value from secrecy/not being readily ascertainable by proper means, and reasonable efforts under the circumstances.</w:t>
      </w:r>
    </w:p>
    <w:p>
      <w:pPr>
        <w:keepLines/>
        <w:widowControl/>
        <w:ind w:left="259" w:right="173"/>
      </w:pPr>
      <w:r>
        <w:rPr>
          <w:b/>
        </w:rPr>
        <w:t xml:space="preserve">Requested revision: </w:t>
      </w:r>
      <w:r>
        <w:t>Use the statutory definition and state: “Novelty is not required.” Do not impose any additional novelty, originality, or patentability test.</w:t>
      </w:r>
    </w:p>
    <w:p>
      <w:pPr>
        <w:pStyle w:val="Heading3"/>
        <w:keepNext/>
        <w:widowControl/>
      </w:pPr>
      <w:r>
        <w:t>No. 13 — Reasonable measures.</w:t>
      </w:r>
    </w:p>
    <w:p>
      <w:pPr>
        <w:keepLines/>
        <w:widowControl/>
      </w:pPr>
      <w:r>
        <w:rPr>
          <w:b/>
          <w:color w:val="9D3628"/>
        </w:rPr>
        <w:t xml:space="preserve">REFINE, NOT STRIKE. </w:t>
      </w:r>
      <w:r>
        <w:t>The order treats reasonableness as a fact question under the totality of circumstances, including the information’s nature, the business’s size/sophistication, and measures taken. The proposed charge lists possible controls but may invite an isolated checklist or a binary “adequacy” test. The Court has ruled the security-practices evidence is admissible.</w:t>
      </w:r>
    </w:p>
    <w:p>
      <w:pPr>
        <w:keepLines/>
        <w:widowControl/>
        <w:ind w:left="259" w:right="173"/>
      </w:pPr>
      <w:r>
        <w:rPr>
          <w:b/>
        </w:rPr>
        <w:t xml:space="preserve">Requested revision: </w:t>
      </w:r>
      <w:r>
        <w:t>Tell jurors to consider all circumstances for each surviving category; no particular security measure is mandatory. The plaintiff retains the burden on this trade-secret element.</w:t>
      </w:r>
    </w:p>
    <w:p>
      <w:pPr>
        <w:pStyle w:val="Heading3"/>
        <w:keepNext/>
        <w:widowControl/>
      </w:pPr>
      <w:r>
        <w:t>No. 14 — Categories of alleged trade secrets.</w:t>
      </w:r>
    </w:p>
    <w:p>
      <w:pPr>
        <w:keepLines/>
        <w:widowControl/>
      </w:pPr>
      <w:r>
        <w:rPr>
          <w:b/>
          <w:color w:val="9D3628"/>
        </w:rPr>
        <w:t xml:space="preserve">OBJECT TO CATEGORY (7); REVISE THE LIST. </w:t>
      </w:r>
      <w:r>
        <w:t>The Court dismissed SignalSift with prejudice and the February 10 minutes specifically direct the parties to govern themselves accordingly. The jury must not decide whether SignalSift is a trade secret. Categories 1–6 should be evaluated individually.</w:t>
      </w:r>
    </w:p>
    <w:p>
      <w:pPr>
        <w:keepLines/>
        <w:widowControl/>
        <w:ind w:left="259" w:right="173"/>
      </w:pPr>
      <w:r>
        <w:rPr>
          <w:b/>
        </w:rPr>
        <w:t xml:space="preserve">Requested revision: </w:t>
      </w:r>
      <w:r>
        <w:t>Delete SignalSift entirely and renumber or clearly label the six surviving categories. Ensure no verdict question or contract instruction indirectly revives SignalSift as a trade-secret claim.</w:t>
      </w:r>
    </w:p>
    <w:p>
      <w:pPr>
        <w:pStyle w:val="Heading3"/>
        <w:keepNext/>
        <w:widowControl/>
      </w:pPr>
      <w:r>
        <w:t>No. 15 — “Readily ascertainable.”</w:t>
      </w:r>
    </w:p>
    <w:p>
      <w:pPr>
        <w:keepLines/>
        <w:widowControl/>
      </w:pPr>
      <w:r>
        <w:rPr>
          <w:b/>
          <w:color w:val="9D3628"/>
        </w:rPr>
        <w:t xml:space="preserve">OBJECT TO THE “COULD HAVE BEEN OBTAINED” STANDARD. </w:t>
      </w:r>
      <w:r>
        <w:t>The statutory inquiry is whether information is readily ascertainable by proper means, not whether it could theoretically be discovered by some lawful process. The instruction’s “may consider”/“one factor” formulation risks making a required definitional limitation optional. Reverse engineering and independent development may be proper means, but mere possibility is not the test.</w:t>
      </w:r>
    </w:p>
    <w:p>
      <w:pPr>
        <w:keepLines/>
        <w:widowControl/>
        <w:ind w:left="259" w:right="173"/>
      </w:pPr>
      <w:r>
        <w:rPr>
          <w:b/>
        </w:rPr>
        <w:t xml:space="preserve">Requested revision: </w:t>
      </w:r>
      <w:r>
        <w:t>Track the statute: assess whether the information was readily ascertainable by proper means to persons able to obtain economic value from it, on the evidence and circumstances. Do not require actual secrecy against every hypothetical means of discovery.</w:t>
      </w:r>
    </w:p>
    <w:p>
      <w:pPr>
        <w:pStyle w:val="Heading3"/>
        <w:keepNext/>
        <w:widowControl/>
      </w:pPr>
      <w:r>
        <w:t>No. 16 — Definition of misappropriation.</w:t>
      </w:r>
    </w:p>
    <w:p>
      <w:pPr>
        <w:keepLines/>
        <w:widowControl/>
      </w:pPr>
      <w:r>
        <w:rPr>
          <w:b/>
          <w:color w:val="9D3628"/>
        </w:rPr>
        <w:t xml:space="preserve">OBJECT; REPLACE WITH THE STATUTORY ROUTES. </w:t>
      </w:r>
      <w:r>
        <w:t>This instruction largely defines only wrongful acquisition and requires proof that a defendant acquired information through improper means or knew it had been so acquired. The Court expressly explains that misappropriation also includes unauthorized disclosure or use where the defendant used improper means or knew/reasonably should have known the information was acquired under circumstances giving rise to a duty to maintain secrecy or limit use. The agreement claim and the evidence concern use as well as transfer.</w:t>
      </w:r>
    </w:p>
    <w:p>
      <w:pPr>
        <w:keepLines/>
        <w:widowControl/>
        <w:ind w:left="259" w:right="173"/>
      </w:pPr>
      <w:r>
        <w:rPr>
          <w:b/>
        </w:rPr>
        <w:t xml:space="preserve">Requested revision: </w:t>
      </w:r>
      <w:r>
        <w:t>Set out both acquisition and unauthorized use/disclosure routes from O.C.G.A. § 10-1-761(2), including the relevant knowledge/duty language. Do not make improper acquisition the exclusive path to GTSA liability.</w:t>
      </w:r>
    </w:p>
    <w:p>
      <w:pPr>
        <w:pStyle w:val="Heading3"/>
        <w:keepNext/>
        <w:widowControl/>
      </w:pPr>
      <w:r>
        <w:t>No. 17 — Improper means.</w:t>
      </w:r>
    </w:p>
    <w:p>
      <w:pPr>
        <w:keepLines/>
        <w:widowControl/>
      </w:pPr>
      <w:r>
        <w:rPr>
          <w:b/>
          <w:color w:val="9D3628"/>
        </w:rPr>
        <w:t xml:space="preserve">CONFORM TO NO. 16. </w:t>
      </w:r>
      <w:r>
        <w:t>The examples—misrepresentation, breach/inducement of a secrecy duty, theft, bribery, and espionage—are generally consistent with the statutory definition. Standing alone, however, this instruction reinforces the erroneous impression that every misappropriation claim requires proof of improper acquisition.</w:t>
      </w:r>
    </w:p>
    <w:p>
      <w:pPr>
        <w:keepLines/>
        <w:widowControl/>
        <w:ind w:left="259" w:right="173"/>
      </w:pPr>
      <w:r>
        <w:rPr>
          <w:b/>
        </w:rPr>
        <w:t xml:space="preserve">Requested revision: </w:t>
      </w:r>
      <w:r>
        <w:t>Retain only as a definition cross-referenced to the acquisition route in the complete misappropriation instruction; expressly preserve liability for unauthorized use/disclosure under a secrecy duty.</w:t>
      </w:r>
    </w:p>
    <w:p>
      <w:pPr>
        <w:pStyle w:val="Heading3"/>
        <w:keepNext/>
        <w:widowControl/>
      </w:pPr>
      <w:r>
        <w:t>No. 18 — Independent development.</w:t>
      </w:r>
    </w:p>
    <w:p>
      <w:pPr>
        <w:keepLines/>
        <w:widowControl/>
      </w:pPr>
      <w:r>
        <w:rPr>
          <w:b/>
          <w:color w:val="9D3628"/>
        </w:rPr>
        <w:t xml:space="preserve">NARROW AND CLARIFY BURDEN. </w:t>
      </w:r>
      <w:r>
        <w:t>Independent development is a proper means and is among the defenses defendants identified at the pretrial conference. But “any feature or capability” should not become a complete defense to all six categories or all uses. The Court has not resolved the allocation for every asserted “affirmative defense”; the pretrial minutes reserve burden framing for the charge conference.</w:t>
      </w:r>
    </w:p>
    <w:p>
      <w:pPr>
        <w:keepLines/>
        <w:widowControl/>
        <w:ind w:left="259" w:right="173"/>
      </w:pPr>
      <w:r>
        <w:rPr>
          <w:b/>
        </w:rPr>
        <w:t xml:space="preserve">Requested revision: </w:t>
      </w:r>
      <w:r>
        <w:t>Limit the proposition to the particular information/feature the jury finds was independently developed, without reliance on the plaintiff’s claimed secret. Do not shift the plaintiff’s burden on the elements of misappropriation or imply that development of one feature defeats liability as to other information.</w:t>
      </w:r>
    </w:p>
    <w:p>
      <w:pPr>
        <w:pStyle w:val="Heading3"/>
        <w:keepNext/>
        <w:widowControl/>
      </w:pPr>
      <w:r>
        <w:t>No. 19 — General knowledge, skill, and experience.</w:t>
      </w:r>
    </w:p>
    <w:p>
      <w:pPr>
        <w:keepLines/>
        <w:widowControl/>
      </w:pPr>
      <w:r>
        <w:rPr>
          <w:b/>
          <w:color w:val="9D3628"/>
        </w:rPr>
        <w:t xml:space="preserve">ACCEPT ONLY WITH A LIMITING SENTENCE. </w:t>
      </w:r>
      <w:r>
        <w:t>The Court recognizes that general expertise is not the same as trade secrets and rejected the “inevitable disclosure” doctrine. But the contract expressly reaches unauthorized use of Confidential Information, including intangible information retained in memory; the summary-judgment order held the contract claim is not limited to tangible materials. A broad “knowledge acquired during employment” instruction may erase that distinction.</w:t>
      </w:r>
    </w:p>
    <w:p>
      <w:pPr>
        <w:keepLines/>
        <w:widowControl/>
        <w:ind w:left="259" w:right="173"/>
      </w:pPr>
      <w:r>
        <w:rPr>
          <w:b/>
        </w:rPr>
        <w:t xml:space="preserve">Requested revision: </w:t>
      </w:r>
      <w:r>
        <w:t>Clarify that Voss may use general skills and experience, but this does not authorize use/disclosure of a proven trade secret or other Confidential Information covered by the contract.</w:t>
      </w:r>
    </w:p>
    <w:p>
      <w:pPr>
        <w:pStyle w:val="Heading3"/>
        <w:keepNext/>
        <w:widowControl/>
      </w:pPr>
      <w:r>
        <w:t>No. 20 — Combination of known elements.</w:t>
      </w:r>
    </w:p>
    <w:p>
      <w:pPr>
        <w:keepLines/>
        <w:widowControl/>
      </w:pPr>
      <w:r>
        <w:rPr>
          <w:b/>
          <w:color w:val="9D3628"/>
        </w:rPr>
        <w:t xml:space="preserve">OBJECT TO THE EXTRA “ADDED VALUE” REQUIREMENT. </w:t>
      </w:r>
      <w:r>
        <w:t>The first sentence is consistent with the Court’s treatment of compilations and combinations: public components may form a protectable secret when the specific combination meets the statutory test. The added requirement of “sufficient added value beyond its individual components” is not in the statute and risks an extra hurdle. The Court specifically held that the combined Apex architecture, datasets, pricing model, BridgeLink elements, and vendor-margin compilation present jury questions.</w:t>
      </w:r>
    </w:p>
    <w:p>
      <w:pPr>
        <w:keepLines/>
        <w:widowControl/>
        <w:ind w:left="259" w:right="173"/>
      </w:pPr>
      <w:r>
        <w:rPr>
          <w:b/>
        </w:rPr>
        <w:t xml:space="preserve">Requested revision: </w:t>
      </w:r>
      <w:r>
        <w:t>Use the statutory economic-value/secrecy test for the combination as a whole; do not impose a separate “added value” or novelty test.</w:t>
      </w:r>
    </w:p>
    <w:p>
      <w:pPr>
        <w:pStyle w:val="Heading3"/>
        <w:keepNext/>
        <w:widowControl/>
      </w:pPr>
      <w:r>
        <w:t>No. 21 — Spoliation/adverse inference.</w:t>
      </w:r>
    </w:p>
    <w:p>
      <w:pPr>
        <w:keepLines/>
        <w:widowControl/>
      </w:pPr>
      <w:r>
        <w:rPr>
          <w:b/>
          <w:color w:val="9D3628"/>
        </w:rPr>
        <w:t xml:space="preserve">OBJECT IN FULL; IT CONTRADICTS THE SANCTIONS ORDER. </w:t>
      </w:r>
      <w:r>
        <w:t>The September 5 order found intentional loss of 347 files after the preservation duty, found intent to deprive, and expressly authorized an instruction permitting the jury to infer the missing information was unfavorable to Dr. Voss. It also expressly prohibited an instruction purporting to bar adverse inferences. The February 10 minutes confirm that ruling remains in effect. No. 21 says the opposite and improperly refers to “either party.”</w:t>
      </w:r>
    </w:p>
    <w:p>
      <w:pPr>
        <w:keepLines/>
        <w:widowControl/>
        <w:ind w:left="259" w:right="173"/>
      </w:pPr>
      <w:r>
        <w:rPr>
          <w:b/>
        </w:rPr>
        <w:t xml:space="preserve">Requested revision: </w:t>
      </w:r>
      <w:r>
        <w:t>Replace with the court-authorized permissive inference, limited to information unfavorable to Dr. Voss. Do not require the inference, extend it automatically to Axial, or include dates until the Court resolves the chronology conflict.</w:t>
      </w:r>
    </w:p>
    <w:p>
      <w:pPr>
        <w:pStyle w:val="Heading3"/>
        <w:keepNext/>
        <w:widowControl/>
      </w:pPr>
      <w:r>
        <w:t>No. 22 — Use of trade secrets in new employment.</w:t>
      </w:r>
    </w:p>
    <w:p>
      <w:pPr>
        <w:keepLines/>
        <w:widowControl/>
      </w:pPr>
      <w:r>
        <w:rPr>
          <w:b/>
          <w:color w:val="9D3628"/>
        </w:rPr>
        <w:t xml:space="preserve">RETAIN THE NARROW “NOT BY ITSELF” POINT; FIX THE MISAPPROPRIATION TEST. </w:t>
      </w:r>
      <w:r>
        <w:t>The first paragraph’s point that similar skills/work alone do not establish liability is consistent with rejection of inevitable disclosure. But requiring proof of acquisition, use, or disclosure “through improper means” repeats No. 16’s omission of unauthorized use/disclosure under a known secrecy duty.</w:t>
      </w:r>
    </w:p>
    <w:p>
      <w:pPr>
        <w:keepLines/>
        <w:widowControl/>
        <w:ind w:left="259" w:right="173"/>
      </w:pPr>
      <w:r>
        <w:rPr>
          <w:b/>
        </w:rPr>
        <w:t xml:space="preserve">Requested revision: </w:t>
      </w:r>
      <w:r>
        <w:t>Say similarity/job change alone is insufficient, while stating the complete statutory routes for actual acquisition, use, or disclosure.</w:t>
      </w:r>
    </w:p>
    <w:p>
      <w:pPr>
        <w:pStyle w:val="Heading3"/>
        <w:keepNext/>
        <w:widowControl/>
      </w:pPr>
      <w:r>
        <w:t>No. 23 — Inevitable disclosure.</w:t>
      </w:r>
    </w:p>
    <w:p>
      <w:pPr>
        <w:keepLines/>
        <w:widowControl/>
      </w:pPr>
      <w:r>
        <w:rPr>
          <w:b/>
          <w:color w:val="9D3628"/>
        </w:rPr>
        <w:t xml:space="preserve">OBJECT TO THE SECOND PARAGRAPH. </w:t>
      </w:r>
      <w:r>
        <w:t>The first paragraph correctly says there is no standalone inevitable-disclosure doctrine. The second says Dr. Voss’s similar position “is not evidence” of misappropriation. That directly contradicts the summary-judgment order: job similarity is one permissible piece of circumstantial evidence when considered with the emails, Slack messages, deletions, launch timing, and technical similarities. The order rejects a presumption from competitive employment alone, not the evidentiary inference.</w:t>
      </w:r>
    </w:p>
    <w:p>
      <w:pPr>
        <w:keepLines/>
        <w:widowControl/>
        <w:ind w:left="259" w:right="173"/>
      </w:pPr>
      <w:r>
        <w:rPr>
          <w:b/>
        </w:rPr>
        <w:t xml:space="preserve">Requested revision: </w:t>
      </w:r>
      <w:r>
        <w:t>Use: “You may not find misappropriation solely because Dr. Voss took a similar position with a competitor. You may consider the nature/similarity of the positions together with all other evidence in deciding whether actual acquisition, use, or disclosure occurred.”</w:t>
      </w:r>
    </w:p>
    <w:p>
      <w:pPr>
        <w:pStyle w:val="Heading3"/>
        <w:widowControl/>
      </w:pPr>
      <w:r>
        <w:t>Core proposed replacement language</w:t>
      </w:r>
    </w:p>
    <w:p>
      <w:pPr>
        <w:widowControl/>
      </w:pPr>
      <w:r>
        <w:t>Trade-secret definition / combination. “A trade secret is information, regardless of form, that is not commonly known by or available to the public, derives actual or potential independent economic value from not being generally known or readily ascertainable by proper means by persons who can obtain economic value from its disclosure or use, and is the subject of efforts reasonable under the circumstances to maintain its secrecy. Novelty is not required. A claimed trade secret may be a combination or compilation of elements that are individually known, if the combination or compilation satisfies this statutory definition. Consider each of the six remaining categories separately.”</w:t>
      </w:r>
    </w:p>
    <w:p>
      <w:pPr>
        <w:widowControl/>
      </w:pPr>
      <w:r>
        <w:t>Misappropriation. “Misappropriation includes (1) acquisition of another’s trade secret by a person who knows or has reason to know it was acquired by improper means; and (2) disclosure or use of another’s trade secret without express or implied consent in circumstances covered by the statute, including where the person used improper means to acquire the information or knew or had reason to know the information was acquired under circumstances imposing a duty to maintain its secrecy or limit its use. The plaintiff must prove a protectable trade secret, misappropriation by the defendant, and resulting damages.” The Court should settle the precise statutory wording and burdens at the charge conference.</w:t>
      </w:r>
    </w:p>
    <w:p>
      <w:pPr>
        <w:widowControl/>
      </w:pPr>
      <w:r>
        <w:t>Inevitable disclosure/job similarity. “Georgia law does not permit liability based solely on the theory that a former employee’s new position would inevitably lead to use or disclosure of a former employer’s information. The fact and nature of Dr. Voss’s employment at Axial are not, standing alone, proof of misappropriation. You may consider that evidence together with all other evidence in deciding whether actual misappropriation occurred.”</w:t>
      </w:r>
    </w:p>
    <w:p>
      <w:pPr>
        <w:widowControl/>
      </w:pPr>
      <w:r>
        <w:t>Spoliation. “The Court has found that Dr. Voss deleted 347 files from his personal cloud account after he was required to preserve relevant information and that he acted with intent to deprive Oakvale of their use in this litigation. You may, but are not required to, infer that the deleted files contained information unfavorable to Dr. Voss. This inference is for you to consider with all the other evidence.” Confirm the party name and exact formulation with the Court.</w:t>
      </w:r>
    </w:p>
    <w:p>
      <w:pPr>
        <w:pStyle w:val="Heading2"/>
        <w:widowControl/>
      </w:pPr>
      <w:r>
        <w:t>C. Contract and tort instructions (Nos. 24–29)</w:t>
      </w:r>
    </w:p>
    <w:p>
      <w:pPr>
        <w:pStyle w:val="Heading3"/>
        <w:keepNext/>
        <w:widowControl/>
      </w:pPr>
      <w:r>
        <w:t>No. 24 — Elements of breach of contract.</w:t>
      </w:r>
    </w:p>
    <w:p>
      <w:pPr>
        <w:keepLines/>
        <w:widowControl/>
      </w:pPr>
      <w:r>
        <w:rPr>
          <w:b/>
          <w:color w:val="9D3628"/>
        </w:rPr>
        <w:t xml:space="preserve">CONFORM TO THE COURT’S FINDINGS; VERIFY THE STIPULATION. </w:t>
      </w:r>
      <w:r>
        <w:t>The order treats the existence of the Employment Agreement as undisputed, and the tortious-interference discussion calls it a valid contract. The supplied minutes do not record a formal stipulation. The instruction also should use the verified agreement version/numbering.</w:t>
      </w:r>
    </w:p>
    <w:p>
      <w:pPr>
        <w:keepLines/>
        <w:widowControl/>
        <w:ind w:left="259" w:right="173"/>
      </w:pPr>
      <w:r>
        <w:rPr>
          <w:b/>
        </w:rPr>
        <w:t xml:space="preserve">Requested revision: </w:t>
      </w:r>
      <w:r>
        <w:t>If the Court treats validity/existence as established, say it is established by the undisputed record rather than “stipulated” unless a stipulation exists. The jury decides breach, causation, and damages.</w:t>
      </w:r>
    </w:p>
    <w:p>
      <w:pPr>
        <w:pStyle w:val="Heading3"/>
        <w:keepNext/>
        <w:widowControl/>
      </w:pPr>
      <w:r>
        <w:t>No. 25 — Breach of confidentiality provision.</w:t>
      </w:r>
    </w:p>
    <w:p>
      <w:pPr>
        <w:keepLines/>
        <w:widowControl/>
      </w:pPr>
      <w:r>
        <w:rPr>
          <w:b/>
          <w:color w:val="9D3628"/>
        </w:rPr>
        <w:t xml:space="preserve">OBJECT IN FULL; IT IMPROPERLY NARROWS THE SURVIVING CLAIM. </w:t>
      </w:r>
      <w:r>
        <w:t>The order describes a broad prohibition on use or disclosure of Confidential Information in tangible or intangible form, expressly including information retained in memory, and rejects the argument that only documents physically transferred can support breach. No. 25 requires disclosure of “specific documents” to Axial/third parties and adds “material breach,” neither of which the order identifies as a required element. It omits unauthorized use.</w:t>
      </w:r>
    </w:p>
    <w:p>
      <w:pPr>
        <w:keepLines/>
        <w:widowControl/>
        <w:ind w:left="259" w:right="173"/>
      </w:pPr>
      <w:r>
        <w:rPr>
          <w:b/>
        </w:rPr>
        <w:t xml:space="preserve">Requested revision: </w:t>
      </w:r>
      <w:r>
        <w:t>Instruct on unauthorized use or disclosure of covered Confidential Information, whether tangible or intangible and whether or not embodied in a transferred document, followed by causation and damages. Do not require proof of a statutory trade secret for the contract claim; do not use this instruction to revive SignalSift or any dismissed theory.</w:t>
      </w:r>
    </w:p>
    <w:p>
      <w:pPr>
        <w:pStyle w:val="Heading3"/>
        <w:keepNext/>
        <w:widowControl/>
      </w:pPr>
      <w:r>
        <w:t>No. 26 — Contract damages.</w:t>
      </w:r>
    </w:p>
    <w:p>
      <w:pPr>
        <w:keepLines/>
        <w:widowControl/>
      </w:pPr>
      <w:r>
        <w:rPr>
          <w:b/>
          <w:color w:val="9D3628"/>
        </w:rPr>
        <w:t xml:space="preserve">GENERALLY ACCEPTABLE, SUBJECT TO ANTI-DUPLICATION. </w:t>
      </w:r>
      <w:r>
        <w:t>The reasonable-compensation/reasonable-certainty formulation is not inconsistent with the supplied orders. But the same economic injury may also be claimed under the GTSA or interference claim; separate instructions must prevent multiple recovery for the same loss.</w:t>
      </w:r>
    </w:p>
    <w:p>
      <w:pPr>
        <w:keepLines/>
        <w:widowControl/>
        <w:ind w:left="259" w:right="173"/>
      </w:pPr>
      <w:r>
        <w:rPr>
          <w:b/>
        </w:rPr>
        <w:t xml:space="preserve">Requested revision: </w:t>
      </w:r>
      <w:r>
        <w:t>Make clear that damages under different legal theories may not compensate the same injury more than once. Do not exclude contract loss simply because it is not a GTSA trade secret, if it is otherwise within the surviving claim and evidence.</w:t>
      </w:r>
    </w:p>
    <w:p>
      <w:pPr>
        <w:pStyle w:val="Heading3"/>
        <w:keepNext/>
        <w:widowControl/>
      </w:pPr>
      <w:r>
        <w:t>No. 27 — Tortious interference with contract.</w:t>
      </w:r>
    </w:p>
    <w:p>
      <w:pPr>
        <w:keepLines/>
        <w:widowControl/>
      </w:pPr>
      <w:r>
        <w:rPr>
          <w:b/>
          <w:color w:val="9D3628"/>
        </w:rPr>
        <w:t xml:space="preserve">OBJECT; USE THE FOUR ELEMENTS ALREADY SET OUT BY THE COURT. </w:t>
      </w:r>
      <w:r>
        <w:t>The January 12 order states the Georgia elements as: valid contract; defendant’s knowledge; intentional inducement of the third party to breach; and resulting damages. No. 27 adds an “independently wrongful act, separate from the interference itself” and a separate purpose element. The Court denied summary judgment on this claim using its four-element formulation, and found Axial’s knowledge and Slack communications create jury questions.</w:t>
      </w:r>
    </w:p>
    <w:p>
      <w:pPr>
        <w:keepLines/>
        <w:widowControl/>
        <w:ind w:left="259" w:right="173"/>
      </w:pPr>
      <w:r>
        <w:rPr>
          <w:b/>
        </w:rPr>
        <w:t xml:space="preserve">Requested revision: </w:t>
      </w:r>
      <w:r>
        <w:t>Track the Court’s four elements. Do not add an independent-wrongful-act prerequisite. The interference claim is against Axial only and concerns inducement of breach of the confidentiality obligation.</w:t>
      </w:r>
    </w:p>
    <w:p>
      <w:pPr>
        <w:pStyle w:val="Heading3"/>
        <w:keepNext/>
        <w:widowControl/>
      </w:pPr>
      <w:r>
        <w:t>No. 28 — Causation.</w:t>
      </w:r>
    </w:p>
    <w:p>
      <w:pPr>
        <w:keepLines/>
        <w:widowControl/>
      </w:pPr>
      <w:r>
        <w:rPr>
          <w:b/>
          <w:color w:val="9D3628"/>
        </w:rPr>
        <w:t xml:space="preserve">REFINE TO AVOID A SINGLE-CAUSE OR DIRECT-PROOF REQUIREMENT. </w:t>
      </w:r>
      <w:r>
        <w:t>The instruction’s general proximate-cause concept may be useful, but its “without which” language and “would have occurred regardless” sentence could be read to exclude concurrent causes or circumstantial proof. The Court held the damages experts’ competing causation assumptions go to weight and left the customer attribution dispute for the jury.</w:t>
      </w:r>
    </w:p>
    <w:p>
      <w:pPr>
        <w:keepLines/>
        <w:widowControl/>
        <w:ind w:left="259" w:right="173"/>
      </w:pPr>
      <w:r>
        <w:rPr>
          <w:b/>
        </w:rPr>
        <w:t xml:space="preserve">Requested revision: </w:t>
      </w:r>
      <w:r>
        <w:t>Retain a neutral causation instruction recognizing that there may be more than one proximate cause. Make clear causation may be inferred from all admissible direct and circumstantial evidence; no customer must expressly identify a trade secret as the reason for switching.</w:t>
      </w:r>
    </w:p>
    <w:p>
      <w:pPr>
        <w:pStyle w:val="Heading3"/>
        <w:keepNext/>
        <w:widowControl/>
      </w:pPr>
      <w:r>
        <w:t>No. 29 — Failure to enforce/apportionment.</w:t>
      </w:r>
    </w:p>
    <w:p>
      <w:pPr>
        <w:keepLines/>
        <w:widowControl/>
      </w:pPr>
      <w:r>
        <w:rPr>
          <w:b/>
          <w:color w:val="9D3628"/>
        </w:rPr>
        <w:t xml:space="preserve">OBJECT; REQUEST STRIKING THE ENTIRE INSTRUCTION. </w:t>
      </w:r>
      <w:r>
        <w:t>The February 10 minutes record an unconditional withdrawal of the Fifteenth Affirmative Defense (failure to mitigate) and expressly state defendants may not raise it at any stage, including proposed instructions or closing. Recasting it as “failure to enforce,” “delay,” “reasonable diligence,” or a proportional reduction is the same forbidden mitigation theory. The instruction also cites a statute not identified by the Court as applicable to these contract/GTSA claims.</w:t>
      </w:r>
    </w:p>
    <w:p>
      <w:pPr>
        <w:keepLines/>
        <w:widowControl/>
        <w:ind w:left="259" w:right="173"/>
      </w:pPr>
      <w:r>
        <w:rPr>
          <w:b/>
        </w:rPr>
        <w:t xml:space="preserve">Requested revision: </w:t>
      </w:r>
      <w:r>
        <w:t>No substitute “delay” or apportionment instruction. The Court’s order controls.</w:t>
      </w:r>
    </w:p>
    <w:p>
      <w:pPr>
        <w:pStyle w:val="Heading2"/>
        <w:widowControl/>
      </w:pPr>
      <w:r>
        <w:t>D. Damages, experts, remedies, and verdict (Nos. 30–35)</w:t>
      </w:r>
    </w:p>
    <w:p>
      <w:pPr>
        <w:pStyle w:val="Heading3"/>
        <w:keepNext/>
        <w:widowControl/>
      </w:pPr>
      <w:r>
        <w:t>No. 30 — Lost profits and unjust enrichment.</w:t>
      </w:r>
    </w:p>
    <w:p>
      <w:pPr>
        <w:keepLines/>
        <w:widowControl/>
      </w:pPr>
      <w:r>
        <w:rPr>
          <w:b/>
          <w:color w:val="9D3628"/>
        </w:rPr>
        <w:t xml:space="preserve">OBJECT TO ELECTION, THEORY-SPECIFIC UNANIMITY, AND A CATEGORICAL BAN ON BOTH. </w:t>
      </w:r>
      <w:r>
        <w:t>The January 12 order denied exclusion of both damages measures and directed an instruction preventing double recovery: no award of both measures to the extent they compensate for the same injury. It did not order an election or hold that nonduplicative actual loss and unjust enrichment cannot both be awarded. The proposed charge adds unanimity on the damages theory without support in the supplied rulings. Conversely, do not tell the jury that the damages are definitely non-overlapping; the expert evidence and damages base remain disputed.</w:t>
      </w:r>
    </w:p>
    <w:p>
      <w:pPr>
        <w:keepLines/>
        <w:widowControl/>
        <w:ind w:left="259" w:right="173"/>
      </w:pPr>
      <w:r>
        <w:rPr>
          <w:b/>
        </w:rPr>
        <w:t xml:space="preserve">Requested revision: </w:t>
      </w:r>
      <w:r>
        <w:t>Instruct that GTSA damages may include actual loss and unjust enrichment caused by misappropriation, but unjust enrichment may be recovered only to the extent not taken into account in actual-loss damages, and no injury may be compensated twice. Let the jury assess the evidence and amounts. Obtain an express ruling before any theory-specific unanimity instruction.</w:t>
      </w:r>
    </w:p>
    <w:p>
      <w:pPr>
        <w:pStyle w:val="Heading3"/>
        <w:keepNext/>
        <w:widowControl/>
      </w:pPr>
      <w:r>
        <w:t>No. 31 — Expert witnesses.</w:t>
      </w:r>
    </w:p>
    <w:p>
      <w:pPr>
        <w:keepLines/>
        <w:widowControl/>
      </w:pPr>
      <w:r>
        <w:rPr>
          <w:b/>
          <w:color w:val="9D3628"/>
        </w:rPr>
        <w:t xml:space="preserve">OBJECT TO “PARTICULAR SKEPTICISM” OF DR. MARCHETTI. </w:t>
      </w:r>
      <w:r>
        <w:t>The instruction singles out the plaintiff’s paid expert for particular skepticism while mentioning compensation of any expert only as one credibility factor. The Court denied the Daubert motion to exclude Marchetti; it held challenges to assumptions go to weight and identified cross-examination, contrary evidence, and careful burden instructions as appropriate. The charge should not appear to prejudge her credibility or endorse either expert.</w:t>
      </w:r>
    </w:p>
    <w:p>
      <w:pPr>
        <w:keepLines/>
        <w:widowControl/>
        <w:ind w:left="259" w:right="173"/>
      </w:pPr>
      <w:r>
        <w:rPr>
          <w:b/>
        </w:rPr>
        <w:t xml:space="preserve">Requested revision: </w:t>
      </w:r>
      <w:r>
        <w:t>Give one neutral standard for every expert: consider qualifications, basis, data, reasoning, compensation, and other credibility factors; no expert receives a presumption or special skepticism.</w:t>
      </w:r>
    </w:p>
    <w:p>
      <w:pPr>
        <w:pStyle w:val="Heading3"/>
        <w:keepNext/>
        <w:widowControl/>
      </w:pPr>
      <w:r>
        <w:t>No. 32 — Punitive damages.</w:t>
      </w:r>
    </w:p>
    <w:p>
      <w:pPr>
        <w:keepLines/>
        <w:widowControl/>
      </w:pPr>
      <w:r>
        <w:rPr>
          <w:b/>
          <w:color w:val="9D3628"/>
        </w:rPr>
        <w:t xml:space="preserve">OBJECT; SEEK A RULING BEFORE SUBMITTING ANY PUNITIVE CHARGE. </w:t>
      </w:r>
      <w:r>
        <w:t>The surviving statutory theory is exemplary damages for “willful and malicious misappropriation” under O.C.G.A. § 10-1-763(b). The summary-judgment order held the issue goes to the jury but did not adopt “actual fraud,” “specific intent to injure,” or a clear-and-convincing standard. The pretrial minutes expressly reserve the cap and statutory exceptions. No. 32 imports requirements from § 51-12-5.1 into the GTSA standard and does not state the statutory ceiling or require defendant-specific findings.</w:t>
      </w:r>
    </w:p>
    <w:p>
      <w:pPr>
        <w:keepLines/>
        <w:widowControl/>
        <w:ind w:left="259" w:right="173"/>
      </w:pPr>
      <w:r>
        <w:rPr>
          <w:b/>
        </w:rPr>
        <w:t xml:space="preserve">Requested revision: </w:t>
      </w:r>
      <w:r>
        <w:t>Ask the Court to determine the applicable burden, definition of willful and malicious, interaction with § 51-12-5.1(g), exceptions, and cap. Until that ruling, do not instruct on actual fraud/specific intent as prerequisites or on a cap. Any final charge should require a finding as to the defendant(s) whose misappropriation is found willful and malicious and follow the Court’s statutory-cap ruling.</w:t>
      </w:r>
    </w:p>
    <w:p>
      <w:pPr>
        <w:pStyle w:val="Heading3"/>
        <w:keepNext/>
        <w:widowControl/>
      </w:pPr>
      <w:r>
        <w:t>No. 33 — Nominal damages.</w:t>
      </w:r>
    </w:p>
    <w:p>
      <w:pPr>
        <w:keepLines/>
        <w:widowControl/>
      </w:pPr>
      <w:r>
        <w:rPr>
          <w:b/>
          <w:color w:val="9D3628"/>
        </w:rPr>
        <w:t xml:space="preserve">REQUEST CLARIFICATION OR DELETION. </w:t>
      </w:r>
      <w:r>
        <w:t>The orders do not decide whether nominal damages are available on each surviving claim. A blanket $1 award for liability “on any” claim may blur the GTSA’s statutory damage measures, tortious-interference damages, the contract claim, and the predicate for exemplary damages.</w:t>
      </w:r>
    </w:p>
    <w:p>
      <w:pPr>
        <w:keepLines/>
        <w:widowControl/>
        <w:ind w:left="259" w:right="173"/>
      </w:pPr>
      <w:r>
        <w:rPr>
          <w:b/>
        </w:rPr>
        <w:t xml:space="preserve">Requested revision: </w:t>
      </w:r>
      <w:r>
        <w:t>If retained, identify the specific claim(s) for which nominal damages are available under the Court’s ruling and make clear nominal damages do not supply a substitute for any statutory element or punitive-damages predicate the Court requires.</w:t>
      </w:r>
    </w:p>
    <w:p>
      <w:pPr>
        <w:pStyle w:val="Heading3"/>
        <w:keepNext/>
        <w:widowControl/>
      </w:pPr>
      <w:r>
        <w:t>No. 34 — Injunctive relief.</w:t>
      </w:r>
    </w:p>
    <w:p>
      <w:pPr>
        <w:keepLines/>
        <w:widowControl/>
      </w:pPr>
      <w:r>
        <w:rPr>
          <w:b/>
          <w:color w:val="9D3628"/>
        </w:rPr>
        <w:t xml:space="preserve">NO OBJECTION. </w:t>
      </w:r>
      <w:r>
        <w:t>The February 10 minutes expressly state that injunctive relief will be decided by the Court, separately from the jury verdict. The proposed instruction properly excludes it from jury deliberations.</w:t>
      </w:r>
    </w:p>
    <w:p>
      <w:pPr>
        <w:keepLines/>
        <w:widowControl/>
        <w:ind w:left="259" w:right="173"/>
      </w:pPr>
      <w:r>
        <w:rPr>
          <w:b/>
        </w:rPr>
        <w:t xml:space="preserve">Requested revision: </w:t>
      </w:r>
      <w:r>
        <w:t>Retain, subject to conforming party names and the Court’s preferred wording.</w:t>
      </w:r>
    </w:p>
    <w:p>
      <w:pPr>
        <w:pStyle w:val="Heading3"/>
        <w:keepNext/>
        <w:widowControl/>
      </w:pPr>
      <w:r>
        <w:t>No. 35 — Verdict-form instructions.</w:t>
      </w:r>
    </w:p>
    <w:p>
      <w:pPr>
        <w:keepLines/>
        <w:widowControl/>
      </w:pPr>
      <w:r>
        <w:rPr>
          <w:b/>
          <w:color w:val="9D3628"/>
        </w:rPr>
        <w:t xml:space="preserve">REVISE TO MATCH THE SURVIVING CLAIMS AND REQUIRED FINDINGS. </w:t>
      </w:r>
      <w:r>
        <w:t>The verdict must not submit dismissed SignalSift. GTSA liability must be considered by surviving category and defendant; the contract claim is Voss only; interference is Axial only. Punitive damages require a distinct statutory predicate, not simply any GTSA liability. A single compensatory-damages line after “any” claim risks duplicate awards and does not distinguish causation/amount by claim. Injunctive relief is not for the jury.</w:t>
      </w:r>
    </w:p>
    <w:p>
      <w:pPr>
        <w:keepLines/>
        <w:widowControl/>
        <w:ind w:left="259" w:right="173"/>
      </w:pPr>
      <w:r>
        <w:rPr>
          <w:b/>
        </w:rPr>
        <w:t xml:space="preserve">Requested revision: </w:t>
      </w:r>
      <w:r>
        <w:t>Use separate questions: (1) GTSA liability for each surviving category as to each defendant; (2) breach by Voss; (3) interference by Axial; (4) damages with sufficient allocation to prevent double recovery across claims and measures; (5) the Court-approved willful-and-malicious punitive finding/amount, if allowed. No SignalSift or injunction question.</w:t>
      </w:r>
    </w:p>
    <w:p>
      <w:pPr>
        <w:pStyle w:val="Heading1"/>
        <w:widowControl/>
      </w:pPr>
      <w:r>
        <w:t>III. Recommended objection package</w:t>
      </w:r>
    </w:p>
    <w:p>
      <w:pPr>
        <w:pStyle w:val="ListBullet"/>
        <w:widowControl/>
        <w:spacing w:after="40"/>
      </w:pPr>
      <w:r>
        <w:t>File specific objections to Nos. 12, 14–16, 20–21, 23, 25, 27, 29–32, and 35, citing the exact summary-judgment, sanctions, and pretrial rulings identified above. For each, tender replacement language or request striking the instruction.</w:t>
      </w:r>
    </w:p>
    <w:p>
      <w:pPr>
        <w:pStyle w:val="ListBullet"/>
        <w:widowControl/>
        <w:spacing w:after="40"/>
      </w:pPr>
      <w:r>
        <w:t>Object to Nos. 12, 15, 16, and 20 as statutory misstatements, and tender a single harmonized trade-secret/misappropriation charge rather than multiple overlapping instructions that could confuse the jury.</w:t>
      </w:r>
    </w:p>
    <w:p>
      <w:pPr>
        <w:pStyle w:val="ListBullet"/>
        <w:widowControl/>
        <w:spacing w:after="40"/>
      </w:pPr>
      <w:r>
        <w:t>At the charge conference, ask the Court to resolve the plaintiff-name and contract-version discrepancies, the spoliation chronology, claim-specific burdens/affirmative-defense allocation, GTSA damages and anti-duplication, the punitive standard/cap, and nominal damages.</w:t>
      </w:r>
    </w:p>
    <w:p>
      <w:pPr>
        <w:pStyle w:val="ListBullet"/>
        <w:widowControl/>
        <w:spacing w:after="40"/>
      </w:pPr>
      <w:r>
        <w:t>Ensure the final verdict form maps each cause of action to the proper defendant and each GTSA category to a separate finding; it must exclude SignalSift and the equitable injunction request.</w:t>
      </w:r>
    </w:p>
    <w:p>
      <w:pPr>
        <w:pStyle w:val="Heading1"/>
        <w:widowControl/>
      </w:pPr>
      <w:r>
        <w:t>Record sources reviewed</w:t>
      </w:r>
    </w:p>
    <w:p>
      <w:pPr>
        <w:widowControl/>
      </w:pPr>
      <w:r>
        <w:t>Key pinpoints: Summary-Judgment Order §§ IV.B.1–3 (GTSA definition, surviving categories, SignalSift), IV.C (inevitable disclosure), IV.D (contract), IV.E (interference), IV.F.1–2 (experts), and IV.G (punitive damages); Sanctions Order §§ III–V and VI ¶¶ 2–4; Pretrial Minutes §§ III–V, VII–VIII. Documents reviewed: Defendants’ Proposed Jury Instructions (March 28, 2025); Order on Cross-Motions for Summary Judgment (January 12, 2025); Minutes of Pretrial Conference (February 10, 2025); Order on Plaintiff’s Motion for Sanctions for Spoliation (September 5, 2024); supplied Employment Agreement (March 14, 2016); Plaintiff’s Trial Brief on Damages (excerpt).</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Internal draft for objections and charge conference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A6470"/>
        <w:sz w:val="16"/>
      </w:rPr>
      <w:t>JURY INSTRUCTIONS  |  ISSUE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23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eastAsia="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Jury Instruction Issues Memorandum</dc:title>
  <dc:subject>Review of defense proposed jury instructions against prior orders and case documents</dc:subject>
  <dc:creator>Trial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