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PRIVILEGED &amp; CONFIDENTIAL — ATTORNEY WORK PRODUCT</w:t>
      </w:r>
    </w:p>
    <w:p>
      <w:pPr>
        <w:jc w:val="center"/>
      </w:pPr>
      <w:r>
        <w:rPr>
          <w:b/>
          <w:i w:val="0"/>
        </w:rPr>
        <w:t>MEMORANDUM</w:t>
      </w:r>
    </w:p>
    <w:tbl>
      <w:tblPr>
        <w:tblStyle w:val="TableGrid"/>
        <w:tblW w:type="auto" w:w="0"/>
        <w:tblLook w:firstColumn="1" w:firstRow="1" w:lastColumn="0" w:lastRow="0" w:noHBand="0" w:noVBand="1" w:val="04A0"/>
      </w:tblPr>
      <w:tblGrid>
        <w:gridCol w:w="4680"/>
        <w:gridCol w:w="4680"/>
      </w:tblGrid>
      <w:tr>
        <w:tc>
          <w:tcPr>
            <w:tcW w:type="dxa" w:w="1440"/>
            <w:shd w:val="clear" w:fill="D9E2F3"/>
          </w:tcPr>
          <w:p>
            <w:r/>
            <w:r>
              <w:rPr>
                <w:b/>
                <w:sz w:val="19"/>
              </w:rPr>
              <w:t>TO:</w:t>
            </w:r>
          </w:p>
        </w:tc>
        <w:tc>
          <w:tcPr>
            <w:tcW w:type="dxa" w:w="7920"/>
            <w:shd w:val="clear" w:fill="D9E2F3"/>
          </w:tcPr>
          <w:p>
            <w:r/>
            <w:r>
              <w:rPr>
                <w:b/>
                <w:sz w:val="19"/>
              </w:rPr>
              <w:t>Margaret Calloway / Jason Trieu — Trial Team, Counsel for Plaintiff</w:t>
            </w:r>
          </w:p>
        </w:tc>
      </w:tr>
      <w:tr>
        <w:tc>
          <w:tcPr>
            <w:tcW w:type="dxa" w:w="1440"/>
          </w:tcPr>
          <w:p>
            <w:r/>
            <w:r>
              <w:rPr>
                <w:b w:val="0"/>
                <w:sz w:val="19"/>
              </w:rPr>
              <w:t>FROM:</w:t>
            </w:r>
          </w:p>
        </w:tc>
        <w:tc>
          <w:tcPr>
            <w:tcW w:type="dxa" w:w="7920"/>
          </w:tcPr>
          <w:p>
            <w:r/>
            <w:r>
              <w:rPr>
                <w:b w:val="0"/>
                <w:sz w:val="19"/>
              </w:rPr>
              <w:t>[Reviewer]</w:t>
            </w:r>
          </w:p>
        </w:tc>
      </w:tr>
      <w:tr>
        <w:tc>
          <w:tcPr>
            <w:tcW w:type="dxa" w:w="1440"/>
          </w:tcPr>
          <w:p>
            <w:r/>
            <w:r>
              <w:rPr>
                <w:b w:val="0"/>
                <w:sz w:val="19"/>
              </w:rPr>
              <w:t>DATE:</w:t>
            </w:r>
          </w:p>
        </w:tc>
        <w:tc>
          <w:tcPr>
            <w:tcW w:type="dxa" w:w="7920"/>
          </w:tcPr>
          <w:p>
            <w:r/>
            <w:r>
              <w:rPr>
                <w:b w:val="0"/>
                <w:sz w:val="19"/>
              </w:rPr>
              <w:t>[Insert] (objections due April 7, 2025)</w:t>
            </w:r>
          </w:p>
        </w:tc>
      </w:tr>
      <w:tr>
        <w:tc>
          <w:tcPr>
            <w:tcW w:type="dxa" w:w="1440"/>
          </w:tcPr>
          <w:p>
            <w:r/>
            <w:r>
              <w:rPr>
                <w:b w:val="0"/>
                <w:sz w:val="19"/>
              </w:rPr>
              <w:t>RE:</w:t>
            </w:r>
          </w:p>
        </w:tc>
        <w:tc>
          <w:tcPr>
            <w:tcW w:type="dxa" w:w="7920"/>
          </w:tcPr>
          <w:p>
            <w:r/>
            <w:r>
              <w:rPr>
                <w:b w:val="0"/>
                <w:sz w:val="19"/>
              </w:rPr>
              <w:t>Oakvale/Ridgemont Technologies, Inc. v. Voss &amp; Axial Systems Corp., No. 1:23-cv-01847-CME (N.D. Ga.) — Issues in Defendants' Proposed Jury Instructions (filed March 28, 2025)</w:t>
            </w:r>
          </w:p>
        </w:tc>
      </w:tr>
    </w:tbl>
    <w:p/>
    <w:p>
      <w:pPr>
        <w:pStyle w:val="Heading1"/>
      </w:pPr>
      <w:r>
        <w:t>I. Summary and Bottom Line</w:t>
      </w:r>
    </w:p>
    <w:p>
      <w:r>
        <w:rPr>
          <w:b w:val="0"/>
          <w:i w:val="0"/>
        </w:rPr>
        <w:t xml:space="preserve">I checked all 35 of Defendants' Proposed Jury Instructions against (a) the Order on Cross-Motions for Summary Judgment (Jan. 12, 2025) ("SJ Order"); (b) the Order on Motion for Sanctions for Spoliation (Sept. 5, 2024) ("Sanctions Order"); (c) the Minutes of the Feb. 10, 2025 Pretrial Conference ("Minutes"); (d) the Voss Employment Agreement dated March 14, 2016 ("Agreement"); and (e) our Trial Brief on Damages (Mar. 14, 2025). Under the Minutes, objections must be filed by </w:t>
      </w:r>
      <w:r>
        <w:rPr>
          <w:b/>
          <w:i w:val="0"/>
        </w:rPr>
        <w:t>April 7, 2025</w:t>
      </w:r>
      <w:r>
        <w:rPr>
          <w:b w:val="0"/>
          <w:i w:val="0"/>
        </w:rPr>
        <w:t xml:space="preserve">. Each objection must name the instruction number, state the legal basis, and propose alternative language. The charge conference is </w:t>
      </w:r>
      <w:r>
        <w:rPr>
          <w:b/>
          <w:i w:val="0"/>
        </w:rPr>
        <w:t>April 14, 2025</w:t>
      </w:r>
      <w:r>
        <w:rPr>
          <w:b w:val="0"/>
          <w:i w:val="0"/>
        </w:rPr>
        <w:t>.</w:t>
      </w:r>
    </w:p>
    <w:p>
      <w:r>
        <w:rPr>
          <w:b w:val="0"/>
          <w:i w:val="0"/>
        </w:rPr>
      </w:r>
      <w:r>
        <w:rPr>
          <w:b/>
          <w:i w:val="0"/>
        </w:rPr>
        <w:t>Four instructions directly violate express court rulings.</w:t>
      </w:r>
      <w:r>
        <w:rPr>
          <w:b w:val="0"/>
          <w:i w:val="0"/>
        </w:rPr>
        <w:t xml:space="preserve"> We should object to each as barred by a prior order, not just as a misstatement of law:</w:t>
      </w:r>
    </w:p>
    <w:p>
      <w:pPr>
        <w:pStyle w:val="ListBullet"/>
      </w:pPr>
      <w:r>
        <w:rPr>
          <w:b w:val="0"/>
        </w:rPr>
      </w:r>
      <w:r>
        <w:rPr>
          <w:b/>
        </w:rPr>
        <w:t>No. 21 (Spoliation):</w:t>
      </w:r>
      <w:r>
        <w:rPr>
          <w:b w:val="0"/>
        </w:rPr>
        <w:t xml:space="preserve"> tells the jury it "may not draw any adverse inference." Paragraph 4 of the Sanctions Order expressly forbids any party from proposing that kind of instruction.</w:t>
      </w:r>
    </w:p>
    <w:p>
      <w:pPr>
        <w:pStyle w:val="ListBullet"/>
      </w:pPr>
      <w:r>
        <w:rPr>
          <w:b w:val="0"/>
        </w:rPr>
      </w:r>
      <w:r>
        <w:rPr>
          <w:b/>
        </w:rPr>
        <w:t>No. 29 (Failure to Enforce / Apportionment):</w:t>
      </w:r>
      <w:r>
        <w:rPr>
          <w:b w:val="0"/>
        </w:rPr>
        <w:t xml:space="preserve"> this is the failure-to-mitigate defense under a new label. Defendants withdrew that defense on February 10, and the Court barred raising it "in proposed jury instructions."</w:t>
      </w:r>
    </w:p>
    <w:p>
      <w:pPr>
        <w:pStyle w:val="ListBullet"/>
      </w:pPr>
      <w:r>
        <w:rPr>
          <w:b w:val="0"/>
        </w:rPr>
      </w:r>
      <w:r>
        <w:rPr>
          <w:b/>
        </w:rPr>
        <w:t>No. 14 (Identification of Trade Secrets):</w:t>
      </w:r>
      <w:r>
        <w:rPr>
          <w:b w:val="0"/>
        </w:rPr>
        <w:t xml:space="preserve"> asks the jury to decide SignalSift (category 7). The SJ Order dismissed that category with prejudice and said the jury "will not be asked to consider" it.</w:t>
      </w:r>
    </w:p>
    <w:p>
      <w:pPr>
        <w:pStyle w:val="ListBullet"/>
      </w:pPr>
      <w:r>
        <w:rPr>
          <w:b w:val="0"/>
        </w:rPr>
      </w:r>
      <w:r>
        <w:rPr>
          <w:b/>
        </w:rPr>
        <w:t>No. 23 (Inevitable Disclosure), second paragraph:</w:t>
      </w:r>
      <w:r>
        <w:rPr>
          <w:b w:val="0"/>
        </w:rPr>
        <w:t xml:space="preserve"> says job similarity "is not evidence of misappropriation." The SJ Order held the opposite: it is admissible circumstantial evidence.</w:t>
      </w:r>
    </w:p>
    <w:p>
      <w:r>
        <w:rPr>
          <w:b w:val="0"/>
          <w:i w:val="0"/>
        </w:rPr>
      </w:r>
      <w:r>
        <w:rPr>
          <w:b/>
          <w:i w:val="0"/>
        </w:rPr>
        <w:t>Several other instructions misstate the substantive law in ways that favor Defendants on key issues.</w:t>
      </w:r>
      <w:r>
        <w:rPr>
          <w:b w:val="0"/>
          <w:i w:val="0"/>
        </w:rPr>
        <w:t xml:space="preserve"> The most important are:</w:t>
      </w:r>
    </w:p>
    <w:p>
      <w:pPr>
        <w:pStyle w:val="ListBullet"/>
      </w:pPr>
      <w:r>
        <w:rPr>
          <w:b w:val="0"/>
        </w:rPr>
        <w:t>No. 16: defines misappropriation by acquisition only and leaves out the use/disclosure prong.</w:t>
      </w:r>
    </w:p>
    <w:p>
      <w:pPr>
        <w:pStyle w:val="ListBullet"/>
      </w:pPr>
      <w:r>
        <w:rPr>
          <w:b w:val="0"/>
        </w:rPr>
        <w:t>No. 25: requires disclosure of "specific documents," which conflicts with Agreement §4.2 and the SJ Order.</w:t>
      </w:r>
    </w:p>
    <w:p>
      <w:pPr>
        <w:pStyle w:val="ListBullet"/>
      </w:pPr>
      <w:r>
        <w:rPr>
          <w:b w:val="0"/>
        </w:rPr>
        <w:t>No. 30: forces the jury to choose between lost profits and unjust enrichment and requires unanimity on that choice.</w:t>
      </w:r>
    </w:p>
    <w:p>
      <w:pPr>
        <w:pStyle w:val="ListBullet"/>
      </w:pPr>
      <w:r>
        <w:rPr>
          <w:b w:val="0"/>
        </w:rPr>
        <w:t>No. 32: sets the punitive standard as actual fraud plus specific intent to injure.</w:t>
      </w:r>
    </w:p>
    <w:p>
      <w:pPr>
        <w:pStyle w:val="ListBullet"/>
      </w:pPr>
      <w:r>
        <w:rPr>
          <w:b w:val="0"/>
        </w:rPr>
        <w:t>No. 31: tells the jury to view Dr. Marchetti with "particular skepticism."</w:t>
      </w:r>
    </w:p>
    <w:p>
      <w:pPr>
        <w:pStyle w:val="ListBullet"/>
      </w:pPr>
      <w:r>
        <w:rPr>
          <w:b w:val="0"/>
        </w:rPr>
        <w:t>No. 12: adds a "novel" requirement.</w:t>
      </w:r>
    </w:p>
    <w:p>
      <w:pPr>
        <w:pStyle w:val="ListBullet"/>
      </w:pPr>
      <w:r>
        <w:rPr>
          <w:b w:val="0"/>
        </w:rPr>
        <w:t>No. 27: adds elements to tortious interference.</w:t>
      </w:r>
    </w:p>
    <w:p>
      <w:r>
        <w:rPr>
          <w:b w:val="0"/>
          <w:i w:val="0"/>
        </w:rPr>
      </w:r>
      <w:r>
        <w:rPr>
          <w:b/>
          <w:i w:val="0"/>
        </w:rPr>
        <w:t>We also found inconsistencies across the case documents, including our own filings.</w:t>
      </w:r>
      <w:r>
        <w:rPr>
          <w:b w:val="0"/>
          <w:i w:val="0"/>
        </w:rPr>
        <w:t xml:space="preserve"> These include the plaintiff's name, section numbering in the Agreement, spoliation dates, docket numbers, and several factual errors in our Trial Brief. They are collected in Part IV and should be fixed before we file objections or our own proposed instructions.</w:t>
      </w:r>
    </w:p>
    <w:p>
      <w:pPr>
        <w:pStyle w:val="Heading1"/>
      </w:pPr>
      <w:r>
        <w:t>II. Priority Summary Table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720"/>
            <w:shd w:val="clear" w:fill="D9E2F3"/>
          </w:tcPr>
          <w:p>
            <w:r/>
            <w:r>
              <w:rPr>
                <w:b/>
                <w:sz w:val="19"/>
              </w:rPr>
              <w:t>No.</w:t>
            </w:r>
          </w:p>
        </w:tc>
        <w:tc>
          <w:tcPr>
            <w:tcW w:type="dxa" w:w="1872"/>
            <w:shd w:val="clear" w:fill="D9E2F3"/>
          </w:tcPr>
          <w:p>
            <w:r/>
            <w:r>
              <w:rPr>
                <w:b/>
                <w:sz w:val="19"/>
              </w:rPr>
              <w:t>Instruction</w:t>
            </w:r>
          </w:p>
        </w:tc>
        <w:tc>
          <w:tcPr>
            <w:tcW w:type="dxa" w:w="2880"/>
            <w:shd w:val="clear" w:fill="D9E2F3"/>
          </w:tcPr>
          <w:p>
            <w:r/>
            <w:r>
              <w:rPr>
                <w:b/>
                <w:sz w:val="19"/>
              </w:rPr>
              <w:t>Issue</w:t>
            </w:r>
          </w:p>
        </w:tc>
        <w:tc>
          <w:tcPr>
            <w:tcW w:type="dxa" w:w="2736"/>
            <w:shd w:val="clear" w:fill="D9E2F3"/>
          </w:tcPr>
          <w:p>
            <w:r/>
            <w:r>
              <w:rPr>
                <w:b/>
                <w:sz w:val="19"/>
              </w:rPr>
              <w:t>Conflicting Authority</w:t>
            </w:r>
          </w:p>
        </w:tc>
        <w:tc>
          <w:tcPr>
            <w:tcW w:type="dxa" w:w="1152"/>
            <w:shd w:val="clear" w:fill="D9E2F3"/>
          </w:tcPr>
          <w:p>
            <w:r/>
            <w:r>
              <w:rPr>
                <w:b/>
                <w:sz w:val="19"/>
              </w:rPr>
              <w:t>Priority</w:t>
            </w:r>
          </w:p>
        </w:tc>
      </w:tr>
      <w:tr>
        <w:tc>
          <w:tcPr>
            <w:tcW w:type="dxa" w:w="720"/>
          </w:tcPr>
          <w:p>
            <w:r/>
            <w:r>
              <w:rPr>
                <w:b w:val="0"/>
                <w:sz w:val="19"/>
              </w:rPr>
              <w:t>21</w:t>
            </w:r>
          </w:p>
        </w:tc>
        <w:tc>
          <w:tcPr>
            <w:tcW w:type="dxa" w:w="1872"/>
          </w:tcPr>
          <w:p>
            <w:r/>
            <w:r>
              <w:rPr>
                <w:b w:val="0"/>
                <w:sz w:val="19"/>
              </w:rPr>
              <w:t>Spoliation / Adverse Inference</w:t>
            </w:r>
          </w:p>
        </w:tc>
        <w:tc>
          <w:tcPr>
            <w:tcW w:type="dxa" w:w="2880"/>
          </w:tcPr>
          <w:p>
            <w:r/>
            <w:r>
              <w:rPr>
                <w:b w:val="0"/>
                <w:sz w:val="19"/>
              </w:rPr>
              <w:t>Bars all adverse inferences; calls deletion "routine"</w:t>
            </w:r>
          </w:p>
        </w:tc>
        <w:tc>
          <w:tcPr>
            <w:tcW w:type="dxa" w:w="2736"/>
          </w:tcPr>
          <w:p>
            <w:r/>
            <w:r>
              <w:rPr>
                <w:b w:val="0"/>
                <w:sz w:val="19"/>
              </w:rPr>
              <w:t>Sanctions Order ¶4 &amp; §V.E; SJ Order §II.F n.1 &amp; ¶6; Minutes §V</w:t>
            </w:r>
          </w:p>
        </w:tc>
        <w:tc>
          <w:tcPr>
            <w:tcW w:type="dxa" w:w="1152"/>
          </w:tcPr>
          <w:p>
            <w:r/>
            <w:r>
              <w:rPr>
                <w:b w:val="0"/>
                <w:sz w:val="19"/>
              </w:rPr>
              <w:t>Critical</w:t>
            </w:r>
          </w:p>
        </w:tc>
      </w:tr>
      <w:tr>
        <w:tc>
          <w:tcPr>
            <w:tcW w:type="dxa" w:w="720"/>
          </w:tcPr>
          <w:p>
            <w:r/>
            <w:r>
              <w:rPr>
                <w:b w:val="0"/>
                <w:sz w:val="19"/>
              </w:rPr>
              <w:t>29</w:t>
            </w:r>
          </w:p>
        </w:tc>
        <w:tc>
          <w:tcPr>
            <w:tcW w:type="dxa" w:w="1872"/>
          </w:tcPr>
          <w:p>
            <w:r/>
            <w:r>
              <w:rPr>
                <w:b w:val="0"/>
                <w:sz w:val="19"/>
              </w:rPr>
              <w:t>Failure to Enforce / Apportionment</w:t>
            </w:r>
          </w:p>
        </w:tc>
        <w:tc>
          <w:tcPr>
            <w:tcW w:type="dxa" w:w="2880"/>
          </w:tcPr>
          <w:p>
            <w:r/>
            <w:r>
              <w:rPr>
                <w:b w:val="0"/>
                <w:sz w:val="19"/>
              </w:rPr>
              <w:t>Revives the withdrawn mitigation defense; proportional reduction</w:t>
            </w:r>
          </w:p>
        </w:tc>
        <w:tc>
          <w:tcPr>
            <w:tcW w:type="dxa" w:w="2736"/>
          </w:tcPr>
          <w:p>
            <w:r/>
            <w:r>
              <w:rPr>
                <w:b w:val="0"/>
                <w:sz w:val="19"/>
              </w:rPr>
              <w:t>Minutes §IV (15th Aff. Def. withdrawn; barred in instructions)</w:t>
            </w:r>
          </w:p>
        </w:tc>
        <w:tc>
          <w:tcPr>
            <w:tcW w:type="dxa" w:w="1152"/>
          </w:tcPr>
          <w:p>
            <w:r/>
            <w:r>
              <w:rPr>
                <w:b w:val="0"/>
                <w:sz w:val="19"/>
              </w:rPr>
              <w:t>Critical</w:t>
            </w:r>
          </w:p>
        </w:tc>
      </w:tr>
      <w:tr>
        <w:tc>
          <w:tcPr>
            <w:tcW w:type="dxa" w:w="720"/>
          </w:tcPr>
          <w:p>
            <w:r/>
            <w:r>
              <w:rPr>
                <w:b w:val="0"/>
                <w:sz w:val="19"/>
              </w:rPr>
              <w:t>14</w:t>
            </w:r>
          </w:p>
        </w:tc>
        <w:tc>
          <w:tcPr>
            <w:tcW w:type="dxa" w:w="1872"/>
          </w:tcPr>
          <w:p>
            <w:r/>
            <w:r>
              <w:rPr>
                <w:b w:val="0"/>
                <w:sz w:val="19"/>
              </w:rPr>
              <w:t>Identification of Trade Secrets</w:t>
            </w:r>
          </w:p>
        </w:tc>
        <w:tc>
          <w:tcPr>
            <w:tcW w:type="dxa" w:w="2880"/>
          </w:tcPr>
          <w:p>
            <w:r/>
            <w:r>
              <w:rPr>
                <w:b w:val="0"/>
                <w:sz w:val="19"/>
              </w:rPr>
              <w:t>Lists SignalSift (cat. 7)</w:t>
            </w:r>
          </w:p>
        </w:tc>
        <w:tc>
          <w:tcPr>
            <w:tcW w:type="dxa" w:w="2736"/>
          </w:tcPr>
          <w:p>
            <w:r/>
            <w:r>
              <w:rPr>
                <w:b w:val="0"/>
                <w:sz w:val="19"/>
              </w:rPr>
              <w:t>SJ Order §IV.B.3, ¶1; Minutes §III</w:t>
            </w:r>
          </w:p>
        </w:tc>
        <w:tc>
          <w:tcPr>
            <w:tcW w:type="dxa" w:w="1152"/>
          </w:tcPr>
          <w:p>
            <w:r/>
            <w:r>
              <w:rPr>
                <w:b w:val="0"/>
                <w:sz w:val="19"/>
              </w:rPr>
              <w:t>Critical</w:t>
            </w:r>
          </w:p>
        </w:tc>
      </w:tr>
      <w:tr>
        <w:tc>
          <w:tcPr>
            <w:tcW w:type="dxa" w:w="720"/>
          </w:tcPr>
          <w:p>
            <w:r/>
            <w:r>
              <w:rPr>
                <w:b w:val="0"/>
                <w:sz w:val="19"/>
              </w:rPr>
              <w:t>23</w:t>
            </w:r>
          </w:p>
        </w:tc>
        <w:tc>
          <w:tcPr>
            <w:tcW w:type="dxa" w:w="1872"/>
          </w:tcPr>
          <w:p>
            <w:r/>
            <w:r>
              <w:rPr>
                <w:b w:val="0"/>
                <w:sz w:val="19"/>
              </w:rPr>
              <w:t>Inevitable Disclosure</w:t>
            </w:r>
          </w:p>
        </w:tc>
        <w:tc>
          <w:tcPr>
            <w:tcW w:type="dxa" w:w="2880"/>
          </w:tcPr>
          <w:p>
            <w:r/>
            <w:r>
              <w:rPr>
                <w:b w:val="0"/>
                <w:sz w:val="19"/>
              </w:rPr>
              <w:t>Says job similarity is "not evidence"; cites a Daubert order that does not exist</w:t>
            </w:r>
          </w:p>
        </w:tc>
        <w:tc>
          <w:tcPr>
            <w:tcW w:type="dxa" w:w="2736"/>
          </w:tcPr>
          <w:p>
            <w:r/>
            <w:r>
              <w:rPr>
                <w:b w:val="0"/>
                <w:sz w:val="19"/>
              </w:rPr>
              <w:t>SJ Order §IV.C, §IV.F.2</w:t>
            </w:r>
          </w:p>
        </w:tc>
        <w:tc>
          <w:tcPr>
            <w:tcW w:type="dxa" w:w="1152"/>
          </w:tcPr>
          <w:p>
            <w:r/>
            <w:r>
              <w:rPr>
                <w:b w:val="0"/>
                <w:sz w:val="19"/>
              </w:rPr>
              <w:t>Critical</w:t>
            </w:r>
          </w:p>
        </w:tc>
      </w:tr>
      <w:tr>
        <w:tc>
          <w:tcPr>
            <w:tcW w:type="dxa" w:w="720"/>
          </w:tcPr>
          <w:p>
            <w:r/>
            <w:r>
              <w:rPr>
                <w:b w:val="0"/>
                <w:sz w:val="19"/>
              </w:rPr>
              <w:t>16 / 22</w:t>
            </w:r>
          </w:p>
        </w:tc>
        <w:tc>
          <w:tcPr>
            <w:tcW w:type="dxa" w:w="1872"/>
          </w:tcPr>
          <w:p>
            <w:r/>
            <w:r>
              <w:rPr>
                <w:b w:val="0"/>
                <w:sz w:val="19"/>
              </w:rPr>
              <w:t>Misappropriation; Use in New Employment</w:t>
            </w:r>
          </w:p>
        </w:tc>
        <w:tc>
          <w:tcPr>
            <w:tcW w:type="dxa" w:w="2880"/>
          </w:tcPr>
          <w:p>
            <w:r/>
            <w:r>
              <w:rPr>
                <w:b w:val="0"/>
                <w:sz w:val="19"/>
              </w:rPr>
              <w:t>Acquisition-only definition; requires improper-means acquisition</w:t>
            </w:r>
          </w:p>
        </w:tc>
        <w:tc>
          <w:tcPr>
            <w:tcW w:type="dxa" w:w="2736"/>
          </w:tcPr>
          <w:p>
            <w:r/>
            <w:r>
              <w:rPr>
                <w:b w:val="0"/>
                <w:sz w:val="19"/>
              </w:rPr>
              <w:t>O.C.G.A. §10-1-761(2)(B); SJ Order §IV.B.1</w:t>
            </w:r>
          </w:p>
        </w:tc>
        <w:tc>
          <w:tcPr>
            <w:tcW w:type="dxa" w:w="1152"/>
          </w:tcPr>
          <w:p>
            <w:r/>
            <w:r>
              <w:rPr>
                <w:b w:val="0"/>
                <w:sz w:val="19"/>
              </w:rPr>
              <w:t>High</w:t>
            </w:r>
          </w:p>
        </w:tc>
      </w:tr>
      <w:tr>
        <w:tc>
          <w:tcPr>
            <w:tcW w:type="dxa" w:w="720"/>
          </w:tcPr>
          <w:p>
            <w:r/>
            <w:r>
              <w:rPr>
                <w:b w:val="0"/>
                <w:sz w:val="19"/>
              </w:rPr>
              <w:t>25</w:t>
            </w:r>
          </w:p>
        </w:tc>
        <w:tc>
          <w:tcPr>
            <w:tcW w:type="dxa" w:w="1872"/>
          </w:tcPr>
          <w:p>
            <w:r/>
            <w:r>
              <w:rPr>
                <w:b w:val="0"/>
                <w:sz w:val="19"/>
              </w:rPr>
              <w:t>Breach of Confidentiality</w:t>
            </w:r>
          </w:p>
        </w:tc>
        <w:tc>
          <w:tcPr>
            <w:tcW w:type="dxa" w:w="2880"/>
          </w:tcPr>
          <w:p>
            <w:r/>
            <w:r>
              <w:rPr>
                <w:b w:val="0"/>
                <w:sz w:val="19"/>
              </w:rPr>
              <w:t>Requires "specific documents" and "material breach"; ignores the use prong</w:t>
            </w:r>
          </w:p>
        </w:tc>
        <w:tc>
          <w:tcPr>
            <w:tcW w:type="dxa" w:w="2736"/>
          </w:tcPr>
          <w:p>
            <w:r/>
            <w:r>
              <w:rPr>
                <w:b w:val="0"/>
                <w:sz w:val="19"/>
              </w:rPr>
              <w:t>Agreement §4.1, §4.2; SJ Order §IV.D</w:t>
            </w:r>
          </w:p>
        </w:tc>
        <w:tc>
          <w:tcPr>
            <w:tcW w:type="dxa" w:w="1152"/>
          </w:tcPr>
          <w:p>
            <w:r/>
            <w:r>
              <w:rPr>
                <w:b w:val="0"/>
                <w:sz w:val="19"/>
              </w:rPr>
              <w:t>High</w:t>
            </w:r>
          </w:p>
        </w:tc>
      </w:tr>
      <w:tr>
        <w:tc>
          <w:tcPr>
            <w:tcW w:type="dxa" w:w="720"/>
          </w:tcPr>
          <w:p>
            <w:r/>
            <w:r>
              <w:rPr>
                <w:b w:val="0"/>
                <w:sz w:val="19"/>
              </w:rPr>
              <w:t>30</w:t>
            </w:r>
          </w:p>
        </w:tc>
        <w:tc>
          <w:tcPr>
            <w:tcW w:type="dxa" w:w="1872"/>
          </w:tcPr>
          <w:p>
            <w:r/>
            <w:r>
              <w:rPr>
                <w:b w:val="0"/>
                <w:sz w:val="19"/>
              </w:rPr>
              <w:t>Lost Profits / Unjust Enrichment</w:t>
            </w:r>
          </w:p>
        </w:tc>
        <w:tc>
          <w:tcPr>
            <w:tcW w:type="dxa" w:w="2880"/>
          </w:tcPr>
          <w:p>
            <w:r/>
            <w:r>
              <w:rPr>
                <w:b w:val="0"/>
                <w:sz w:val="19"/>
              </w:rPr>
              <w:t>Mandatory election; unanimity on the measure</w:t>
            </w:r>
          </w:p>
        </w:tc>
        <w:tc>
          <w:tcPr>
            <w:tcW w:type="dxa" w:w="2736"/>
          </w:tcPr>
          <w:p>
            <w:r/>
            <w:r>
              <w:rPr>
                <w:b w:val="0"/>
                <w:sz w:val="19"/>
              </w:rPr>
              <w:t>O.C.G.A. §10-1-763(a); SJ Order §IV.F.1, ¶5(d)</w:t>
            </w:r>
          </w:p>
        </w:tc>
        <w:tc>
          <w:tcPr>
            <w:tcW w:type="dxa" w:w="1152"/>
          </w:tcPr>
          <w:p>
            <w:r/>
            <w:r>
              <w:rPr>
                <w:b w:val="0"/>
                <w:sz w:val="19"/>
              </w:rPr>
              <w:t>High</w:t>
            </w:r>
          </w:p>
        </w:tc>
      </w:tr>
      <w:tr>
        <w:tc>
          <w:tcPr>
            <w:tcW w:type="dxa" w:w="720"/>
          </w:tcPr>
          <w:p>
            <w:r/>
            <w:r>
              <w:rPr>
                <w:b w:val="0"/>
                <w:sz w:val="19"/>
              </w:rPr>
              <w:t>32</w:t>
            </w:r>
          </w:p>
        </w:tc>
        <w:tc>
          <w:tcPr>
            <w:tcW w:type="dxa" w:w="1872"/>
          </w:tcPr>
          <w:p>
            <w:r/>
            <w:r>
              <w:rPr>
                <w:b w:val="0"/>
                <w:sz w:val="19"/>
              </w:rPr>
              <w:t>Punitive Damages</w:t>
            </w:r>
          </w:p>
        </w:tc>
        <w:tc>
          <w:tcPr>
            <w:tcW w:type="dxa" w:w="2880"/>
          </w:tcPr>
          <w:p>
            <w:r/>
            <w:r>
              <w:rPr>
                <w:b w:val="0"/>
                <w:sz w:val="19"/>
              </w:rPr>
              <w:t>"Actual fraud + specific intent"; cap not addressed</w:t>
            </w:r>
          </w:p>
        </w:tc>
        <w:tc>
          <w:tcPr>
            <w:tcW w:type="dxa" w:w="2736"/>
          </w:tcPr>
          <w:p>
            <w:r/>
            <w:r>
              <w:rPr>
                <w:b w:val="0"/>
                <w:sz w:val="19"/>
              </w:rPr>
              <w:t>O.C.G.A. §10-1-763(b); SJ Order §IV.G; Minutes §VII</w:t>
            </w:r>
          </w:p>
        </w:tc>
        <w:tc>
          <w:tcPr>
            <w:tcW w:type="dxa" w:w="1152"/>
          </w:tcPr>
          <w:p>
            <w:r/>
            <w:r>
              <w:rPr>
                <w:b w:val="0"/>
                <w:sz w:val="19"/>
              </w:rPr>
              <w:t>High</w:t>
            </w:r>
          </w:p>
        </w:tc>
      </w:tr>
      <w:tr>
        <w:tc>
          <w:tcPr>
            <w:tcW w:type="dxa" w:w="720"/>
          </w:tcPr>
          <w:p>
            <w:r/>
            <w:r>
              <w:rPr>
                <w:b w:val="0"/>
                <w:sz w:val="19"/>
              </w:rPr>
              <w:t>31</w:t>
            </w:r>
          </w:p>
        </w:tc>
        <w:tc>
          <w:tcPr>
            <w:tcW w:type="dxa" w:w="1872"/>
          </w:tcPr>
          <w:p>
            <w:r/>
            <w:r>
              <w:rPr>
                <w:b w:val="0"/>
                <w:sz w:val="19"/>
              </w:rPr>
              <w:t>Expert Testimony</w:t>
            </w:r>
          </w:p>
        </w:tc>
        <w:tc>
          <w:tcPr>
            <w:tcW w:type="dxa" w:w="2880"/>
          </w:tcPr>
          <w:p>
            <w:r/>
            <w:r>
              <w:rPr>
                <w:b w:val="0"/>
                <w:sz w:val="19"/>
              </w:rPr>
              <w:t>"Particular skepticism" aimed only at Marchetti</w:t>
            </w:r>
          </w:p>
        </w:tc>
        <w:tc>
          <w:tcPr>
            <w:tcW w:type="dxa" w:w="2736"/>
          </w:tcPr>
          <w:p>
            <w:r/>
            <w:r>
              <w:rPr>
                <w:b w:val="0"/>
                <w:sz w:val="19"/>
              </w:rPr>
              <w:t>SJ Order §IV.F.1 (Daubert denied); 11th Cir. Pattern</w:t>
            </w:r>
          </w:p>
        </w:tc>
        <w:tc>
          <w:tcPr>
            <w:tcW w:type="dxa" w:w="1152"/>
          </w:tcPr>
          <w:p>
            <w:r/>
            <w:r>
              <w:rPr>
                <w:b w:val="0"/>
                <w:sz w:val="19"/>
              </w:rPr>
              <w:t>High</w:t>
            </w:r>
          </w:p>
        </w:tc>
      </w:tr>
      <w:tr>
        <w:tc>
          <w:tcPr>
            <w:tcW w:type="dxa" w:w="720"/>
          </w:tcPr>
          <w:p>
            <w:r/>
            <w:r>
              <w:rPr>
                <w:b w:val="0"/>
                <w:sz w:val="19"/>
              </w:rPr>
              <w:t>12</w:t>
            </w:r>
          </w:p>
        </w:tc>
        <w:tc>
          <w:tcPr>
            <w:tcW w:type="dxa" w:w="1872"/>
          </w:tcPr>
          <w:p>
            <w:r/>
            <w:r>
              <w:rPr>
                <w:b w:val="0"/>
                <w:sz w:val="19"/>
              </w:rPr>
              <w:t>Trade Secret Definition</w:t>
            </w:r>
          </w:p>
        </w:tc>
        <w:tc>
          <w:tcPr>
            <w:tcW w:type="dxa" w:w="2880"/>
          </w:tcPr>
          <w:p>
            <w:r/>
            <w:r>
              <w:rPr>
                <w:b w:val="0"/>
                <w:sz w:val="19"/>
              </w:rPr>
              <w:t>Adds a "novel" requirement</w:t>
            </w:r>
          </w:p>
        </w:tc>
        <w:tc>
          <w:tcPr>
            <w:tcW w:type="dxa" w:w="2736"/>
          </w:tcPr>
          <w:p>
            <w:r/>
            <w:r>
              <w:rPr>
                <w:b w:val="0"/>
                <w:sz w:val="19"/>
              </w:rPr>
              <w:t>SJ Order §IV.B.1; §10-1-761(4)</w:t>
            </w:r>
          </w:p>
        </w:tc>
        <w:tc>
          <w:tcPr>
            <w:tcW w:type="dxa" w:w="1152"/>
          </w:tcPr>
          <w:p>
            <w:r/>
            <w:r>
              <w:rPr>
                <w:b w:val="0"/>
                <w:sz w:val="19"/>
              </w:rPr>
              <w:t>High</w:t>
            </w:r>
          </w:p>
        </w:tc>
      </w:tr>
      <w:tr>
        <w:tc>
          <w:tcPr>
            <w:tcW w:type="dxa" w:w="720"/>
          </w:tcPr>
          <w:p>
            <w:r/>
            <w:r>
              <w:rPr>
                <w:b w:val="0"/>
                <w:sz w:val="19"/>
              </w:rPr>
              <w:t>27</w:t>
            </w:r>
          </w:p>
        </w:tc>
        <w:tc>
          <w:tcPr>
            <w:tcW w:type="dxa" w:w="1872"/>
          </w:tcPr>
          <w:p>
            <w:r/>
            <w:r>
              <w:rPr>
                <w:b w:val="0"/>
                <w:sz w:val="19"/>
              </w:rPr>
              <w:t>Tortious Interference</w:t>
            </w:r>
          </w:p>
        </w:tc>
        <w:tc>
          <w:tcPr>
            <w:tcW w:type="dxa" w:w="2880"/>
          </w:tcPr>
          <w:p>
            <w:r/>
            <w:r>
              <w:rPr>
                <w:b w:val="0"/>
                <w:sz w:val="19"/>
              </w:rPr>
              <w:t>Adds "independently wrongful act" and "purpose" elements</w:t>
            </w:r>
          </w:p>
        </w:tc>
        <w:tc>
          <w:tcPr>
            <w:tcW w:type="dxa" w:w="2736"/>
          </w:tcPr>
          <w:p>
            <w:r/>
            <w:r>
              <w:rPr>
                <w:b w:val="0"/>
                <w:sz w:val="19"/>
              </w:rPr>
              <w:t>SJ Order §IV.E (four elements)</w:t>
            </w:r>
          </w:p>
        </w:tc>
        <w:tc>
          <w:tcPr>
            <w:tcW w:type="dxa" w:w="1152"/>
          </w:tcPr>
          <w:p>
            <w:r/>
            <w:r>
              <w:rPr>
                <w:b w:val="0"/>
                <w:sz w:val="19"/>
              </w:rPr>
              <w:t>High</w:t>
            </w:r>
          </w:p>
        </w:tc>
      </w:tr>
      <w:tr>
        <w:tc>
          <w:tcPr>
            <w:tcW w:type="dxa" w:w="720"/>
          </w:tcPr>
          <w:p>
            <w:r/>
            <w:r>
              <w:rPr>
                <w:b w:val="0"/>
                <w:sz w:val="19"/>
              </w:rPr>
              <w:t>13, 20</w:t>
            </w:r>
          </w:p>
        </w:tc>
        <w:tc>
          <w:tcPr>
            <w:tcW w:type="dxa" w:w="1872"/>
          </w:tcPr>
          <w:p>
            <w:r/>
            <w:r>
              <w:rPr>
                <w:b w:val="0"/>
                <w:sz w:val="19"/>
              </w:rPr>
              <w:t>Reasonable Measures; Combination</w:t>
            </w:r>
          </w:p>
        </w:tc>
        <w:tc>
          <w:tcPr>
            <w:tcW w:type="dxa" w:w="2880"/>
          </w:tcPr>
          <w:p>
            <w:r/>
            <w:r>
              <w:rPr>
                <w:b w:val="0"/>
                <w:sz w:val="19"/>
              </w:rPr>
              <w:t>"Inadequate" standard; "sufficient added value" test</w:t>
            </w:r>
          </w:p>
        </w:tc>
        <w:tc>
          <w:tcPr>
            <w:tcW w:type="dxa" w:w="2736"/>
          </w:tcPr>
          <w:p>
            <w:r/>
            <w:r>
              <w:rPr>
                <w:b w:val="0"/>
                <w:sz w:val="19"/>
              </w:rPr>
              <w:t>SJ Order §IV.B.1–2 (totality; compilation)</w:t>
            </w:r>
          </w:p>
        </w:tc>
        <w:tc>
          <w:tcPr>
            <w:tcW w:type="dxa" w:w="1152"/>
          </w:tcPr>
          <w:p>
            <w:r/>
            <w:r>
              <w:rPr>
                <w:b w:val="0"/>
                <w:sz w:val="19"/>
              </w:rPr>
              <w:t>Medium</w:t>
            </w:r>
          </w:p>
        </w:tc>
      </w:tr>
      <w:tr>
        <w:tc>
          <w:tcPr>
            <w:tcW w:type="dxa" w:w="720"/>
          </w:tcPr>
          <w:p>
            <w:r/>
            <w:r>
              <w:rPr>
                <w:b w:val="0"/>
                <w:sz w:val="19"/>
              </w:rPr>
              <w:t>19, 18</w:t>
            </w:r>
          </w:p>
        </w:tc>
        <w:tc>
          <w:tcPr>
            <w:tcW w:type="dxa" w:w="1872"/>
          </w:tcPr>
          <w:p>
            <w:r/>
            <w:r>
              <w:rPr>
                <w:b w:val="0"/>
                <w:sz w:val="19"/>
              </w:rPr>
              <w:t>General Knowledge; Independent Development</w:t>
            </w:r>
          </w:p>
        </w:tc>
        <w:tc>
          <w:tcPr>
            <w:tcW w:type="dxa" w:w="2880"/>
          </w:tcPr>
          <w:p>
            <w:r/>
            <w:r>
              <w:rPr>
                <w:b w:val="0"/>
                <w:sz w:val="19"/>
              </w:rPr>
              <w:t>Not limited to the GTSA claim; conflicts with Agreement §4.1/§4.2</w:t>
            </w:r>
          </w:p>
        </w:tc>
        <w:tc>
          <w:tcPr>
            <w:tcW w:type="dxa" w:w="2736"/>
          </w:tcPr>
          <w:p>
            <w:r/>
            <w:r>
              <w:rPr>
                <w:b w:val="0"/>
                <w:sz w:val="19"/>
              </w:rPr>
              <w:t>Agreement §4.1 (memory; employee burden)</w:t>
            </w:r>
          </w:p>
        </w:tc>
        <w:tc>
          <w:tcPr>
            <w:tcW w:type="dxa" w:w="1152"/>
          </w:tcPr>
          <w:p>
            <w:r/>
            <w:r>
              <w:rPr>
                <w:b w:val="0"/>
                <w:sz w:val="19"/>
              </w:rPr>
              <w:t>Medium</w:t>
            </w:r>
          </w:p>
        </w:tc>
      </w:tr>
      <w:tr>
        <w:tc>
          <w:tcPr>
            <w:tcW w:type="dxa" w:w="720"/>
          </w:tcPr>
          <w:p>
            <w:r/>
            <w:r>
              <w:rPr>
                <w:b w:val="0"/>
                <w:sz w:val="19"/>
              </w:rPr>
              <w:t>11</w:t>
            </w:r>
          </w:p>
        </w:tc>
        <w:tc>
          <w:tcPr>
            <w:tcW w:type="dxa" w:w="1872"/>
          </w:tcPr>
          <w:p>
            <w:r/>
            <w:r>
              <w:rPr>
                <w:b w:val="0"/>
                <w:sz w:val="19"/>
              </w:rPr>
              <w:t>Applicable Law</w:t>
            </w:r>
          </w:p>
        </w:tc>
        <w:tc>
          <w:tcPr>
            <w:tcW w:type="dxa" w:w="2880"/>
          </w:tcPr>
          <w:p>
            <w:r/>
            <w:r>
              <w:rPr>
                <w:b w:val="0"/>
                <w:sz w:val="19"/>
              </w:rPr>
              <w:t>Cites choice-of-law "Section 12"; the Agreement uses §8.1</w:t>
            </w:r>
          </w:p>
        </w:tc>
        <w:tc>
          <w:tcPr>
            <w:tcW w:type="dxa" w:w="2736"/>
          </w:tcPr>
          <w:p>
            <w:r/>
            <w:r>
              <w:rPr>
                <w:b w:val="0"/>
                <w:sz w:val="19"/>
              </w:rPr>
              <w:t>Agreement §8.1</w:t>
            </w:r>
          </w:p>
        </w:tc>
        <w:tc>
          <w:tcPr>
            <w:tcW w:type="dxa" w:w="1152"/>
          </w:tcPr>
          <w:p>
            <w:r/>
            <w:r>
              <w:rPr>
                <w:b w:val="0"/>
                <w:sz w:val="19"/>
              </w:rPr>
              <w:t>Low</w:t>
            </w:r>
          </w:p>
        </w:tc>
      </w:tr>
      <w:tr>
        <w:tc>
          <w:tcPr>
            <w:tcW w:type="dxa" w:w="720"/>
          </w:tcPr>
          <w:p>
            <w:r/>
            <w:r>
              <w:rPr>
                <w:b w:val="0"/>
                <w:sz w:val="19"/>
              </w:rPr>
              <w:t>15, 28, 35</w:t>
            </w:r>
          </w:p>
        </w:tc>
        <w:tc>
          <w:tcPr>
            <w:tcW w:type="dxa" w:w="1872"/>
          </w:tcPr>
          <w:p>
            <w:r/>
            <w:r>
              <w:rPr>
                <w:b w:val="0"/>
                <w:sz w:val="19"/>
              </w:rPr>
              <w:t>Readily Ascertainable; Causation; Verdict Form</w:t>
            </w:r>
          </w:p>
        </w:tc>
        <w:tc>
          <w:tcPr>
            <w:tcW w:type="dxa" w:w="2880"/>
          </w:tcPr>
          <w:p>
            <w:r/>
            <w:r>
              <w:rPr>
                <w:b w:val="0"/>
                <w:sz w:val="19"/>
              </w:rPr>
              <w:t>Citation, framing, and verdict-form structure</w:t>
            </w:r>
          </w:p>
        </w:tc>
        <w:tc>
          <w:tcPr>
            <w:tcW w:type="dxa" w:w="2736"/>
          </w:tcPr>
          <w:p>
            <w:r/>
            <w:r>
              <w:rPr>
                <w:b w:val="0"/>
                <w:sz w:val="19"/>
              </w:rPr>
              <w:t>See Part III</w:t>
            </w:r>
          </w:p>
        </w:tc>
        <w:tc>
          <w:tcPr>
            <w:tcW w:type="dxa" w:w="1152"/>
          </w:tcPr>
          <w:p>
            <w:r/>
            <w:r>
              <w:rPr>
                <w:b w:val="0"/>
                <w:sz w:val="19"/>
              </w:rPr>
              <w:t>Low</w:t>
            </w:r>
          </w:p>
        </w:tc>
      </w:tr>
    </w:tbl>
    <w:p/>
    <w:p>
      <w:pPr>
        <w:pStyle w:val="Heading1"/>
      </w:pPr>
      <w:r>
        <w:t>III. Instruction-by-Instruction Analysis</w:t>
      </w:r>
    </w:p>
    <w:p>
      <w:pPr>
        <w:pStyle w:val="Heading2"/>
      </w:pPr>
      <w:r>
        <w:t>A. Instruction No. 21 — Spoliation / Adverse Inference (CRITICAL)</w:t>
      </w:r>
    </w:p>
    <w:p>
      <w:r>
        <w:rPr>
          <w:b w:val="0"/>
          <w:i w:val="0"/>
        </w:rPr>
      </w:r>
      <w:r>
        <w:rPr>
          <w:b/>
          <w:i w:val="0"/>
        </w:rPr>
        <w:t>Problem.</w:t>
      </w:r>
      <w:r>
        <w:rPr>
          <w:b w:val="0"/>
          <w:i w:val="0"/>
        </w:rPr>
        <w:t xml:space="preserve"> The instruction says the jury "may not draw any adverse inference from either party's handling of electronic data." It describes deletion as routine business practice and says the unavailability of data "does not permit you to presume that the missing data would have been favorable or unfavorable to any party." That is the opposite of what the Court ordered. It also restates the "routine file management" explanation that the Court found "wholly lacking in credibility." Defendants cite Fed. R. Civ. P. 37(e), but Rule 37(e)(2)(B) is the provision the Court used to authorize the inference.</w:t>
      </w:r>
    </w:p>
    <w:p>
      <w:r>
        <w:rPr>
          <w:b w:val="0"/>
          <w:i w:val="0"/>
        </w:rPr>
      </w:r>
      <w:r>
        <w:rPr>
          <w:b/>
          <w:i w:val="0"/>
        </w:rPr>
        <w:t>Controlling authority.</w:t>
      </w:r>
      <w:r>
        <w:rPr>
          <w:b w:val="0"/>
          <w:i w:val="0"/>
        </w:rPr>
        <w:t xml:space="preserve"> Sanctions Order ¶4: "At trial, the Court will give an adverse inference instruction permitting the jury to presume that the 347 deleted files contained information unfavorable to Dr. Voss. . . . No party shall submit a proposed jury instruction that purports to bar the jury from drawing adverse inferences from Dr. Voss's handling of electronic data." The Court also found intent to deprive under Rule 37(e)(2) (¶3). The SJ Order (§II.F and ¶6) states that the sanctions ruling "remains in full force and effect." The Minutes (§V) reconfirm it.</w:t>
      </w:r>
    </w:p>
    <w:p>
      <w:r>
        <w:rPr>
          <w:b w:val="0"/>
          <w:i w:val="0"/>
        </w:rPr>
      </w:r>
      <w:r>
        <w:rPr>
          <w:b/>
          <w:i w:val="0"/>
        </w:rPr>
        <w:t>Recommended objection / alternative.</w:t>
      </w:r>
      <w:r>
        <w:rPr>
          <w:b w:val="0"/>
          <w:i w:val="0"/>
        </w:rPr>
        <w:t xml:space="preserve"> Strike No. 21 in full as filed in violation of the Sanctions Order, and consider asking the Court to note the violation. Submit substitute language along these lines: "Before trial, the Court found that Dr. Nolan Voss deleted 347 files from his personal cloud storage account after he received notice of his obligation to preserve evidence in this case, and that he did so with the intent to deprive Oakvale of the use of that information in this litigation. You may presume that the deleted files contained information unfavorable to Dr. Voss." Two points to watch. First, the authorized inference runs against </w:t>
      </w:r>
      <w:r>
        <w:rPr>
          <w:b/>
          <w:i w:val="0"/>
        </w:rPr>
        <w:t>Dr. Voss only</w:t>
      </w:r>
      <w:r>
        <w:rPr>
          <w:b w:val="0"/>
          <w:i w:val="0"/>
        </w:rPr>
        <w:t>. Our Trial Brief (§V.A.2) overstates it as "unfavorable to Defendants"; that should not be repeated. Second, the dates in the substitute must match the Sanctions Order (hold received April 17, 2023; deletions April 19 – May 3, 2023). See Part IV.</w:t>
      </w:r>
    </w:p>
    <w:p>
      <w:pPr>
        <w:pStyle w:val="Heading2"/>
      </w:pPr>
      <w:r>
        <w:t>B. Instruction No. 29 — Plaintiff's Failure to Enforce / Apportionment (CRITICAL)</w:t>
      </w:r>
    </w:p>
    <w:p>
      <w:r>
        <w:rPr>
          <w:b w:val="0"/>
          <w:i w:val="0"/>
        </w:rPr>
      </w:r>
      <w:r>
        <w:rPr>
          <w:b/>
          <w:i w:val="0"/>
        </w:rPr>
        <w:t>Problem.</w:t>
      </w:r>
      <w:r>
        <w:rPr>
          <w:b w:val="0"/>
          <w:i w:val="0"/>
        </w:rPr>
        <w:t xml:space="preserve"> The instruction tells the jury to "reduce any damages award proportionally" for Oakvale's "delay or inaction" and for failing to "exercise reasonable diligence in protecting its own interests." That is the failure-to-mitigate / avoidable-consequences doctrine. The cited statute, O.C.G.A. §51-11-7, is Georgia's avoidance-of-consequences provision, which is the statutory basis for mitigation. The instruction also adds comparative apportionment, which has no pleaded basis in an intentional-misappropriation and contract case.</w:t>
      </w:r>
    </w:p>
    <w:p>
      <w:r>
        <w:rPr>
          <w:b w:val="0"/>
          <w:i w:val="0"/>
        </w:rPr>
      </w:r>
      <w:r>
        <w:rPr>
          <w:b/>
          <w:i w:val="0"/>
        </w:rPr>
        <w:t>Controlling authority.</w:t>
      </w:r>
      <w:r>
        <w:rPr>
          <w:b w:val="0"/>
          <w:i w:val="0"/>
        </w:rPr>
        <w:t xml:space="preserve"> Minutes §IV: Defendants "formally withdraw their Fifteenth Affirmative Defense, which asserted failure to mitigate damages," and the withdrawal was "unconditional and without reservation." The Court ruled: "Defendants may not raise failure to mitigate at any stage of the trial proceedings, including in proposed jury instructions or closing arguments." Delay is also not among the five defenses Defendants said they would pursue at trial.</w:t>
      </w:r>
    </w:p>
    <w:p>
      <w:r>
        <w:rPr>
          <w:b w:val="0"/>
          <w:i w:val="0"/>
        </w:rPr>
      </w:r>
      <w:r>
        <w:rPr>
          <w:b/>
          <w:i w:val="0"/>
        </w:rPr>
        <w:t>Recommended objection / alternative.</w:t>
      </w:r>
      <w:r>
        <w:rPr>
          <w:b w:val="0"/>
          <w:i w:val="0"/>
        </w:rPr>
        <w:t xml:space="preserve"> Strike in full, as barred by the February 10 ruling. Also ask for a limiting order on "delay" argument in closing. Note that Oakvale sued within about eight months of Dr. Voss's departure and about two months after the Prism launch. No substitute instruction is needed.</w:t>
      </w:r>
    </w:p>
    <w:p>
      <w:pPr>
        <w:pStyle w:val="Heading2"/>
      </w:pPr>
      <w:r>
        <w:t>C. Instruction No. 14 — Identification of Alleged Trade Secrets (CRITICAL)</w:t>
      </w:r>
    </w:p>
    <w:p>
      <w:r>
        <w:rPr>
          <w:b w:val="0"/>
          <w:i w:val="0"/>
        </w:rPr>
      </w:r>
      <w:r>
        <w:rPr>
          <w:b/>
          <w:i w:val="0"/>
        </w:rPr>
        <w:t>Problem.</w:t>
      </w:r>
      <w:r>
        <w:rPr>
          <w:b w:val="0"/>
          <w:i w:val="0"/>
        </w:rPr>
        <w:t xml:space="preserve"> The instruction lists seven categories, including "(7) a machine-learning feature selection methodology known as 'SignalSift,'" and tells the jury to decide whether "each category" is a trade secret. It cites the SJ Order as authority even though that order dismissed category 7.</w:t>
      </w:r>
    </w:p>
    <w:p>
      <w:r>
        <w:rPr>
          <w:b w:val="0"/>
          <w:i w:val="0"/>
        </w:rPr>
      </w:r>
      <w:r>
        <w:rPr>
          <w:b/>
          <w:i w:val="0"/>
        </w:rPr>
        <w:t>Controlling authority.</w:t>
      </w:r>
      <w:r>
        <w:rPr>
          <w:b w:val="0"/>
          <w:i w:val="0"/>
        </w:rPr>
        <w:t xml:space="preserve"> SJ Order §IV.B.3 and Order ¶1: SignalSift is "DISMISSED WITH PREJUDICE. . . . The jury will not be asked to consider whether SignalSift is a protectable trade secret, as that question has been resolved as a matter of law." Minutes §III: the ruling "is final, and the parties should govern themselves accordingly in preparing trial materials."</w:t>
      </w:r>
    </w:p>
    <w:p>
      <w:r>
        <w:rPr>
          <w:b w:val="0"/>
          <w:i w:val="0"/>
        </w:rPr>
      </w:r>
      <w:r>
        <w:rPr>
          <w:b/>
          <w:i w:val="0"/>
        </w:rPr>
        <w:t>Recommended objection / alternative.</w:t>
      </w:r>
      <w:r>
        <w:rPr>
          <w:b w:val="0"/>
          <w:i w:val="0"/>
        </w:rPr>
        <w:t xml:space="preserve"> Delete item (7). Change the lead-in to "the following six categories." Consider also asking for a sentence telling the jury that no other category is at issue. This ties in with our motion in limine (Minutes §V(i)). Leaving SignalSift in front of the jury invites an argument that one "lost" category undermines the others. Confirm that Defendants' proposed verdict form does not include category 7.</w:t>
      </w:r>
    </w:p>
    <w:p>
      <w:pPr>
        <w:pStyle w:val="Heading2"/>
      </w:pPr>
      <w:r>
        <w:t>D. Instruction No. 23 — Inevitable Disclosure Doctrine (CRITICAL, in part)</w:t>
      </w:r>
    </w:p>
    <w:p>
      <w:r>
        <w:rPr>
          <w:b w:val="0"/>
          <w:i w:val="0"/>
        </w:rPr>
      </w:r>
      <w:r>
        <w:rPr>
          <w:b/>
          <w:i w:val="0"/>
        </w:rPr>
        <w:t>Problem.</w:t>
      </w:r>
      <w:r>
        <w:rPr>
          <w:b w:val="0"/>
          <w:i w:val="0"/>
        </w:rPr>
        <w:t xml:space="preserve"> The first paragraph, which says Georgia does not recognize inevitable disclosure as an independent basis for liability, is consistent with the SJ Order. The second paragraph is not. It states flatly that "the fact that Dr. Voss took a similar position at Axial Systems Corp. is not evidence of misappropriation." The instruction also cites a "Court's Order on Daubert Motions, November 18, 2024." We found no such order in the materials. The Daubert rulings are in the January 12, 2025 SJ Order (§IV.F).</w:t>
      </w:r>
    </w:p>
    <w:p>
      <w:r>
        <w:rPr>
          <w:b w:val="0"/>
          <w:i w:val="0"/>
        </w:rPr>
      </w:r>
      <w:r>
        <w:rPr>
          <w:b/>
          <w:i w:val="0"/>
        </w:rPr>
        <w:t>Controlling authority.</w:t>
      </w:r>
      <w:r>
        <w:rPr>
          <w:b w:val="0"/>
          <w:i w:val="0"/>
        </w:rPr>
        <w:t xml:space="preserve"> SJ Order §IV.C: the similarity of Dr. Voss's positions "is one piece of circumstantial evidence the jury may consider as part of the totality of the evidence." The distinction is "between a legal presumption (which is impermissible) and an evidentiary inference drawn from the totality of the evidence (which is permissible)," and the Court said it would address that distinction at the charge conference. The Court prohibited only an instruction that misappropriation "may be inferred solely from Dr. Voss's competitive employment."</w:t>
      </w:r>
    </w:p>
    <w:p>
      <w:r>
        <w:rPr>
          <w:b w:val="0"/>
          <w:i w:val="0"/>
        </w:rPr>
      </w:r>
      <w:r>
        <w:rPr>
          <w:b/>
          <w:i w:val="0"/>
        </w:rPr>
        <w:t>Recommended objection / alternative.</w:t>
      </w:r>
      <w:r>
        <w:rPr>
          <w:b w:val="0"/>
          <w:i w:val="0"/>
        </w:rPr>
        <w:t xml:space="preserve"> Object to the second paragraph and to the citation. Proposed alternative: "You may not find misappropriation based solely on the fact that Dr. Voss accepted a similar position with a competitor. However, you may consider the nature of Dr. Voss's positions at Oakvale and Axial, together with all other evidence in the case, in deciding whether Dr. Voss or Axial actually acquired, used, or disclosed Oakvale's trade secrets." Ask Defendants to identify the "November 18, 2024" order or withdraw the citation.</w:t>
      </w:r>
    </w:p>
    <w:p>
      <w:pPr>
        <w:pStyle w:val="Heading2"/>
      </w:pPr>
      <w:r>
        <w:t>E. Instructions No. 16, 17 and 22 — Misappropriation / Improper Means / Use in New Employment (HIGH)</w:t>
      </w:r>
    </w:p>
    <w:p>
      <w:r>
        <w:rPr>
          <w:b w:val="0"/>
          <w:i w:val="0"/>
        </w:rPr>
      </w:r>
      <w:r>
        <w:rPr>
          <w:b/>
          <w:i w:val="0"/>
        </w:rPr>
        <w:t>Problem.</w:t>
      </w:r>
      <w:r>
        <w:rPr>
          <w:b w:val="0"/>
          <w:i w:val="0"/>
        </w:rPr>
        <w:t xml:space="preserve"> No. 16 defines misappropriation only as "acquisition . . . by a person who knows or has reason to know that the trade secret was acquired by improper means." It leaves out the statutory "disclosure or use" prong entirely, including use by someone who acquired the information under a duty to keep it secret. Dr. Voss obtained Oakvale's information lawfully while employed, so an acquisition-only definition would effectively take the core use/disclosure theory away from the jury. The elements paragraph and No. 22 repeat the problem by requiring proof that defendants acquired, used, or disclosed information "through improper means." No. 16 also duplicates the improper-means definition in No. 17, which risks confusing the jury.</w:t>
      </w:r>
    </w:p>
    <w:p>
      <w:r>
        <w:rPr>
          <w:b w:val="0"/>
          <w:i w:val="0"/>
        </w:rPr>
      </w:r>
      <w:r>
        <w:rPr>
          <w:b/>
          <w:i w:val="0"/>
        </w:rPr>
        <w:t>Controlling authority.</w:t>
      </w:r>
      <w:r>
        <w:rPr>
          <w:b w:val="0"/>
          <w:i w:val="0"/>
        </w:rPr>
        <w:t xml:space="preserve"> O.C.G.A. §10-1-761(2)(A)–(B). SJ Order §IV.B.1: the statute "protects against both the wrongful acquisition of trade secrets and their wrongful use or disclosure," including use or disclosure by a person who "knew or had reason to know that the knowledge of the trade secret was acquired under circumstances giving rise to a duty to maintain its secrecy or limit its use."</w:t>
      </w:r>
    </w:p>
    <w:p>
      <w:r>
        <w:rPr>
          <w:b w:val="0"/>
          <w:i w:val="0"/>
        </w:rPr>
      </w:r>
      <w:r>
        <w:rPr>
          <w:b/>
          <w:i w:val="0"/>
        </w:rPr>
        <w:t>Recommended objection / alternative.</w:t>
      </w:r>
      <w:r>
        <w:rPr>
          <w:b w:val="0"/>
          <w:i w:val="0"/>
        </w:rPr>
        <w:t xml:space="preserve"> Replace No. 16 with the full statutory definition covering both (A) acquisition and (B) disclosure or use, including the duty-based prong. Revise the last sentence of No. 22 to read: "The plaintiff must prove that the defendant actually misappropriated specific trade secret information, as I have defined that term." Consolidate No. 17 into No. 16, or keep it as a pure definition. We do not object to the "similarity alone is not sufficient" concept in No. 22, as long as it is paired with the SJ Order's permissible-inference language (see D).</w:t>
      </w:r>
    </w:p>
    <w:p>
      <w:pPr>
        <w:pStyle w:val="Heading2"/>
      </w:pPr>
      <w:r>
        <w:t>F. Instruction No. 25 — Breach of Confidentiality Provision (HIGH)</w:t>
      </w:r>
    </w:p>
    <w:p>
      <w:r>
        <w:rPr>
          <w:b w:val="0"/>
          <w:i w:val="0"/>
        </w:rPr>
      </w:r>
      <w:r>
        <w:rPr>
          <w:b/>
          <w:i w:val="0"/>
        </w:rPr>
        <w:t>Problem.</w:t>
      </w:r>
      <w:r>
        <w:rPr>
          <w:b w:val="0"/>
          <w:i w:val="0"/>
        </w:rPr>
        <w:t xml:space="preserve"> The instruction requires Oakvale to prove that Dr. Voss "disclosed specific documents belonging to Oakvale." It also requires that the disclosure be a "material breach." This narrows the contract to document disclosure. It leaves out (i) the non-use obligation, (ii) intangible and memorized information, and (iii) indirect use. It also adds a materiality requirement that the Agreement does not contain for a damages claim.</w:t>
      </w:r>
    </w:p>
    <w:p>
      <w:r>
        <w:rPr>
          <w:b w:val="0"/>
          <w:i w:val="0"/>
        </w:rPr>
      </w:r>
      <w:r>
        <w:rPr>
          <w:b/>
          <w:i w:val="0"/>
        </w:rPr>
        <w:t>Controlling authority.</w:t>
      </w:r>
      <w:r>
        <w:rPr>
          <w:b w:val="0"/>
          <w:i w:val="0"/>
        </w:rPr>
        <w:t xml:space="preserve"> Agreement §4.2 prohibits both use and disclosure. It provides that unauthorized use, "including the application of intangible knowledge, methods, processes, or know-how . . . in the course of employment with a subsequent employer, constitutes a breach of this Agreement regardless of whether such use involves the physical transfer or disclosure of specific documents or tangible materials." Under §4.1, Confidential Information includes "information retained in Employee's memory or recollection," and "the burden of establishing that any of the foregoing exclusions applies shall rest with Employee." SJ Order §IV.D: the obligation "is not limited to the physical transfer or copying of documents."</w:t>
      </w:r>
    </w:p>
    <w:p>
      <w:r>
        <w:rPr>
          <w:b w:val="0"/>
          <w:i w:val="0"/>
        </w:rPr>
      </w:r>
      <w:r>
        <w:rPr>
          <w:b/>
          <w:i w:val="0"/>
        </w:rPr>
        <w:t>Recommended objection / alternative.</w:t>
      </w:r>
      <w:r>
        <w:rPr>
          <w:b w:val="0"/>
          <w:i w:val="0"/>
        </w:rPr>
        <w:t xml:space="preserve"> Substitute: "Oakvale claims that Dr. Voss breached Section 4 of the Employment Agreement by using or disclosing Oakvale's Confidential Information without authorization. Confidential Information is defined in Section 4.1 and includes information in any form, including information retained in Dr. Voss's memory. A breach occurs if Dr. Voss used or disclosed Confidential Information for any purpose other than his duties for Oakvale, whether or not documents were transferred. If Dr. Voss contends that information falls within one of the Agreement's exclusions, he bears the burden of proving that exclusion." Delete "material." The section reference itself needs to be confirmed; see Part IV.2.</w:t>
      </w:r>
    </w:p>
    <w:p>
      <w:pPr>
        <w:pStyle w:val="Heading2"/>
      </w:pPr>
      <w:r>
        <w:t>G. Instruction No. 30 — Lost Profits and Unjust Enrichment (HIGH)</w:t>
      </w:r>
    </w:p>
    <w:p>
      <w:r>
        <w:rPr>
          <w:b w:val="0"/>
          <w:i w:val="0"/>
        </w:rPr>
      </w:r>
      <w:r>
        <w:rPr>
          <w:b/>
          <w:i w:val="0"/>
        </w:rPr>
        <w:t>Problem.</w:t>
      </w:r>
      <w:r>
        <w:rPr>
          <w:b w:val="0"/>
          <w:i w:val="0"/>
        </w:rPr>
        <w:t xml:space="preserve"> The instruction tells the jury it "must unanimously agree on which category of damages — lost profits or unjust enrichment — to award. You may not award both." That makes the two measures mutually exclusive and imposes a unanimity requirement on the choice of measure. The instruction also leaves out the reasonable-royalty alternative, which Oakvale has reserved.</w:t>
      </w:r>
    </w:p>
    <w:p>
      <w:r>
        <w:rPr>
          <w:b w:val="0"/>
          <w:i w:val="0"/>
        </w:rPr>
      </w:r>
      <w:r>
        <w:rPr>
          <w:b/>
          <w:i w:val="0"/>
        </w:rPr>
        <w:t>Controlling authority.</w:t>
      </w:r>
      <w:r>
        <w:rPr>
          <w:b w:val="0"/>
          <w:i w:val="0"/>
        </w:rPr>
        <w:t xml:space="preserve"> O.C.G.A. §10-1-763(a): a complainant "may recover damages for the actual loss" and "also may recover for the unjust enrichment . . . that is not taken into account in computing damages for actual loss." SJ Order §IV.F.1: the jury "may not award both lost profits and unjust enrichment </w:t>
      </w:r>
      <w:r>
        <w:rPr>
          <w:b/>
          <w:i w:val="0"/>
        </w:rPr>
        <w:t>to the extent they compensate for the same injury</w:t>
      </w:r>
      <w:r>
        <w:rPr>
          <w:b w:val="0"/>
          <w:i w:val="0"/>
        </w:rPr>
        <w:t>." Order ¶5(d) sends compensatory damages "including lost profits and unjust enrichment" to trial "subject to appropriate jury instructions to prevent double recovery." Fed. R. Civ. P. 48(b) requires unanimity on the verdict, not on each underlying theory (Trial Brief §II.A).</w:t>
      </w:r>
    </w:p>
    <w:p>
      <w:r>
        <w:rPr>
          <w:b w:val="0"/>
          <w:i w:val="0"/>
        </w:rPr>
      </w:r>
      <w:r>
        <w:rPr>
          <w:b/>
          <w:i w:val="0"/>
        </w:rPr>
        <w:t>Recommended objection / alternative.</w:t>
      </w:r>
      <w:r>
        <w:rPr>
          <w:b w:val="0"/>
          <w:i w:val="0"/>
        </w:rPr>
        <w:t xml:space="preserve"> Substitute a non-duplication instruction: "You may award damages for Oakvale's actual loss, including lost profits, caused by misappropriation. You may also award damages for any unjust enrichment of a defendant caused by misappropriation, but only to the extent that enrichment was not already taken into account in computing Oakvale's actual loss. You may not award damages twice for the same injury." Ask for separate verdict-form lines for actual loss and non-duplicative unjust enrichment. </w:t>
      </w:r>
      <w:r>
        <w:rPr>
          <w:b/>
          <w:i w:val="0"/>
        </w:rPr>
        <w:t>Caution:</w:t>
      </w:r>
      <w:r>
        <w:rPr>
          <w:b w:val="0"/>
          <w:i w:val="0"/>
        </w:rPr>
        <w:t xml:space="preserve"> Dr. Marchetti's unjust-enrichment figure is $22.0M × 70% = $15.4M. Our Trial Brief says she excluded revenue from the 14 diverted customers from that base, but the Brief applies the margin to "total Prism revenue" of $22.0M. The SJ Order also describes the calculation as $22.0M × 70%. We need to reconcile this before the charge conference. If the $22.0M base includes the diverted customers, Defendants will argue the model double-counts, and the anti-duplication argument becomes weaker.</w:t>
      </w:r>
    </w:p>
    <w:p>
      <w:pPr>
        <w:pStyle w:val="Heading2"/>
      </w:pPr>
      <w:r>
        <w:t>H. Instruction No. 32 — Punitive Damages (HIGH)</w:t>
      </w:r>
    </w:p>
    <w:p>
      <w:r>
        <w:rPr>
          <w:b w:val="0"/>
          <w:i w:val="0"/>
        </w:rPr>
      </w:r>
      <w:r>
        <w:rPr>
          <w:b/>
          <w:i w:val="0"/>
        </w:rPr>
        <w:t>Problem.</w:t>
      </w:r>
      <w:r>
        <w:rPr>
          <w:b w:val="0"/>
          <w:i w:val="0"/>
        </w:rPr>
        <w:t xml:space="preserve"> The instruction requires clear and convincing proof that the defendant "acted with actual fraud and specific intent to injure the plaintiff." It also substitutes a general "reasonable relationship" limit for the statutory cap. "Specific intent" language comes from the cap-exception provisions of the general punitive statute (O.C.G.A. §51-12-5.1(f)–(g)), and "actual fraud" is not an element under either statute. Neither is the GTSA liability standard.</w:t>
      </w:r>
    </w:p>
    <w:p>
      <w:r>
        <w:rPr>
          <w:b w:val="0"/>
          <w:i w:val="0"/>
        </w:rPr>
      </w:r>
      <w:r>
        <w:rPr>
          <w:b/>
          <w:i w:val="0"/>
        </w:rPr>
        <w:t>Controlling authority.</w:t>
      </w:r>
      <w:r>
        <w:rPr>
          <w:b w:val="0"/>
          <w:i w:val="0"/>
        </w:rPr>
        <w:t xml:space="preserve"> O.C.G.A. §10-1-763(b) authorizes exemplary damages for "willful and malicious misappropriation," up to twice the compensatory award. SJ Order §IV.G frames the jury question as "whether Defendants' conduct was 'willful and malicious' within the meaning of O.C.G.A. §10-1-763(b)" and reserved the cap for the charge conference. The Minutes (§VII) also reserve the §51-12-5.1(g) cap question.</w:t>
      </w:r>
    </w:p>
    <w:p>
      <w:r>
        <w:rPr>
          <w:b w:val="0"/>
          <w:i w:val="0"/>
        </w:rPr>
      </w:r>
      <w:r>
        <w:rPr>
          <w:b/>
          <w:i w:val="0"/>
        </w:rPr>
        <w:t>Recommended objection / alternative.</w:t>
      </w:r>
      <w:r>
        <w:rPr>
          <w:b w:val="0"/>
          <w:i w:val="0"/>
        </w:rPr>
        <w:t xml:space="preserve"> Object and substitute the "willful and malicious" standard, for example: "knowingly and deliberately misappropriated a trade secret in conscious disregard of Oakvale's rights." Object to any cap-related or "reasonable relationship" language in front of the jury, since the cap is a matter for the Court after the verdict. </w:t>
      </w:r>
      <w:r>
        <w:rPr>
          <w:b/>
          <w:i w:val="0"/>
        </w:rPr>
        <w:t>Burden-of-proof risk:</w:t>
      </w:r>
      <w:r>
        <w:rPr>
          <w:b w:val="0"/>
          <w:i w:val="0"/>
        </w:rPr>
        <w:t xml:space="preserve"> §51-12-5.1(b) requires clear and convincing evidence for Georgia tort punitive damages generally. Our Trial Brief (§II.B) says that standard applies "most notably" to product liability, which overstates our position. Before the charge conference we should research whether clear and convincing applies to §10-1-763(b). We should not rely on the Brief's characterization.</w:t>
      </w:r>
    </w:p>
    <w:p>
      <w:pPr>
        <w:pStyle w:val="Heading2"/>
      </w:pPr>
      <w:r>
        <w:t>I. Instruction No. 31 — Expert Witness Testimony (HIGH)</w:t>
      </w:r>
    </w:p>
    <w:p>
      <w:r>
        <w:rPr>
          <w:b w:val="0"/>
          <w:i w:val="0"/>
        </w:rPr>
      </w:r>
      <w:r>
        <w:rPr>
          <w:b/>
          <w:i w:val="0"/>
        </w:rPr>
        <w:t>Problem.</w:t>
      </w:r>
      <w:r>
        <w:rPr>
          <w:b w:val="0"/>
          <w:i w:val="0"/>
        </w:rPr>
        <w:t xml:space="preserve"> The instruction tells jurors to view Dr. Marchetti's testimony "with particular skepticism given her financial relationship with the plaintiff." It then treats Dr. Webley, who was also retained and paid, neutrally. This is one-sided comment on the evidence. It also effectively revisits the Court's denial of Defendants' Daubert motion. The Eleventh Circuit pattern instruction it cites contains no such language.</w:t>
      </w:r>
    </w:p>
    <w:p>
      <w:r>
        <w:rPr>
          <w:b w:val="0"/>
          <w:i w:val="0"/>
        </w:rPr>
      </w:r>
      <w:r>
        <w:rPr>
          <w:b/>
          <w:i w:val="0"/>
        </w:rPr>
        <w:t>Controlling authority.</w:t>
      </w:r>
      <w:r>
        <w:rPr>
          <w:b w:val="0"/>
          <w:i w:val="0"/>
        </w:rPr>
        <w:t xml:space="preserve"> SJ Order §IV.F.1: Dr. Marchetti's methodology is "sufficiently reliable," and challenges go to weight, to be tested by cross-examination and competing expert testimony. The pattern instruction treats expert testimony like any other testimony.</w:t>
      </w:r>
    </w:p>
    <w:p>
      <w:r>
        <w:rPr>
          <w:b w:val="0"/>
          <w:i w:val="0"/>
        </w:rPr>
      </w:r>
      <w:r>
        <w:rPr>
          <w:b/>
          <w:i w:val="0"/>
        </w:rPr>
        <w:t>Recommended objection / alternative.</w:t>
      </w:r>
      <w:r>
        <w:rPr>
          <w:b w:val="0"/>
          <w:i w:val="0"/>
        </w:rPr>
        <w:t xml:space="preserve"> Strike the "particular skepticism" sentence. Keep a neutral statement that the jury may consider compensation "of any expert witness" in weighing credibility.</w:t>
      </w:r>
    </w:p>
    <w:p>
      <w:pPr>
        <w:pStyle w:val="Heading2"/>
      </w:pPr>
      <w:r>
        <w:t>J. Instruction No. 12 — Definition of "Trade Secret" (HIGH)</w:t>
      </w:r>
    </w:p>
    <w:p>
      <w:r>
        <w:rPr>
          <w:b w:val="0"/>
          <w:i w:val="0"/>
        </w:rPr>
      </w:r>
      <w:r>
        <w:rPr>
          <w:b/>
          <w:i w:val="0"/>
        </w:rPr>
        <w:t>Problem.</w:t>
      </w:r>
      <w:r>
        <w:rPr>
          <w:b w:val="0"/>
          <w:i w:val="0"/>
        </w:rPr>
        <w:t xml:space="preserve"> The first sentence defines a trade secret as information that is "novel." It also leaves out the statutory lead-in listing covered forms of information (compilations, methods, financial data, customer/supplier lists), which matters for categories 2, 3, and 6. Finally, it inserts "independent" before "economic value," which is not in the text of §10-1-761(4)(A) as quoted in the SJ Order.</w:t>
      </w:r>
    </w:p>
    <w:p>
      <w:r>
        <w:rPr>
          <w:b w:val="0"/>
          <w:i w:val="0"/>
        </w:rPr>
      </w:r>
      <w:r>
        <w:rPr>
          <w:b/>
          <w:i w:val="0"/>
        </w:rPr>
        <w:t>Controlling authority.</w:t>
      </w:r>
      <w:r>
        <w:rPr>
          <w:b w:val="0"/>
          <w:i w:val="0"/>
        </w:rPr>
        <w:t xml:space="preserve"> SJ Order §IV.B.1: "The GTSA does not require that the information claimed as a trade secret be novel or represent an advance over the prior art." The SJ Order quotes the statute in full.</w:t>
      </w:r>
    </w:p>
    <w:p>
      <w:r>
        <w:rPr>
          <w:b w:val="0"/>
          <w:i w:val="0"/>
        </w:rPr>
      </w:r>
      <w:r>
        <w:rPr>
          <w:b/>
          <w:i w:val="0"/>
        </w:rPr>
        <w:t>Recommended objection / alternative.</w:t>
      </w:r>
      <w:r>
        <w:rPr>
          <w:b w:val="0"/>
          <w:i w:val="0"/>
        </w:rPr>
        <w:t xml:space="preserve"> Delete "novel." Use the statutory text of §10-1-761(4) verbatim, including "a compilation" and "financial data." The last paragraph of No. 12, which says to find for defendants "on the misappropriation claim as to that category," is acceptable if it is limited to the GTSA claim and does not carry over to the contract claim.</w:t>
      </w:r>
    </w:p>
    <w:p>
      <w:pPr>
        <w:pStyle w:val="Heading2"/>
      </w:pPr>
      <w:r>
        <w:t>K. Instruction No. 27 — Tortious Interference with Contract (HIGH)</w:t>
      </w:r>
    </w:p>
    <w:p>
      <w:r>
        <w:rPr>
          <w:b w:val="0"/>
          <w:i w:val="0"/>
        </w:rPr>
      </w:r>
      <w:r>
        <w:rPr>
          <w:b/>
          <w:i w:val="0"/>
        </w:rPr>
        <w:t>Problem.</w:t>
      </w:r>
      <w:r>
        <w:rPr>
          <w:b w:val="0"/>
          <w:i w:val="0"/>
        </w:rPr>
        <w:t xml:space="preserve"> The instruction lists five elements. It adds (3) "an independently wrongful act, separate from the interference itself" and (4) "purpose of inducing the breach." Both go beyond the elements the Court identified.</w:t>
      </w:r>
    </w:p>
    <w:p>
      <w:r>
        <w:rPr>
          <w:b w:val="0"/>
          <w:i w:val="0"/>
        </w:rPr>
      </w:r>
      <w:r>
        <w:rPr>
          <w:b/>
          <w:i w:val="0"/>
        </w:rPr>
        <w:t>Controlling authority.</w:t>
      </w:r>
      <w:r>
        <w:rPr>
          <w:b w:val="0"/>
          <w:i w:val="0"/>
        </w:rPr>
        <w:t xml:space="preserve"> SJ Order §IV.E (citing Disaster Servs. and Valdosta Livestock): (1) a valid contract; (2) the defendant's knowledge; (3) intentional inducement of breach; (4) damages. The Court identified "knowing inducement" as the jury question.</w:t>
      </w:r>
    </w:p>
    <w:p>
      <w:r>
        <w:rPr>
          <w:b w:val="0"/>
          <w:i w:val="0"/>
        </w:rPr>
      </w:r>
      <w:r>
        <w:rPr>
          <w:b/>
          <w:i w:val="0"/>
        </w:rPr>
        <w:t>Recommended objection / alternative.</w:t>
      </w:r>
      <w:r>
        <w:rPr>
          <w:b w:val="0"/>
          <w:i w:val="0"/>
        </w:rPr>
        <w:t xml:space="preserve"> Substitute the four elements from the SJ Order. Consider a short statement that element 1 is undisputed and that the defendant's knowledge may be shown by Axial's possession of the Agreement from onboarding (Ex. S). If Defendants argue that Georgia requires "improper" or unprivileged conduct, we should be ready to address it at the charge conference. The authority for the Court's four-element formulation is its own order.</w:t>
      </w:r>
    </w:p>
    <w:p>
      <w:pPr>
        <w:pStyle w:val="Heading2"/>
      </w:pPr>
      <w:r>
        <w:t>L. Instructions No. 13 and 20 — Reasonable Measures; Combination of Known Elements (MEDIUM)</w:t>
      </w:r>
    </w:p>
    <w:p>
      <w:r>
        <w:rPr>
          <w:b w:val="0"/>
          <w:i w:val="0"/>
        </w:rPr>
      </w:r>
      <w:r>
        <w:rPr>
          <w:b/>
          <w:i w:val="0"/>
        </w:rPr>
        <w:t>Problem.</w:t>
      </w:r>
      <w:r>
        <w:rPr>
          <w:b w:val="0"/>
          <w:i w:val="0"/>
        </w:rPr>
        <w:t xml:space="preserve"> No. 13 asks whether security was "inadequate" as to any category and directs a finding against trade-secret status. It never says the measures need only be "reasonable under the circumstances" and not perfect. It also leaves out the size and sophistication of the business and the totality of the circumstances. No. 20 requires that a combination provide "sufficient added value beyond its individual components," a test that does not appear in the statute or the SJ Order.</w:t>
      </w:r>
    </w:p>
    <w:p>
      <w:r>
        <w:rPr>
          <w:b w:val="0"/>
          <w:i w:val="0"/>
        </w:rPr>
      </w:r>
      <w:r>
        <w:rPr>
          <w:b/>
          <w:i w:val="0"/>
        </w:rPr>
        <w:t>Controlling authority.</w:t>
      </w:r>
      <w:r>
        <w:rPr>
          <w:b w:val="0"/>
          <w:i w:val="0"/>
        </w:rPr>
        <w:t xml:space="preserve"> §10-1-761(4)(B). SJ Order §IV.B.2 (reasonableness is a totality-of-circumstances question under Hoshizaki, 338 Ga. App. at 44). On compilations, the SJ Order asks "whether the compilation as a whole . . . derives independent economic value from not being generally known."</w:t>
      </w:r>
    </w:p>
    <w:p>
      <w:r>
        <w:rPr>
          <w:b w:val="0"/>
          <w:i w:val="0"/>
        </w:rPr>
      </w:r>
      <w:r>
        <w:rPr>
          <w:b/>
          <w:i w:val="0"/>
        </w:rPr>
        <w:t>Recommended objection / alternative.</w:t>
      </w:r>
      <w:r>
        <w:rPr>
          <w:b w:val="0"/>
          <w:i w:val="0"/>
        </w:rPr>
        <w:t xml:space="preserve"> No. 13: replace "inadequate" with "not reasonable under the circumstances." Add that reasonable measures do not require perfect or absolute secrecy and that the jury may consider the nature of the information and the size and circumstances of the business. No. 20: delete the "sufficient added value" sentence and track the SJ Order's "compilation as a whole" language.</w:t>
      </w:r>
    </w:p>
    <w:p>
      <w:pPr>
        <w:pStyle w:val="Heading2"/>
      </w:pPr>
      <w:r>
        <w:t>M. Instructions No. 18, 19 and 15 — Independent Development; General Knowledge; Readily Ascertainable (MEDIUM/LOW)</w:t>
      </w:r>
    </w:p>
    <w:p>
      <w:r>
        <w:rPr>
          <w:b w:val="0"/>
          <w:i w:val="0"/>
        </w:rPr>
      </w:r>
      <w:r>
        <w:rPr>
          <w:b/>
          <w:i w:val="0"/>
        </w:rPr>
        <w:t>Problem.</w:t>
      </w:r>
      <w:r>
        <w:rPr>
          <w:b w:val="0"/>
          <w:i w:val="0"/>
        </w:rPr>
        <w:t xml:space="preserve"> No. 19 (general knowledge, skill, and experience) is a proper GTSA concept. As drafted, however, it is not limited to the trade secret claim, and jurors could apply it to the contract claim. The Agreement reaches a broader range of non-public Confidential Information, including memorized information, and puts the burden of proving exclusions on the employee (§4.1). No. 18 calls independent development a "complete defense." That is acceptable as to Axial's independently developed features, but it should be clear that the burden on misappropriation stays with Oakvale, which is consistent with our case, and that independent development by Axial does not excuse any use or disclosure by Dr. Voss. No. 15 lists "independent development" as a way information becomes "readily ascertainable." That confuses a defense to use with the definition of a trade secret. Also check the citation: No. 15 and the SJ Order cite Penalty Kick as 318 Ga. App. 586 (2012), while our Trial Brief cites 318 F.3d 1284 (11th Cir. 2003).</w:t>
      </w:r>
    </w:p>
    <w:p>
      <w:r>
        <w:rPr>
          <w:b w:val="0"/>
          <w:i w:val="0"/>
        </w:rPr>
      </w:r>
      <w:r>
        <w:rPr>
          <w:b/>
          <w:i w:val="0"/>
        </w:rPr>
        <w:t>Controlling authority.</w:t>
      </w:r>
      <w:r>
        <w:rPr>
          <w:b w:val="0"/>
          <w:i w:val="0"/>
        </w:rPr>
        <w:t xml:space="preserve"> Agreement §4.1 and §4.2; SJ Order §IV.D (Dr. Voss's general-skills contention is a fact dispute under the contract).</w:t>
      </w:r>
    </w:p>
    <w:p>
      <w:r>
        <w:rPr>
          <w:b w:val="0"/>
          <w:i w:val="0"/>
        </w:rPr>
      </w:r>
      <w:r>
        <w:rPr>
          <w:b/>
          <w:i w:val="0"/>
        </w:rPr>
        <w:t>Recommended objection / alternative.</w:t>
      </w:r>
      <w:r>
        <w:rPr>
          <w:b w:val="0"/>
          <w:i w:val="0"/>
        </w:rPr>
        <w:t xml:space="preserve"> Limit No. 19 to the GTSA claim, and add a companion contract instruction. In No. 18, state that the defense applies only to features developed "without use of or reference to" Oakvale information, "including information provided by Dr. Voss." Remove "independent development" from No. 15. Cite-check Penalty Kick in all filings.</w:t>
      </w:r>
    </w:p>
    <w:p>
      <w:pPr>
        <w:pStyle w:val="Heading2"/>
      </w:pPr>
      <w:r>
        <w:t>N. Instructions No. 11, 24, 28, 35 and Other Items (LOW)</w:t>
      </w:r>
    </w:p>
    <w:p>
      <w:r>
        <w:rPr>
          <w:b w:val="0"/>
          <w:i w:val="0"/>
        </w:rPr>
      </w:r>
      <w:r>
        <w:rPr>
          <w:b/>
          <w:i w:val="0"/>
        </w:rPr>
        <w:t>Problem.</w:t>
      </w:r>
      <w:r>
        <w:rPr>
          <w:b w:val="0"/>
          <w:i w:val="0"/>
        </w:rPr>
        <w:t xml:space="preserve"> No. 11 cites "Employment Agreement, Section 12" for choice of law. In the Agreement produced, the governing-law clause is §8.1 (see Part IV.2). No. 24 states that the parties "have stipulated" that the Agreement is valid and enforceable. Confirm there is a written stipulation, since Defendants argued unenforceability at summary judgment (SJ Order §IV.D, rejected). If there is none, ask that the instruction say the Court has determined enforceability. No. 28 (causation) is generally acceptable, but the "would have occurred regardless" sentence should not suggest that Defendants' conduct must be the sole cause. The instruction already says there may be more than one proximate cause. No. 35 (verdict form) should list the six categories only, include separate actual-loss and unjust-enrichment lines, and include the "willful and malicious" finding. No. 34 (injunctive relief for the Court) is consistent with the Minutes, and we do not object. Nos. 1–9, 26 and 33 appear to be standard and unobjectionable, subject to the party-name correction below.</w:t>
      </w:r>
    </w:p>
    <w:p>
      <w:r>
        <w:rPr>
          <w:b w:val="0"/>
          <w:i w:val="0"/>
        </w:rPr>
      </w:r>
      <w:r>
        <w:rPr>
          <w:b/>
          <w:i w:val="0"/>
        </w:rPr>
        <w:t>Controlling authority.</w:t>
      </w:r>
      <w:r>
        <w:rPr>
          <w:b w:val="0"/>
          <w:i w:val="0"/>
        </w:rPr>
        <w:t xml:space="preserve"> Agreement §8.1; SJ Order §IV.D; Minutes §§III, VIII.</w:t>
      </w:r>
    </w:p>
    <w:p>
      <w:r>
        <w:rPr>
          <w:b w:val="0"/>
          <w:i w:val="0"/>
        </w:rPr>
      </w:r>
      <w:r>
        <w:rPr>
          <w:b/>
          <w:i w:val="0"/>
        </w:rPr>
        <w:t>Recommended objection / alternative.</w:t>
      </w:r>
      <w:r>
        <w:rPr>
          <w:b w:val="0"/>
          <w:i w:val="0"/>
        </w:rPr>
        <w:t xml:space="preserve"> Make targeted corrections as noted.</w:t>
      </w:r>
    </w:p>
    <w:p>
      <w:pPr>
        <w:pStyle w:val="Heading1"/>
      </w:pPr>
      <w:r>
        <w:t>IV. Cross-Document Inconsistencies Requiring Attention</w:t>
      </w:r>
    </w:p>
    <w:p>
      <w:r>
        <w:rPr>
          <w:b w:val="0"/>
          <w:i w:val="0"/>
        </w:rPr>
        <w:t>These are not all defense errors. Several affect our own filings and the substitute language we will propose. They should be resolved before April 7.</w:t>
      </w:r>
    </w:p>
    <w:tbl>
      <w:tblPr>
        <w:tblStyle w:val="TableGrid"/>
        <w:tblW w:type="auto" w:w="0"/>
        <w:tblLook w:firstColumn="1" w:firstRow="1" w:lastColumn="0" w:lastRow="0" w:noHBand="0" w:noVBand="1" w:val="04A0"/>
      </w:tblPr>
      <w:tblGrid>
        <w:gridCol w:w="2340"/>
        <w:gridCol w:w="2340"/>
        <w:gridCol w:w="2340"/>
        <w:gridCol w:w="2340"/>
      </w:tblGrid>
      <w:tr>
        <w:tc>
          <w:tcPr>
            <w:tcW w:type="dxa" w:w="432"/>
            <w:shd w:val="clear" w:fill="D9E2F3"/>
          </w:tcPr>
          <w:p>
            <w:r/>
            <w:r>
              <w:rPr>
                <w:b/>
                <w:sz w:val="19"/>
              </w:rPr>
              <w:t>#</w:t>
            </w:r>
          </w:p>
        </w:tc>
        <w:tc>
          <w:tcPr>
            <w:tcW w:type="dxa" w:w="4032"/>
            <w:shd w:val="clear" w:fill="D9E2F3"/>
          </w:tcPr>
          <w:p>
            <w:r/>
            <w:r>
              <w:rPr>
                <w:b/>
                <w:sz w:val="19"/>
              </w:rPr>
              <w:t>Issue</w:t>
            </w:r>
          </w:p>
        </w:tc>
        <w:tc>
          <w:tcPr>
            <w:tcW w:type="dxa" w:w="2016"/>
            <w:shd w:val="clear" w:fill="D9E2F3"/>
          </w:tcPr>
          <w:p>
            <w:r/>
            <w:r>
              <w:rPr>
                <w:b/>
                <w:sz w:val="19"/>
              </w:rPr>
              <w:t>Where It Appears</w:t>
            </w:r>
          </w:p>
        </w:tc>
        <w:tc>
          <w:tcPr>
            <w:tcW w:type="dxa" w:w="2880"/>
            <w:shd w:val="clear" w:fill="D9E2F3"/>
          </w:tcPr>
          <w:p>
            <w:r/>
            <w:r>
              <w:rPr>
                <w:b/>
                <w:sz w:val="19"/>
              </w:rPr>
              <w:t>Action</w:t>
            </w:r>
          </w:p>
        </w:tc>
      </w:tr>
      <w:tr>
        <w:tc>
          <w:tcPr>
            <w:tcW w:type="dxa" w:w="432"/>
          </w:tcPr>
          <w:p>
            <w:r/>
            <w:r>
              <w:rPr>
                <w:b w:val="0"/>
                <w:sz w:val="19"/>
              </w:rPr>
              <w:t>1</w:t>
            </w:r>
          </w:p>
        </w:tc>
        <w:tc>
          <w:tcPr>
            <w:tcW w:type="dxa" w:w="4032"/>
          </w:tcPr>
          <w:p>
            <w:r/>
            <w:r>
              <w:rPr>
                <w:b w:val="0"/>
                <w:sz w:val="19"/>
              </w:rPr>
              <w:t>Plaintiff's name. Every caption, and the Agreement's signature block, reads "RIDGEMONT TECHNOLOGIES, INC." The body text of every document, including the Agreement's preamble and the defense instructions, says "Oakvale Technologies, Inc."</w:t>
            </w:r>
          </w:p>
        </w:tc>
        <w:tc>
          <w:tcPr>
            <w:tcW w:type="dxa" w:w="2016"/>
          </w:tcPr>
          <w:p>
            <w:r/>
            <w:r>
              <w:rPr>
                <w:b w:val="0"/>
                <w:sz w:val="19"/>
              </w:rPr>
              <w:t>All documents</w:t>
            </w:r>
          </w:p>
        </w:tc>
        <w:tc>
          <w:tcPr>
            <w:tcW w:type="dxa" w:w="2880"/>
          </w:tcPr>
          <w:p>
            <w:r/>
            <w:r>
              <w:rPr>
                <w:b w:val="0"/>
                <w:sz w:val="19"/>
              </w:rPr>
              <w:t>Confirm the correct legal entity (e.g., a name change or successor under Agreement §8.7). Correct captions, or the jury charge, so the named party is consistent.</w:t>
            </w:r>
          </w:p>
        </w:tc>
      </w:tr>
      <w:tr>
        <w:tc>
          <w:tcPr>
            <w:tcW w:type="dxa" w:w="432"/>
          </w:tcPr>
          <w:p>
            <w:r/>
            <w:r>
              <w:rPr>
                <w:b w:val="0"/>
                <w:sz w:val="19"/>
              </w:rPr>
              <w:t>2</w:t>
            </w:r>
          </w:p>
        </w:tc>
        <w:tc>
          <w:tcPr>
            <w:tcW w:type="dxa" w:w="4032"/>
          </w:tcPr>
          <w:p>
            <w:r/>
            <w:r>
              <w:rPr>
                <w:b w:val="0"/>
                <w:sz w:val="19"/>
              </w:rPr>
              <w:t>Agreement section numbering. The SJ Order cites confidentiality as §5 (with §5(a), (b), (d)), invention assignment as §6, non-solicitation as §7, and choice of law as §12(a). The Agreement produced has confidentiality at §4, invention assignment at §5, non-solicitation at §6, remedies at §7, and governing law at §8.1. The quoted language also differs.</w:t>
            </w:r>
          </w:p>
        </w:tc>
        <w:tc>
          <w:tcPr>
            <w:tcW w:type="dxa" w:w="2016"/>
          </w:tcPr>
          <w:p>
            <w:r/>
            <w:r>
              <w:rPr>
                <w:b w:val="0"/>
                <w:sz w:val="19"/>
              </w:rPr>
              <w:t>SJ Order §II.B; Agreement; Def. Nos. 11, 25</w:t>
            </w:r>
          </w:p>
        </w:tc>
        <w:tc>
          <w:tcPr>
            <w:tcW w:type="dxa" w:w="2880"/>
          </w:tcPr>
          <w:p>
            <w:r/>
            <w:r>
              <w:rPr>
                <w:b w:val="0"/>
                <w:sz w:val="19"/>
              </w:rPr>
              <w:t>Confirm which version is the operative trial exhibit (Dkt. 142-3). Use consistent section references in the charge.</w:t>
            </w:r>
          </w:p>
        </w:tc>
      </w:tr>
      <w:tr>
        <w:tc>
          <w:tcPr>
            <w:tcW w:type="dxa" w:w="432"/>
          </w:tcPr>
          <w:p>
            <w:r/>
            <w:r>
              <w:rPr>
                <w:b w:val="0"/>
                <w:sz w:val="19"/>
              </w:rPr>
              <w:t>3</w:t>
            </w:r>
          </w:p>
        </w:tc>
        <w:tc>
          <w:tcPr>
            <w:tcW w:type="dxa" w:w="4032"/>
          </w:tcPr>
          <w:p>
            <w:r/>
            <w:r>
              <w:rPr>
                <w:b w:val="0"/>
                <w:sz w:val="19"/>
              </w:rPr>
              <w:t>Spoliation dates. The Sanctions Order has the hold received April 14–17, 2023 and deletions April 19 – May 3, 2023 (about two weeks). The SJ Order has the hold on October 14, 2022 and deletions October 19 – November 3, 2022 ("sixteen-day period").</w:t>
            </w:r>
          </w:p>
        </w:tc>
        <w:tc>
          <w:tcPr>
            <w:tcW w:type="dxa" w:w="2016"/>
          </w:tcPr>
          <w:p>
            <w:r/>
            <w:r>
              <w:rPr>
                <w:b w:val="0"/>
                <w:sz w:val="19"/>
              </w:rPr>
              <w:t>Sanctions Order §III; SJ Order §II.F</w:t>
            </w:r>
          </w:p>
        </w:tc>
        <w:tc>
          <w:tcPr>
            <w:tcW w:type="dxa" w:w="2880"/>
          </w:tcPr>
          <w:p>
            <w:r/>
            <w:r>
              <w:rPr>
                <w:b w:val="0"/>
                <w:sz w:val="19"/>
              </w:rPr>
              <w:t>Use the Sanctions Order findings (the operative order) in the adverse-inference instruction. Consider asking the Court to conform the record.</w:t>
            </w:r>
          </w:p>
        </w:tc>
      </w:tr>
      <w:tr>
        <w:tc>
          <w:tcPr>
            <w:tcW w:type="dxa" w:w="432"/>
          </w:tcPr>
          <w:p>
            <w:r/>
            <w:r>
              <w:rPr>
                <w:b w:val="0"/>
                <w:sz w:val="19"/>
              </w:rPr>
              <w:t>4</w:t>
            </w:r>
          </w:p>
        </w:tc>
        <w:tc>
          <w:tcPr>
            <w:tcW w:type="dxa" w:w="4032"/>
          </w:tcPr>
          <w:p>
            <w:r/>
            <w:r>
              <w:rPr>
                <w:b w:val="0"/>
                <w:sz w:val="19"/>
              </w:rPr>
              <w:t>Sanctions docket numbers. Motion is ECF 134 and the reply ECF 148 (Sanctions Order); the SJ Order cites the order as Dkt. 117; our Trial Brief cites Dkt. 142. ECF 142/148 are also the SJ motions per the SJ Order.</w:t>
            </w:r>
          </w:p>
        </w:tc>
        <w:tc>
          <w:tcPr>
            <w:tcW w:type="dxa" w:w="2016"/>
          </w:tcPr>
          <w:p>
            <w:r/>
            <w:r>
              <w:rPr>
                <w:b w:val="0"/>
                <w:sz w:val="19"/>
              </w:rPr>
              <w:t>Sanctions Order; SJ Order; Trial Brief</w:t>
            </w:r>
          </w:p>
        </w:tc>
        <w:tc>
          <w:tcPr>
            <w:tcW w:type="dxa" w:w="2880"/>
          </w:tcPr>
          <w:p>
            <w:r/>
            <w:r>
              <w:rPr>
                <w:b w:val="0"/>
                <w:sz w:val="19"/>
              </w:rPr>
              <w:t>Verify on the docket before citing.</w:t>
            </w:r>
          </w:p>
        </w:tc>
      </w:tr>
      <w:tr>
        <w:tc>
          <w:tcPr>
            <w:tcW w:type="dxa" w:w="432"/>
          </w:tcPr>
          <w:p>
            <w:r/>
            <w:r>
              <w:rPr>
                <w:b w:val="0"/>
                <w:sz w:val="19"/>
              </w:rPr>
              <w:t>5</w:t>
            </w:r>
          </w:p>
        </w:tc>
        <w:tc>
          <w:tcPr>
            <w:tcW w:type="dxa" w:w="4032"/>
          </w:tcPr>
          <w:p>
            <w:r/>
            <w:r>
              <w:rPr>
                <w:b w:val="0"/>
                <w:sz w:val="19"/>
              </w:rPr>
              <w:t>Voss's title at hire. The Agreement (§1.1) says Senior Director of Applied AI as of March 14, 2016. The SJ Order says Principal Research Scientist, promoted to Senior Director in January 2019. The Agreement is signed for the company by "David R. Hensley, CTO," while Dr. Olin is identified as CTO later.</w:t>
            </w:r>
          </w:p>
        </w:tc>
        <w:tc>
          <w:tcPr>
            <w:tcW w:type="dxa" w:w="2016"/>
          </w:tcPr>
          <w:p>
            <w:r/>
            <w:r>
              <w:rPr>
                <w:b w:val="0"/>
                <w:sz w:val="19"/>
              </w:rPr>
              <w:t>Agreement §1.1; SJ Order §II.A</w:t>
            </w:r>
          </w:p>
        </w:tc>
        <w:tc>
          <w:tcPr>
            <w:tcW w:type="dxa" w:w="2880"/>
          </w:tcPr>
          <w:p>
            <w:r/>
            <w:r>
              <w:rPr>
                <w:b w:val="0"/>
                <w:sz w:val="19"/>
              </w:rPr>
              <w:t>Reconcile before witness examination.</w:t>
            </w:r>
          </w:p>
        </w:tc>
      </w:tr>
      <w:tr>
        <w:tc>
          <w:tcPr>
            <w:tcW w:type="dxa" w:w="432"/>
          </w:tcPr>
          <w:p>
            <w:r/>
            <w:r>
              <w:rPr>
                <w:b w:val="0"/>
                <w:sz w:val="19"/>
              </w:rPr>
              <w:t>6</w:t>
            </w:r>
          </w:p>
        </w:tc>
        <w:tc>
          <w:tcPr>
            <w:tcW w:type="dxa" w:w="4032"/>
          </w:tcPr>
          <w:p>
            <w:r/>
            <w:r>
              <w:rPr>
                <w:b w:val="0"/>
                <w:sz w:val="19"/>
              </w:rPr>
              <w:t>Trial Brief errors. Trial date stated as April 14, 2025 (that is the charge conference; trial is April 28). Refers to a "February 21, 2025 status conference" (the conference was February 10). Attributes the Slack messages to August 2022 and Axial's CTO/VP of Product, while the SJ Order describes October–November 2022 messages involving Director of Engineering Marcus Towne. Names the technical expert "Dr. Anisa Khouri" (the SJ Order names Dr. Harold Fenn). Describes the adverse inference as running against "Defendants" (it runs against Dr. Voss only). Says the spoliated files were transferred "following his departure." Describes the Daubert challenge as "Axial's."</w:t>
            </w:r>
          </w:p>
        </w:tc>
        <w:tc>
          <w:tcPr>
            <w:tcW w:type="dxa" w:w="2016"/>
          </w:tcPr>
          <w:p>
            <w:r/>
            <w:r>
              <w:rPr>
                <w:b w:val="0"/>
                <w:sz w:val="19"/>
              </w:rPr>
              <w:t>Trial Brief §§I, II.B, IV.B, V.A</w:t>
            </w:r>
          </w:p>
        </w:tc>
        <w:tc>
          <w:tcPr>
            <w:tcW w:type="dxa" w:w="2880"/>
          </w:tcPr>
          <w:p>
            <w:r/>
            <w:r>
              <w:rPr>
                <w:b w:val="0"/>
                <w:sz w:val="19"/>
              </w:rPr>
              <w:t>Consider an errata or correct in later filings. Do not carry these into the objections.</w:t>
            </w:r>
          </w:p>
        </w:tc>
      </w:tr>
      <w:tr>
        <w:tc>
          <w:tcPr>
            <w:tcW w:type="dxa" w:w="432"/>
          </w:tcPr>
          <w:p>
            <w:r/>
            <w:r>
              <w:rPr>
                <w:b w:val="0"/>
                <w:sz w:val="19"/>
              </w:rPr>
              <w:t>7</w:t>
            </w:r>
          </w:p>
        </w:tc>
        <w:tc>
          <w:tcPr>
            <w:tcW w:type="dxa" w:w="4032"/>
          </w:tcPr>
          <w:p>
            <w:r/>
            <w:r>
              <w:rPr>
                <w:b w:val="0"/>
                <w:sz w:val="19"/>
              </w:rPr>
              <w:t>Courtroom. SJ Order ¶7 says 2305; Minutes §VIII say 2307.</w:t>
            </w:r>
          </w:p>
        </w:tc>
        <w:tc>
          <w:tcPr>
            <w:tcW w:type="dxa" w:w="2016"/>
          </w:tcPr>
          <w:p>
            <w:r/>
            <w:r>
              <w:rPr>
                <w:b w:val="0"/>
                <w:sz w:val="19"/>
              </w:rPr>
              <w:t>SJ Order; Minutes</w:t>
            </w:r>
          </w:p>
        </w:tc>
        <w:tc>
          <w:tcPr>
            <w:tcW w:type="dxa" w:w="2880"/>
          </w:tcPr>
          <w:p>
            <w:r/>
            <w:r>
              <w:rPr>
                <w:b w:val="0"/>
                <w:sz w:val="19"/>
              </w:rPr>
              <w:t>Confirm with the courtroom deputy.</w:t>
            </w:r>
          </w:p>
        </w:tc>
      </w:tr>
      <w:tr>
        <w:tc>
          <w:tcPr>
            <w:tcW w:type="dxa" w:w="432"/>
          </w:tcPr>
          <w:p>
            <w:r/>
            <w:r>
              <w:rPr>
                <w:b w:val="0"/>
                <w:sz w:val="19"/>
              </w:rPr>
              <w:t>8</w:t>
            </w:r>
          </w:p>
        </w:tc>
        <w:tc>
          <w:tcPr>
            <w:tcW w:type="dxa" w:w="4032"/>
          </w:tcPr>
          <w:p>
            <w:r/>
            <w:r>
              <w:rPr>
                <w:b w:val="0"/>
                <w:sz w:val="19"/>
              </w:rPr>
              <w:t>Unjust-enrichment base ($22.0M total vs. excluding the 14 diverted customers).</w:t>
            </w:r>
          </w:p>
        </w:tc>
        <w:tc>
          <w:tcPr>
            <w:tcW w:type="dxa" w:w="2016"/>
          </w:tcPr>
          <w:p>
            <w:r/>
            <w:r>
              <w:rPr>
                <w:b w:val="0"/>
                <w:sz w:val="19"/>
              </w:rPr>
              <w:t>Trial Brief §IV.B–C; SJ Order §II.G</w:t>
            </w:r>
          </w:p>
        </w:tc>
        <w:tc>
          <w:tcPr>
            <w:tcW w:type="dxa" w:w="2880"/>
          </w:tcPr>
          <w:p>
            <w:r/>
            <w:r>
              <w:rPr>
                <w:b w:val="0"/>
                <w:sz w:val="19"/>
              </w:rPr>
              <w:t>Confirm with Dr. Marchetti before arguing No. 30 (see III.G).</w:t>
            </w:r>
          </w:p>
        </w:tc>
      </w:tr>
    </w:tbl>
    <w:p/>
    <w:p>
      <w:pPr>
        <w:pStyle w:val="Heading1"/>
      </w:pPr>
      <w:r>
        <w:t>V. Omissions: Instructions We Should Affirmatively Request</w:t>
      </w:r>
    </w:p>
    <w:p>
      <w:pPr>
        <w:pStyle w:val="ListBullet"/>
      </w:pPr>
      <w:r>
        <w:rPr>
          <w:b w:val="0"/>
        </w:rPr>
        <w:t xml:space="preserve">The </w:t>
      </w:r>
      <w:r>
        <w:rPr>
          <w:b/>
        </w:rPr>
        <w:t>adverse-inference instruction against Dr. Voss</w:t>
      </w:r>
      <w:r>
        <w:rPr>
          <w:b w:val="0"/>
        </w:rPr>
        <w:t xml:space="preserve"> (Sanctions Order ¶4). Defendants offered only its opposite.</w:t>
      </w:r>
    </w:p>
    <w:p>
      <w:pPr>
        <w:pStyle w:val="ListBullet"/>
      </w:pPr>
      <w:r>
        <w:rPr>
          <w:b w:val="0"/>
        </w:rPr>
        <w:t xml:space="preserve">The </w:t>
      </w:r>
      <w:r>
        <w:rPr>
          <w:b/>
        </w:rPr>
        <w:t>permissible-inference / job-similarity instruction</w:t>
      </w:r>
      <w:r>
        <w:rPr>
          <w:b w:val="0"/>
        </w:rPr>
        <w:t xml:space="preserve"> the SJ Order said would be addressed at the charge conference (§IV.C).</w:t>
      </w:r>
    </w:p>
    <w:p>
      <w:pPr>
        <w:pStyle w:val="ListBullet"/>
      </w:pPr>
      <w:r>
        <w:rPr>
          <w:b w:val="0"/>
        </w:rPr>
        <w:t xml:space="preserve">A </w:t>
      </w:r>
      <w:r>
        <w:rPr>
          <w:b/>
        </w:rPr>
        <w:t>full statutory misappropriation definition</w:t>
      </w:r>
      <w:r>
        <w:rPr>
          <w:b w:val="0"/>
        </w:rPr>
        <w:t xml:space="preserve"> including use and disclosure (§10-1-761(2)(B)).</w:t>
      </w:r>
    </w:p>
    <w:p>
      <w:pPr>
        <w:pStyle w:val="ListBullet"/>
      </w:pPr>
      <w:r>
        <w:rPr>
          <w:b w:val="0"/>
        </w:rPr>
        <w:t xml:space="preserve">A </w:t>
      </w:r>
      <w:r>
        <w:rPr>
          <w:b/>
        </w:rPr>
        <w:t>contract-specific Confidential Information instruction</w:t>
      </w:r>
      <w:r>
        <w:rPr>
          <w:b w:val="0"/>
        </w:rPr>
        <w:t xml:space="preserve"> tracking Agreement §4.1–4.2, including memorized information, the use prong, and the employee's burden on exclusions. Also a statement that there is no non-compete, so the job change is not itself a breach (Agreement §6.3), which is consistent with our theory.</w:t>
      </w:r>
    </w:p>
    <w:p>
      <w:pPr>
        <w:pStyle w:val="ListBullet"/>
      </w:pPr>
      <w:r>
        <w:rPr>
          <w:b w:val="0"/>
        </w:rPr>
        <w:t xml:space="preserve">A </w:t>
      </w:r>
      <w:r>
        <w:rPr>
          <w:b/>
        </w:rPr>
        <w:t>non-duplication damages instruction</w:t>
      </w:r>
      <w:r>
        <w:rPr>
          <w:b w:val="0"/>
        </w:rPr>
        <w:t xml:space="preserve"> (§10-1-763(a); SJ Order ¶5(d)). Optionally, a reasonable-royalty alternative, if we decide to preserve it.</w:t>
      </w:r>
    </w:p>
    <w:p>
      <w:pPr>
        <w:pStyle w:val="ListBullet"/>
      </w:pPr>
      <w:r>
        <w:rPr>
          <w:b w:val="0"/>
        </w:rPr>
        <w:t xml:space="preserve">A </w:t>
      </w:r>
      <w:r>
        <w:rPr>
          <w:b/>
        </w:rPr>
        <w:t>"willful and malicious" exemplary-damages instruction</w:t>
      </w:r>
      <w:r>
        <w:rPr>
          <w:b w:val="0"/>
        </w:rPr>
        <w:t xml:space="preserve"> (§10-1-763(b)), with the cap reserved to the Court.</w:t>
      </w:r>
    </w:p>
    <w:p>
      <w:pPr>
        <w:pStyle w:val="ListBullet"/>
      </w:pPr>
      <w:r>
        <w:rPr>
          <w:b w:val="0"/>
        </w:rPr>
        <w:t xml:space="preserve">A </w:t>
      </w:r>
      <w:r>
        <w:rPr>
          <w:b/>
        </w:rPr>
        <w:t>limiting instruction</w:t>
      </w:r>
      <w:r>
        <w:rPr>
          <w:b w:val="0"/>
        </w:rPr>
        <w:t xml:space="preserve"> that SignalSift is not at issue, coordinated with our motion in limine.</w:t>
      </w:r>
    </w:p>
    <w:p>
      <w:pPr>
        <w:pStyle w:val="Heading1"/>
      </w:pPr>
      <w:r>
        <w:t>VI. Recommended Next Steps</w:t>
      </w:r>
    </w:p>
    <w:p>
      <w:pPr>
        <w:pStyle w:val="ListBullet"/>
      </w:pPr>
      <w:r>
        <w:rPr>
          <w:b w:val="0"/>
        </w:rPr>
        <w:t xml:space="preserve">Draft and file objections by </w:t>
      </w:r>
      <w:r>
        <w:rPr>
          <w:b/>
        </w:rPr>
        <w:t>April 7, 2025</w:t>
      </w:r>
      <w:r>
        <w:rPr>
          <w:b w:val="0"/>
        </w:rPr>
        <w:t>. Lead with Nos. 21, 29, 14 and 23 as violations of prior orders, then address the substantive errors. Include alternative language for each objection, as the Minutes require.</w:t>
      </w:r>
    </w:p>
    <w:p>
      <w:pPr>
        <w:pStyle w:val="ListBullet"/>
      </w:pPr>
      <w:r>
        <w:rPr>
          <w:b w:val="0"/>
        </w:rPr>
        <w:t>Resolve the party-name and Agreement-version questions (Part IV.1–2) before filing. Every substitute instruction depends on them.</w:t>
      </w:r>
    </w:p>
    <w:p>
      <w:pPr>
        <w:pStyle w:val="ListBullet"/>
      </w:pPr>
      <w:r>
        <w:rPr>
          <w:b w:val="0"/>
        </w:rPr>
        <w:t>Confirm the structure of Dr. Marchetti's unjust-enrichment calculation, and complete research on the burden of proof for §10-1-763(b) and on the cap, before the April 14 charge conference.</w:t>
      </w:r>
    </w:p>
    <w:p>
      <w:pPr>
        <w:pStyle w:val="ListBullet"/>
      </w:pPr>
      <w:r>
        <w:rPr>
          <w:b w:val="0"/>
        </w:rPr>
        <w:t>Prepare an errata for, or corrections to, the Trial Brief (Part IV.6).</w:t>
      </w:r>
    </w:p>
    <w:p>
      <w:pPr>
        <w:pStyle w:val="ListBullet"/>
      </w:pPr>
      <w:r>
        <w:rPr>
          <w:b w:val="0"/>
        </w:rPr>
        <w:t>Ask Defendants to identify the "November 18, 2024 Daubert Order" and to confirm the claimed validity stipulation (No. 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