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w:t>
      </w:r>
      <w:r>
        <w:t xml:space="preserve"> </w:t>
      </w:r>
      <w:r>
        <w:t xml:space="preserve">Designation</w:t>
      </w:r>
      <w:r>
        <w:t xml:space="preserve"> </w:t>
      </w:r>
      <w:r>
        <w:t xml:space="preserve">Report</w:t>
      </w:r>
      <w:r>
        <w:t xml:space="preserve"> </w:t>
      </w:r>
      <w:r>
        <w:t xml:space="preserve">—</w:t>
      </w:r>
      <w:r>
        <w:t xml:space="preserve"> </w:t>
      </w:r>
      <w:r>
        <w:t xml:space="preserve">Priority</w:t>
      </w:r>
      <w:r>
        <w:t xml:space="preserve"> </w:t>
      </w:r>
      <w:r>
        <w:t xml:space="preserve">Batch</w:t>
      </w:r>
      <w:r>
        <w:t xml:space="preserve"> </w:t>
      </w:r>
      <w:r>
        <w:t xml:space="preserve">(18</w:t>
      </w:r>
      <w:r>
        <w:t xml:space="preserve"> </w:t>
      </w:r>
      <w:r>
        <w:t xml:space="preserve">Documents)</w:t>
      </w:r>
    </w:p>
    <w:p>
      <w:pPr>
        <w:pStyle w:val="Subtitle"/>
      </w:pPr>
      <w:r>
        <w:t xml:space="preserve">Huang</w:t>
      </w:r>
      <w:r>
        <w:t xml:space="preserve"> </w:t>
      </w:r>
      <w:r>
        <w:t xml:space="preserve">v.</w:t>
      </w:r>
      <w:r>
        <w:t xml:space="preserve"> </w:t>
      </w:r>
      <w:r>
        <w:t xml:space="preserve">Greenleaf</w:t>
      </w:r>
      <w:r>
        <w:t xml:space="preserve"> </w:t>
      </w:r>
      <w:r>
        <w:t xml:space="preserve">Consumer</w:t>
      </w:r>
      <w:r>
        <w:t xml:space="preserve"> </w:t>
      </w:r>
      <w:r>
        <w:t xml:space="preserve">Products,</w:t>
      </w:r>
      <w:r>
        <w:t xml:space="preserve"> </w:t>
      </w:r>
      <w:r>
        <w:t xml:space="preserve">Inc.,</w:t>
      </w:r>
      <w:r>
        <w:t xml:space="preserve"> </w:t>
      </w:r>
      <w:r>
        <w:t xml:space="preserve">No. 5:24-cv-04187-RLK</w:t>
      </w:r>
      <w:r>
        <w:t xml:space="preserve"> </w:t>
      </w:r>
      <w:r>
        <w:t xml:space="preserve">(N.D.</w:t>
      </w:r>
      <w:r>
        <w:t xml:space="preserve"> </w:t>
      </w:r>
      <w:r>
        <w:t xml:space="preserve">Cal.,</w:t>
      </w:r>
      <w:r>
        <w:t xml:space="preserve"> </w:t>
      </w:r>
      <w:r>
        <w:t xml:space="preserve">San</w:t>
      </w:r>
      <w:r>
        <w:t xml:space="preserve"> </w:t>
      </w:r>
      <w:r>
        <w:t xml:space="preserve">Jose</w:t>
      </w:r>
      <w:r>
        <w:t xml:space="preserve"> </w:t>
      </w:r>
      <w:r>
        <w:t xml:space="preserve">Div.)</w:t>
      </w:r>
      <w:r>
        <w:t xml:space="preserve"> </w:t>
      </w:r>
      <w:r>
        <w:t xml:space="preserve">(Kirkwood,</w:t>
      </w:r>
      <w:r>
        <w:t xml:space="preserve"> </w:t>
      </w:r>
      <w:r>
        <w:t xml:space="preserve">J.)</w:t>
      </w:r>
    </w:p>
    <w:p>
      <w:pPr>
        <w:pStyle w:val="FirstParagraph"/>
      </w:pPr>
      <w:r>
        <w:rPr>
          <w:b/>
          <w:bCs/>
        </w:rPr>
        <w:t xml:space="preserve">PRIVILEGED AND CONFIDENTIAL — ATTORNEY WORK PRODUCT — PREPARED AT THE DIRECTION OF COUNSEL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Caroline Frey, Senior Associate (second-level review); Nathan Bridger, Partner (partner sign-off)</w:t>
            </w:r>
          </w:p>
        </w:tc>
      </w:tr>
      <w:tr>
        <w:tc>
          <w:tcPr/>
          <w:p>
            <w:pPr>
              <w:pStyle w:val="Compact"/>
              <w:jc w:val="left"/>
            </w:pPr>
            <w:r>
              <w:rPr>
                <w:b/>
                <w:bCs/>
              </w:rPr>
              <w:t xml:space="preserve">Re</w:t>
            </w:r>
          </w:p>
        </w:tc>
        <w:tc>
          <w:tcPr/>
          <w:p>
            <w:pPr>
              <w:pStyle w:val="Compact"/>
              <w:jc w:val="left"/>
            </w:pPr>
            <w:r>
              <w:t xml:space="preserve">First-level privilege designations and draft log entries, 18-document priority batch</w:t>
            </w:r>
          </w:p>
        </w:tc>
      </w:tr>
      <w:tr>
        <w:tc>
          <w:tcPr/>
          <w:p>
            <w:pPr>
              <w:pStyle w:val="Compact"/>
              <w:jc w:val="left"/>
            </w:pPr>
            <w:r>
              <w:rPr>
                <w:b/>
                <w:bCs/>
              </w:rPr>
              <w:t xml:space="preserve">Governing standard</w:t>
            </w:r>
          </w:p>
        </w:tc>
        <w:tc>
          <w:tcPr/>
          <w:p>
            <w:pPr>
              <w:pStyle w:val="Compact"/>
              <w:jc w:val="left"/>
            </w:pPr>
            <w:r>
              <w:t xml:space="preserve">Harwell Bridger Privilege Review Protocol (rev. Mar. 15, 2025) (the</w:t>
            </w:r>
            <w:r>
              <w:t xml:space="preserve"> </w:t>
            </w:r>
            <w:r>
              <w:t xml:space="preserve">“</w:t>
            </w:r>
            <w:r>
              <w:t xml:space="preserve">Protocol</w:t>
            </w:r>
            <w:r>
              <w:t xml:space="preserve">”</w:t>
            </w:r>
            <w:r>
              <w:t xml:space="preserve">)</w:t>
            </w:r>
          </w:p>
        </w:tc>
      </w:tr>
      <w:tr>
        <w:tc>
          <w:tcPr/>
          <w:p>
            <w:pPr>
              <w:pStyle w:val="Compact"/>
              <w:jc w:val="left"/>
            </w:pPr>
            <w:r>
              <w:rPr>
                <w:b/>
                <w:bCs/>
              </w:rPr>
              <w:t xml:space="preserve">Companion file</w:t>
            </w:r>
          </w:p>
        </w:tc>
        <w:tc>
          <w:tcPr/>
          <w:p>
            <w:pPr>
              <w:pStyle w:val="Compact"/>
              <w:jc w:val="left"/>
            </w:pPr>
            <w:r>
              <w:rPr>
                <w:rStyle w:val="VerbatimChar"/>
              </w:rPr>
              <w:t xml:space="preserve">draft-privilege-log-entries.xlsx</w:t>
            </w:r>
            <w:r>
              <w:t xml:space="preserve"> </w:t>
            </w:r>
            <w:r>
              <w:t xml:space="preserve">(log entries ready to serve, provisional entries, corrections to the existing working log)</w:t>
            </w:r>
          </w:p>
        </w:tc>
      </w:tr>
      <w:tr>
        <w:tc>
          <w:tcPr/>
          <w:p>
            <w:pPr>
              <w:pStyle w:val="Compact"/>
              <w:jc w:val="left"/>
            </w:pPr>
            <w:r>
              <w:rPr>
                <w:b/>
                <w:bCs/>
              </w:rPr>
              <w:t xml:space="preserve">Deadlines</w:t>
            </w:r>
          </w:p>
        </w:tc>
        <w:tc>
          <w:tcPr/>
          <w:p>
            <w:pPr>
              <w:pStyle w:val="Compact"/>
              <w:jc w:val="left"/>
            </w:pPr>
            <w:r>
              <w:t xml:space="preserve">First-level review Mar. 25 · Second-level Mar. 31 · Partner sign-off Apr. 7 ·</w:t>
            </w:r>
            <w:r>
              <w:t xml:space="preserve"> </w:t>
            </w:r>
            <w:r>
              <w:rPr>
                <w:b/>
                <w:bCs/>
              </w:rPr>
              <w:t xml:space="preserve">Privilege log due Apr. 14, 2025</w:t>
            </w:r>
          </w:p>
        </w:tc>
      </w:tr>
    </w:tbl>
    <w:bookmarkStart w:id="20" w:name="executive-summary"/>
    <w:p>
      <w:pPr>
        <w:pStyle w:val="Heading1"/>
      </w:pPr>
      <w:r>
        <w:t xml:space="preserve">1. Executive Summary</w:t>
      </w:r>
    </w:p>
    <w:p>
      <w:pPr>
        <w:pStyle w:val="FirstParagraph"/>
      </w:pPr>
      <w:r>
        <w:t xml:space="preserve">I reviewed all 18 documents in the priority batch against the Protocol’s four designation categories (§2).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Designation</w:t>
            </w:r>
          </w:p>
        </w:tc>
        <w:tc>
          <w:tcPr/>
          <w:p>
            <w:pPr>
              <w:pStyle w:val="Compact"/>
              <w:jc w:val="left"/>
            </w:pPr>
            <w:r>
              <w:t xml:space="preserve">Count</w:t>
            </w:r>
          </w:p>
        </w:tc>
        <w:tc>
          <w:tcPr/>
          <w:p>
            <w:pPr>
              <w:pStyle w:val="Compact"/>
              <w:jc w:val="left"/>
            </w:pPr>
            <w:r>
              <w:t xml:space="preserve">Documents</w:t>
            </w:r>
          </w:p>
        </w:tc>
      </w:tr>
      <w:tr>
        <w:tc>
          <w:tcPr/>
          <w:p>
            <w:pPr>
              <w:pStyle w:val="Compact"/>
              <w:jc w:val="left"/>
            </w:pPr>
            <w:r>
              <w:t xml:space="preserve">Privileged — Withhold</w:t>
            </w:r>
          </w:p>
        </w:tc>
        <w:tc>
          <w:tcPr/>
          <w:p>
            <w:pPr>
              <w:pStyle w:val="Compact"/>
              <w:jc w:val="left"/>
            </w:pPr>
            <w:r>
              <w:t xml:space="preserve">6</w:t>
            </w:r>
          </w:p>
        </w:tc>
        <w:tc>
          <w:tcPr/>
          <w:p>
            <w:pPr>
              <w:pStyle w:val="Compact"/>
              <w:jc w:val="left"/>
            </w:pPr>
            <w:r>
              <w:t xml:space="preserve">Litigation strategy memo; Frey notes; Pemberton opinion letter; claw-back memo (internal memo portion); privilege review protocol; working draft privilege log</w:t>
            </w:r>
          </w:p>
        </w:tc>
      </w:tr>
      <w:tr>
        <w:tc>
          <w:tcPr/>
          <w:p>
            <w:pPr>
              <w:pStyle w:val="Compact"/>
              <w:jc w:val="left"/>
            </w:pPr>
            <w:r>
              <w:t xml:space="preserve">Privileged — Withhold with Caveats</w:t>
            </w:r>
          </w:p>
        </w:tc>
        <w:tc>
          <w:tcPr/>
          <w:p>
            <w:pPr>
              <w:pStyle w:val="Compact"/>
              <w:jc w:val="left"/>
            </w:pPr>
            <w:r>
              <w:t xml:space="preserve">5</w:t>
            </w:r>
          </w:p>
        </w:tc>
        <w:tc>
          <w:tcPr/>
          <w:p>
            <w:pPr>
              <w:pStyle w:val="Compact"/>
              <w:jc w:val="left"/>
            </w:pPr>
            <w:r>
              <w:t xml:space="preserve">Bridger email to Cascade’s counsel; Board Audit Committee deck (redact); Emmerich reformulation email (redact); Pemberton invoice (redact); litigation hold notice</w:t>
            </w:r>
          </w:p>
        </w:tc>
      </w:tr>
      <w:tr>
        <w:tc>
          <w:tcPr/>
          <w:p>
            <w:pPr>
              <w:pStyle w:val="Compact"/>
              <w:jc w:val="left"/>
            </w:pPr>
            <w:r>
              <w:t xml:space="preserve">Not Privileged — Produce</w:t>
            </w:r>
          </w:p>
        </w:tc>
        <w:tc>
          <w:tcPr/>
          <w:p>
            <w:pPr>
              <w:pStyle w:val="Compact"/>
              <w:jc w:val="left"/>
            </w:pPr>
            <w:r>
              <w:t xml:space="preserve">4</w:t>
            </w:r>
          </w:p>
        </w:tc>
        <w:tc>
          <w:tcPr/>
          <w:p>
            <w:pPr>
              <w:pStyle w:val="Compact"/>
              <w:jc w:val="left"/>
            </w:pPr>
            <w:r>
              <w:t xml:space="preserve">Competitive market analysis; Emmerich forward to Dr. Moritani (waiver; needs NB sign-off); Slack #product-reformulation export; Plaintiff’s First RFP (not a production item)</w:t>
            </w:r>
          </w:p>
        </w:tc>
      </w:tr>
      <w:tr>
        <w:tc>
          <w:tcPr/>
          <w:p>
            <w:pPr>
              <w:pStyle w:val="Compact"/>
              <w:jc w:val="left"/>
            </w:pPr>
            <w:r>
              <w:t xml:space="preserve">Requires Further Review</w:t>
            </w:r>
          </w:p>
        </w:tc>
        <w:tc>
          <w:tcPr/>
          <w:p>
            <w:pPr>
              <w:pStyle w:val="Compact"/>
              <w:jc w:val="left"/>
            </w:pPr>
            <w:r>
              <w:t xml:space="preserve">3</w:t>
            </w:r>
          </w:p>
        </w:tc>
        <w:tc>
          <w:tcPr/>
          <w:p>
            <w:pPr>
              <w:pStyle w:val="Compact"/>
              <w:jc w:val="left"/>
            </w:pPr>
            <w:r>
              <w:t xml:space="preserve">Rennick–Tsao email chain (crime-fraud); Nandakumar legal risk email (standalone version); Rennick handwritten note</w:t>
            </w:r>
          </w:p>
        </w:tc>
      </w:tr>
    </w:tbl>
    <w:p>
      <w:pPr>
        <w:pStyle w:val="BodyText"/>
      </w:pPr>
      <w:r>
        <w:t xml:space="preserve">The companion workbook has</w:t>
      </w:r>
      <w:r>
        <w:t xml:space="preserve"> </w:t>
      </w:r>
      <w:r>
        <w:rPr>
          <w:b/>
          <w:bCs/>
        </w:rPr>
        <w:t xml:space="preserve">14 log entries ready for service</w:t>
      </w:r>
      <w:r>
        <w:t xml:space="preserve"> </w:t>
      </w:r>
      <w:r>
        <w:t xml:space="preserve">(Nos. 36–49). That count includes three entries for the documents clawed back on Feb. 6, 2025, which the working log does not yet contain. It also has</w:t>
      </w:r>
      <w:r>
        <w:t xml:space="preserve"> </w:t>
      </w:r>
      <w:r>
        <w:rPr>
          <w:b/>
          <w:bCs/>
        </w:rPr>
        <w:t xml:space="preserve">3 provisional entries</w:t>
      </w:r>
      <w:r>
        <w:t xml:space="preserve"> </w:t>
      </w:r>
      <w:r>
        <w:t xml:space="preserve">for the Requires Further Review documents. Per Protocol §2, those three should not be logged until a final call is made.</w:t>
      </w:r>
    </w:p>
    <w:p>
      <w:pPr>
        <w:pStyle w:val="BodyText"/>
      </w:pPr>
      <w:r>
        <w:rPr>
          <w:b/>
          <w:bCs/>
        </w:rPr>
        <w:t xml:space="preserve">Items that need partner attention before April 7:</w:t>
      </w:r>
    </w:p>
    <w:p>
      <w:pPr>
        <w:pStyle w:val="Compact"/>
        <w:numPr>
          <w:ilvl w:val="0"/>
          <w:numId w:val="1001"/>
        </w:numPr>
      </w:pPr>
      <w:r>
        <w:rPr>
          <w:b/>
          <w:bCs/>
        </w:rPr>
        <w:t xml:space="preserve">Crime-fraud: Rennick–Tsao chain (Mar. 12, 2021).</w:t>
      </w:r>
      <w:r>
        <w:t xml:space="preserve"> </w:t>
      </w:r>
      <w:r>
        <w:t xml:space="preserve">The CEO’s reply directs that QA reports</w:t>
      </w:r>
      <w:r>
        <w:t xml:space="preserve"> </w:t>
      </w:r>
      <w:r>
        <w:t xml:space="preserve">“</w:t>
      </w:r>
      <w:r>
        <w:t xml:space="preserve">only reference the base ingredients</w:t>
      </w:r>
      <w:r>
        <w:t xml:space="preserve">”</w:t>
      </w:r>
      <w:r>
        <w:t xml:space="preserve"> </w:t>
      </w:r>
      <w:r>
        <w:t xml:space="preserve">so that synthetic sources do not appear in documents pulled</w:t>
      </w:r>
      <w:r>
        <w:t xml:space="preserve"> </w:t>
      </w:r>
      <w:r>
        <w:t xml:space="preserve">“</w:t>
      </w:r>
      <w:r>
        <w:t xml:space="preserve">for audits or customer inquiries.</w:t>
      </w:r>
      <w:r>
        <w:t xml:space="preserve">”</w:t>
      </w:r>
      <w:r>
        <w:t xml:space="preserve"> </w:t>
      </w:r>
      <w:r>
        <w:t xml:space="preserve">Plaintiff’s RFP No. 6 asks for exactly this kind of directive. Two further points:</w:t>
      </w:r>
    </w:p>
    <w:p>
      <w:pPr>
        <w:pStyle w:val="Compact"/>
        <w:numPr>
          <w:ilvl w:val="1"/>
          <w:numId w:val="1002"/>
        </w:numPr>
      </w:pPr>
      <w:r>
        <w:t xml:space="preserve">The reply is probably not privileged even without the crime-fraud exception. It is a business instruction, not a request for legal advice.</w:t>
      </w:r>
    </w:p>
    <w:p>
      <w:pPr>
        <w:pStyle w:val="Compact"/>
        <w:numPr>
          <w:ilvl w:val="1"/>
          <w:numId w:val="1002"/>
        </w:numPr>
      </w:pPr>
      <w:r>
        <w:t xml:space="preserve">Two other documents may connect to this issue: the Board deck’s QA-documentation audit (Slide 13) and prior log Entry 23 (Nandakumar to Rennick/Brandt, Jan. 14, 2025, on</w:t>
      </w:r>
      <w:r>
        <w:t xml:space="preserve"> </w:t>
      </w:r>
      <w:r>
        <w:t xml:space="preserve">“</w:t>
      </w:r>
      <w:r>
        <w:t xml:space="preserve">quality assurance documentation practices</w:t>
      </w:r>
      <w:r>
        <w:t xml:space="preserve">”</w:t>
      </w:r>
      <w:r>
        <w:t xml:space="preserve">). Protocol §3.3 requires NB sign-off and a separate memorandum.</w:t>
      </w:r>
    </w:p>
    <w:p>
      <w:pPr>
        <w:pStyle w:val="Compact"/>
        <w:numPr>
          <w:ilvl w:val="0"/>
          <w:numId w:val="1001"/>
        </w:numPr>
      </w:pPr>
      <w:r>
        <w:rPr>
          <w:b/>
          <w:bCs/>
        </w:rPr>
        <w:t xml:space="preserve">Waiver through the Moritani forward.</w:t>
      </w:r>
      <w:r>
        <w:t xml:space="preserve"> </w:t>
      </w:r>
      <w:r>
        <w:t xml:space="preserve">On Apr. 5, 2021, Emmerich forwarded in-house counsel’s legal risk analysis to Dr. Moritani, a consultant he retained himself, with no NDA and no common interest agreement. That forward is very likely a waiver. However, the standalone copy of the Nandakumar email</w:t>
      </w:r>
      <w:r>
        <w:t xml:space="preserve"> </w:t>
      </w:r>
      <w:r>
        <w:rPr>
          <w:b/>
          <w:bCs/>
        </w:rPr>
        <w:t xml:space="preserve">does not match</w:t>
      </w:r>
      <w:r>
        <w:t xml:space="preserve"> </w:t>
      </w:r>
      <w:r>
        <w:t xml:space="preserve">the forwarded text: the send times, subject lines, content and closing language all differ. We need to work out whether these are one communication or two before deciding how far the waiver reaches (§3, Docs 5 and 12).</w:t>
      </w:r>
    </w:p>
    <w:p>
      <w:pPr>
        <w:pStyle w:val="Compact"/>
        <w:numPr>
          <w:ilvl w:val="0"/>
          <w:numId w:val="1001"/>
        </w:numPr>
      </w:pPr>
      <w:r>
        <w:rPr>
          <w:b/>
          <w:bCs/>
        </w:rPr>
        <w:t xml:space="preserve">Common interest with Cascade: no written agreement.</w:t>
      </w:r>
      <w:r>
        <w:t xml:space="preserve"> </w:t>
      </w:r>
      <w:r>
        <w:t xml:space="preserve">Bridger’s Jan. 2025 email shares opinion work product with Cascade’s counsel. It also names Greenleaf’s possible contribution or indemnification claims</w:t>
      </w:r>
      <w:r>
        <w:t xml:space="preserve"> </w:t>
      </w:r>
      <w:r>
        <w:rPr>
          <w:i/>
          <w:iCs/>
        </w:rPr>
        <w:t xml:space="preserve">against</w:t>
      </w:r>
      <w:r>
        <w:t xml:space="preserve"> </w:t>
      </w:r>
      <w:r>
        <w:t xml:space="preserve">Cascade. That weakens the</w:t>
      </w:r>
      <w:r>
        <w:t xml:space="preserve"> </w:t>
      </w:r>
      <w:r>
        <w:t xml:space="preserve">“</w:t>
      </w:r>
      <w:r>
        <w:t xml:space="preserve">common legal interest</w:t>
      </w:r>
      <w:r>
        <w:t xml:space="preserve">”</w:t>
      </w:r>
      <w:r>
        <w:t xml:space="preserve"> </w:t>
      </w:r>
      <w:r>
        <w:t xml:space="preserve">argument, and it creates a risk of waiving work product by disclosure to a potential adversary. Recommendation: sign a written common interest agreement before sharing anything else.</w:t>
      </w:r>
    </w:p>
    <w:p>
      <w:pPr>
        <w:pStyle w:val="Compact"/>
        <w:numPr>
          <w:ilvl w:val="0"/>
          <w:numId w:val="1001"/>
        </w:numPr>
      </w:pPr>
      <w:r>
        <w:rPr>
          <w:b/>
          <w:bCs/>
        </w:rPr>
        <w:t xml:space="preserve">Pemberton opinion and advice-of-counsel exposure.</w:t>
      </w:r>
      <w:r>
        <w:t xml:space="preserve"> </w:t>
      </w:r>
      <w:r>
        <w:t xml:space="preserve">The Board deck (Slide 8) says Pemberton’s June 2021 opinion</w:t>
      </w:r>
      <w:r>
        <w:t xml:space="preserve"> </w:t>
      </w:r>
      <w:r>
        <w:t xml:space="preserve">“</w:t>
      </w:r>
      <w:r>
        <w:t xml:space="preserve">support[ed] Greenleaf’s labeling position.</w:t>
      </w:r>
      <w:r>
        <w:t xml:space="preserve">”</w:t>
      </w:r>
      <w:r>
        <w:t xml:space="preserve"> </w:t>
      </w:r>
      <w:r>
        <w:t xml:space="preserve">The letter actually rates private litigation risk as</w:t>
      </w:r>
      <w:r>
        <w:t xml:space="preserve"> </w:t>
      </w:r>
      <w:r>
        <w:t xml:space="preserve">“</w:t>
      </w:r>
      <w:r>
        <w:t xml:space="preserve">Elevated</w:t>
      </w:r>
      <w:r>
        <w:t xml:space="preserve">”</w:t>
      </w:r>
      <w:r>
        <w:t xml:space="preserve"> </w:t>
      </w:r>
      <w:r>
        <w:t xml:space="preserve">and</w:t>
      </w:r>
      <w:r>
        <w:t xml:space="preserve"> </w:t>
      </w:r>
      <w:r>
        <w:t xml:space="preserve">“</w:t>
      </w:r>
      <w:r>
        <w:t xml:space="preserve">strongly recommend[s]</w:t>
      </w:r>
      <w:r>
        <w:t xml:space="preserve">”</w:t>
      </w:r>
      <w:r>
        <w:t xml:space="preserve"> </w:t>
      </w:r>
      <w:r>
        <w:t xml:space="preserve">changing the claim. Also, in Feb. 2022 in-house counsel told a 23-member Slack channel that Legal was</w:t>
      </w:r>
      <w:r>
        <w:t xml:space="preserve"> </w:t>
      </w:r>
      <w:r>
        <w:t xml:space="preserve">“</w:t>
      </w:r>
      <w:r>
        <w:t xml:space="preserve">comfortable with the Natural claim.</w:t>
      </w:r>
      <w:r>
        <w:t xml:space="preserve">”</w:t>
      </w:r>
      <w:r>
        <w:t xml:space="preserve"> </w:t>
      </w:r>
      <w:r>
        <w:t xml:space="preserve">If Greenleaf relies on good faith or reliance on counsel, it will likely put the Pemberton advice at issue and waive privilege over it. The defense team should decide this now, before the log is served.</w:t>
      </w:r>
    </w:p>
    <w:p>
      <w:pPr>
        <w:pStyle w:val="Compact"/>
        <w:numPr>
          <w:ilvl w:val="0"/>
          <w:numId w:val="1001"/>
        </w:numPr>
      </w:pPr>
      <w:r>
        <w:rPr>
          <w:b/>
          <w:bCs/>
        </w:rPr>
        <w:t xml:space="preserve">Corrections to the working log.</w:t>
      </w:r>
    </w:p>
    <w:p>
      <w:pPr>
        <w:pStyle w:val="Compact"/>
        <w:numPr>
          <w:ilvl w:val="1"/>
          <w:numId w:val="1003"/>
        </w:numPr>
      </w:pPr>
      <w:r>
        <w:t xml:space="preserve">Entry 13 discloses privileged substance. Its description is word for word the</w:t>
      </w:r>
      <w:r>
        <w:t xml:space="preserve"> </w:t>
      </w:r>
      <w:r>
        <w:t xml:space="preserve">“</w:t>
      </w:r>
      <w:r>
        <w:t xml:space="preserve">do not write</w:t>
      </w:r>
      <w:r>
        <w:t xml:space="preserve">”</w:t>
      </w:r>
      <w:r>
        <w:t xml:space="preserve"> </w:t>
      </w:r>
      <w:r>
        <w:t xml:space="preserve">example in Protocol §7.2.</w:t>
      </w:r>
    </w:p>
    <w:p>
      <w:pPr>
        <w:pStyle w:val="Compact"/>
        <w:numPr>
          <w:ilvl w:val="1"/>
          <w:numId w:val="1003"/>
        </w:numPr>
      </w:pPr>
      <w:r>
        <w:t xml:space="preserve">Entry 31 claims work product over a letter</w:t>
      </w:r>
      <w:r>
        <w:t xml:space="preserve"> </w:t>
      </w:r>
      <w:r>
        <w:rPr>
          <w:i/>
          <w:iCs/>
        </w:rPr>
        <w:t xml:space="preserve">sent to opposing counsel</w:t>
      </w:r>
      <w:r>
        <w:t xml:space="preserve"> </w:t>
      </w:r>
      <w:r>
        <w:t xml:space="preserve">and should be removed.</w:t>
      </w:r>
    </w:p>
    <w:p>
      <w:pPr>
        <w:pStyle w:val="Compact"/>
        <w:numPr>
          <w:ilvl w:val="1"/>
          <w:numId w:val="1003"/>
        </w:numPr>
      </w:pPr>
      <w:r>
        <w:t xml:space="preserve">Most of the</w:t>
      </w:r>
      <w:r>
        <w:t xml:space="preserve"> </w:t>
      </w:r>
      <w:r>
        <w:t xml:space="preserve">“</w:t>
      </w:r>
      <w:r>
        <w:t xml:space="preserve">Priority Batch — Pending</w:t>
      </w:r>
      <w:r>
        <w:t xml:space="preserve">”</w:t>
      </w:r>
      <w:r>
        <w:t xml:space="preserve"> </w:t>
      </w:r>
      <w:r>
        <w:t xml:space="preserve">rows do not match the documents actually in the batch.</w:t>
      </w:r>
    </w:p>
    <w:p>
      <w:pPr>
        <w:pStyle w:val="Compact"/>
        <w:numPr>
          <w:ilvl w:val="0"/>
          <w:numId w:val="1000"/>
        </w:numPr>
      </w:pPr>
      <w:r>
        <w:t xml:space="preserve">Details are in §4 and the</w:t>
      </w:r>
      <w:r>
        <w:t xml:space="preserve"> </w:t>
      </w:r>
      <w:r>
        <w:t xml:space="preserve">“</w:t>
      </w:r>
      <w:r>
        <w:t xml:space="preserve">Corrections to Working Log</w:t>
      </w:r>
      <w:r>
        <w:t xml:space="preserve">”</w:t>
      </w:r>
      <w:r>
        <w:t xml:space="preserve"> </w:t>
      </w:r>
      <w:r>
        <w:t xml:space="preserve">tab.</w:t>
      </w:r>
    </w:p>
    <w:bookmarkEnd w:id="20"/>
    <w:bookmarkStart w:id="21" w:name="designation-summary-all-18-documents"/>
    <w:p>
      <w:pPr>
        <w:pStyle w:val="Heading1"/>
      </w:pPr>
      <w:r>
        <w:t xml:space="preserve">2. Designation Summary (All 18 Documents)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Designation</w:t>
            </w:r>
          </w:p>
        </w:tc>
        <w:tc>
          <w:tcPr/>
          <w:p>
            <w:pPr>
              <w:pStyle w:val="Compact"/>
              <w:jc w:val="left"/>
            </w:pPr>
            <w:r>
              <w:t xml:space="preserve">Privilege / Basis</w:t>
            </w:r>
          </w:p>
        </w:tc>
        <w:tc>
          <w:tcPr/>
          <w:p>
            <w:pPr>
              <w:pStyle w:val="Compact"/>
              <w:jc w:val="left"/>
            </w:pPr>
            <w:r>
              <w:t xml:space="preserve">Log?</w:t>
            </w:r>
          </w:p>
        </w:tc>
      </w:tr>
      <w:tr>
        <w:tc>
          <w:tcPr/>
          <w:p>
            <w:pPr>
              <w:pStyle w:val="Compact"/>
              <w:jc w:val="left"/>
            </w:pPr>
            <w:r>
              <w:t xml:space="preserve">1</w:t>
            </w:r>
          </w:p>
        </w:tc>
        <w:tc>
          <w:tcPr/>
          <w:p>
            <w:pPr>
              <w:pStyle w:val="Compact"/>
              <w:jc w:val="left"/>
            </w:pPr>
            <w:r>
              <w:t xml:space="preserve">board-audit-committee-deck.pptx</w:t>
            </w:r>
          </w:p>
        </w:tc>
        <w:tc>
          <w:tcPr/>
          <w:p>
            <w:pPr>
              <w:pStyle w:val="Compact"/>
              <w:jc w:val="left"/>
            </w:pPr>
            <w:r>
              <w:t xml:space="preserve">12/10/2024</w:t>
            </w:r>
          </w:p>
        </w:tc>
        <w:tc>
          <w:tcPr/>
          <w:p>
            <w:pPr>
              <w:pStyle w:val="Compact"/>
              <w:jc w:val="left"/>
            </w:pPr>
            <w:r>
              <w:t xml:space="preserve">Withhold with Caveats — produce redacted (Slides 7–8)</w:t>
            </w:r>
          </w:p>
        </w:tc>
        <w:tc>
          <w:tcPr/>
          <w:p>
            <w:pPr>
              <w:pStyle w:val="Compact"/>
              <w:jc w:val="left"/>
            </w:pPr>
            <w:r>
              <w:t xml:space="preserve">AC; WP (litigation portions only)</w:t>
            </w:r>
          </w:p>
        </w:tc>
        <w:tc>
          <w:tcPr/>
          <w:p>
            <w:pPr>
              <w:pStyle w:val="Compact"/>
              <w:jc w:val="left"/>
            </w:pPr>
            <w:r>
              <w:t xml:space="preserve">Entry 36</w:t>
            </w:r>
          </w:p>
        </w:tc>
      </w:tr>
      <w:tr>
        <w:tc>
          <w:tcPr/>
          <w:p>
            <w:pPr>
              <w:pStyle w:val="Compact"/>
              <w:jc w:val="left"/>
            </w:pPr>
            <w:r>
              <w:t xml:space="preserve">2</w:t>
            </w:r>
          </w:p>
        </w:tc>
        <w:tc>
          <w:tcPr/>
          <w:p>
            <w:pPr>
              <w:pStyle w:val="Compact"/>
              <w:jc w:val="left"/>
            </w:pPr>
            <w:r>
              <w:t xml:space="preserve">bridger-to-cascade-counsel.eml</w:t>
            </w:r>
          </w:p>
        </w:tc>
        <w:tc>
          <w:tcPr/>
          <w:p>
            <w:pPr>
              <w:pStyle w:val="Compact"/>
              <w:jc w:val="left"/>
            </w:pPr>
            <w:r>
              <w:t xml:space="preserve">1/21/2025 (PT)</w:t>
            </w:r>
          </w:p>
        </w:tc>
        <w:tc>
          <w:tcPr/>
          <w:p>
            <w:pPr>
              <w:pStyle w:val="Compact"/>
              <w:jc w:val="left"/>
            </w:pPr>
            <w:r>
              <w:t xml:space="preserve">Withhold with Caveats</w:t>
            </w:r>
          </w:p>
        </w:tc>
        <w:tc>
          <w:tcPr/>
          <w:p>
            <w:pPr>
              <w:pStyle w:val="Compact"/>
              <w:jc w:val="left"/>
            </w:pPr>
            <w:r>
              <w:t xml:space="preserve">WP; AC via common interest (no written agreement)</w:t>
            </w:r>
          </w:p>
        </w:tc>
        <w:tc>
          <w:tcPr/>
          <w:p>
            <w:pPr>
              <w:pStyle w:val="Compact"/>
              <w:jc w:val="left"/>
            </w:pPr>
            <w:r>
              <w:t xml:space="preserve">Entry 37</w:t>
            </w:r>
          </w:p>
        </w:tc>
      </w:tr>
      <w:tr>
        <w:tc>
          <w:tcPr/>
          <w:p>
            <w:pPr>
              <w:pStyle w:val="Compact"/>
              <w:jc w:val="left"/>
            </w:pPr>
            <w:r>
              <w:t xml:space="preserve">3</w:t>
            </w:r>
          </w:p>
        </w:tc>
        <w:tc>
          <w:tcPr/>
          <w:p>
            <w:pPr>
              <w:pStyle w:val="Compact"/>
              <w:jc w:val="left"/>
            </w:pPr>
            <w:r>
              <w:t xml:space="preserve">competitive-market-analysis.docx</w:t>
            </w:r>
          </w:p>
        </w:tc>
        <w:tc>
          <w:tcPr/>
          <w:p>
            <w:pPr>
              <w:pStyle w:val="Compact"/>
              <w:jc w:val="left"/>
            </w:pPr>
            <w:r>
              <w:t xml:space="preserve">8/15/2022</w:t>
            </w:r>
          </w:p>
        </w:tc>
        <w:tc>
          <w:tcPr/>
          <w:p>
            <w:pPr>
              <w:pStyle w:val="Compact"/>
              <w:jc w:val="left"/>
            </w:pPr>
            <w:r>
              <w:t xml:space="preserve">Not Privileged — Produce</w:t>
            </w:r>
          </w:p>
        </w:tc>
        <w:tc>
          <w:tcPr/>
          <w:p>
            <w:pPr>
              <w:pStyle w:val="Compact"/>
              <w:jc w:val="left"/>
            </w:pPr>
            <w:r>
              <w:t xml:space="preserve">Business document; privilege stamp alone is not enough</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draft-privilege-log.xlsx</w:t>
            </w:r>
          </w:p>
        </w:tc>
        <w:tc>
          <w:tcPr/>
          <w:p>
            <w:pPr>
              <w:pStyle w:val="Compact"/>
              <w:jc w:val="left"/>
            </w:pPr>
            <w:r>
              <w:t xml:space="preserve">3/18/2025</w:t>
            </w:r>
          </w:p>
        </w:tc>
        <w:tc>
          <w:tcPr/>
          <w:p>
            <w:pPr>
              <w:pStyle w:val="Compact"/>
              <w:jc w:val="left"/>
            </w:pPr>
            <w:r>
              <w:t xml:space="preserve">Privileged — Withhold</w:t>
            </w:r>
          </w:p>
        </w:tc>
        <w:tc>
          <w:tcPr/>
          <w:p>
            <w:pPr>
              <w:pStyle w:val="Compact"/>
              <w:jc w:val="left"/>
            </w:pPr>
            <w:r>
              <w:t xml:space="preserve">WP (opinion)</w:t>
            </w:r>
          </w:p>
        </w:tc>
        <w:tc>
          <w:tcPr/>
          <w:p>
            <w:pPr>
              <w:pStyle w:val="Compact"/>
              <w:jc w:val="left"/>
            </w:pPr>
            <w:r>
              <w:t xml:space="preserve">Entry 46*</w:t>
            </w:r>
          </w:p>
        </w:tc>
      </w:tr>
      <w:tr>
        <w:tc>
          <w:tcPr/>
          <w:p>
            <w:pPr>
              <w:pStyle w:val="Compact"/>
              <w:jc w:val="left"/>
            </w:pPr>
            <w:r>
              <w:t xml:space="preserve">5</w:t>
            </w:r>
          </w:p>
        </w:tc>
        <w:tc>
          <w:tcPr/>
          <w:p>
            <w:pPr>
              <w:pStyle w:val="Compact"/>
              <w:jc w:val="left"/>
            </w:pPr>
            <w:r>
              <w:t xml:space="preserve">emmerich-forward-to-moritani.eml</w:t>
            </w:r>
          </w:p>
        </w:tc>
        <w:tc>
          <w:tcPr/>
          <w:p>
            <w:pPr>
              <w:pStyle w:val="Compact"/>
              <w:jc w:val="left"/>
            </w:pPr>
            <w:r>
              <w:t xml:space="preserve">4/5/2021</w:t>
            </w:r>
          </w:p>
        </w:tc>
        <w:tc>
          <w:tcPr/>
          <w:p>
            <w:pPr>
              <w:pStyle w:val="Compact"/>
              <w:jc w:val="left"/>
            </w:pPr>
            <w:r>
              <w:t xml:space="preserve">Not Privileged — Produce (subject to NB waiver sign-off)</w:t>
            </w:r>
          </w:p>
        </w:tc>
        <w:tc>
          <w:tcPr/>
          <w:p>
            <w:pPr>
              <w:pStyle w:val="Compact"/>
              <w:jc w:val="left"/>
            </w:pPr>
            <w:r>
              <w:t xml:space="preserve">Privilege waived by voluntary disclosure to a third party</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emmerich-reformulation-email.eml</w:t>
            </w:r>
          </w:p>
        </w:tc>
        <w:tc>
          <w:tcPr/>
          <w:p>
            <w:pPr>
              <w:pStyle w:val="Compact"/>
              <w:jc w:val="left"/>
            </w:pPr>
            <w:r>
              <w:t xml:space="preserve">2/27/2021 (PT)</w:t>
            </w:r>
          </w:p>
        </w:tc>
        <w:tc>
          <w:tcPr/>
          <w:p>
            <w:pPr>
              <w:pStyle w:val="Compact"/>
              <w:jc w:val="left"/>
            </w:pPr>
            <w:r>
              <w:t xml:space="preserve">Withhold with Caveats — produce redacted</w:t>
            </w:r>
          </w:p>
        </w:tc>
        <w:tc>
          <w:tcPr/>
          <w:p>
            <w:pPr>
              <w:pStyle w:val="Compact"/>
              <w:jc w:val="left"/>
            </w:pPr>
            <w:r>
              <w:t xml:space="preserve">AC (legal-request paragraph only)</w:t>
            </w:r>
          </w:p>
        </w:tc>
        <w:tc>
          <w:tcPr/>
          <w:p>
            <w:pPr>
              <w:pStyle w:val="Compact"/>
              <w:jc w:val="left"/>
            </w:pPr>
            <w:r>
              <w:t xml:space="preserve">Entry 38</w:t>
            </w:r>
          </w:p>
        </w:tc>
      </w:tr>
      <w:tr>
        <w:tc>
          <w:tcPr/>
          <w:p>
            <w:pPr>
              <w:pStyle w:val="Compact"/>
              <w:jc w:val="left"/>
            </w:pPr>
            <w:r>
              <w:t xml:space="preserve">7</w:t>
            </w:r>
          </w:p>
        </w:tc>
        <w:tc>
          <w:tcPr/>
          <w:p>
            <w:pPr>
              <w:pStyle w:val="Compact"/>
              <w:jc w:val="left"/>
            </w:pPr>
            <w:r>
              <w:t xml:space="preserve">first-rfp-set.docx</w:t>
            </w:r>
          </w:p>
        </w:tc>
        <w:tc>
          <w:tcPr/>
          <w:p>
            <w:pPr>
              <w:pStyle w:val="Compact"/>
              <w:jc w:val="left"/>
            </w:pPr>
            <w:r>
              <w:t xml:space="preserve">1/15/2025</w:t>
            </w:r>
          </w:p>
        </w:tc>
        <w:tc>
          <w:tcPr/>
          <w:p>
            <w:pPr>
              <w:pStyle w:val="Compact"/>
              <w:jc w:val="left"/>
            </w:pPr>
            <w:r>
              <w:t xml:space="preserve">Not Privileged (served pleading; not a Greenleaf production item)</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frey-personal-email-notes.eml</w:t>
            </w:r>
          </w:p>
        </w:tc>
        <w:tc>
          <w:tcPr/>
          <w:p>
            <w:pPr>
              <w:pStyle w:val="Compact"/>
              <w:jc w:val="left"/>
            </w:pPr>
            <w:r>
              <w:t xml:space="preserve">11/2/2024</w:t>
            </w:r>
          </w:p>
        </w:tc>
        <w:tc>
          <w:tcPr/>
          <w:p>
            <w:pPr>
              <w:pStyle w:val="Compact"/>
              <w:jc w:val="left"/>
            </w:pPr>
            <w:r>
              <w:t xml:space="preserve">Privileged — Withhold</w:t>
            </w:r>
          </w:p>
        </w:tc>
        <w:tc>
          <w:tcPr/>
          <w:p>
            <w:pPr>
              <w:pStyle w:val="Compact"/>
              <w:jc w:val="left"/>
            </w:pPr>
            <w:r>
              <w:t xml:space="preserve">WP (opinion)</w:t>
            </w:r>
          </w:p>
        </w:tc>
        <w:tc>
          <w:tcPr/>
          <w:p>
            <w:pPr>
              <w:pStyle w:val="Compact"/>
              <w:jc w:val="left"/>
            </w:pPr>
            <w:r>
              <w:t xml:space="preserve">Entry 39</w:t>
            </w:r>
          </w:p>
        </w:tc>
      </w:tr>
      <w:tr>
        <w:tc>
          <w:tcPr/>
          <w:p>
            <w:pPr>
              <w:pStyle w:val="Compact"/>
              <w:jc w:val="left"/>
            </w:pPr>
            <w:r>
              <w:t xml:space="preserve">9</w:t>
            </w:r>
          </w:p>
        </w:tc>
        <w:tc>
          <w:tcPr/>
          <w:p>
            <w:pPr>
              <w:pStyle w:val="Compact"/>
              <w:jc w:val="left"/>
            </w:pPr>
            <w:r>
              <w:t xml:space="preserve">inadvertent-production-clawback.docx</w:t>
            </w:r>
          </w:p>
        </w:tc>
        <w:tc>
          <w:tcPr/>
          <w:p>
            <w:pPr>
              <w:pStyle w:val="Compact"/>
              <w:jc w:val="left"/>
            </w:pPr>
            <w:r>
              <w:t xml:space="preserve">2/7/2025</w:t>
            </w:r>
          </w:p>
        </w:tc>
        <w:tc>
          <w:tcPr/>
          <w:p>
            <w:pPr>
              <w:pStyle w:val="Compact"/>
              <w:jc w:val="left"/>
            </w:pPr>
            <w:r>
              <w:t xml:space="preserve">Privileged — Withhold (internal memo); claw-back letter and Ex. A not privileged</w:t>
            </w:r>
          </w:p>
        </w:tc>
        <w:tc>
          <w:tcPr/>
          <w:p>
            <w:pPr>
              <w:pStyle w:val="Compact"/>
              <w:jc w:val="left"/>
            </w:pPr>
            <w:r>
              <w:t xml:space="preserve">WP</w:t>
            </w:r>
          </w:p>
        </w:tc>
        <w:tc>
          <w:tcPr/>
          <w:p>
            <w:pPr>
              <w:pStyle w:val="Compact"/>
              <w:jc w:val="left"/>
            </w:pPr>
            <w:r>
              <w:t xml:space="preserve">Entry 40</w:t>
            </w:r>
          </w:p>
        </w:tc>
      </w:tr>
      <w:tr>
        <w:tc>
          <w:tcPr/>
          <w:p>
            <w:pPr>
              <w:pStyle w:val="Compact"/>
              <w:jc w:val="left"/>
            </w:pPr>
            <w:r>
              <w:t xml:space="preserve">10</w:t>
            </w:r>
          </w:p>
        </w:tc>
        <w:tc>
          <w:tcPr/>
          <w:p>
            <w:pPr>
              <w:pStyle w:val="Compact"/>
              <w:jc w:val="left"/>
            </w:pPr>
            <w:r>
              <w:t xml:space="preserve">litigation-hold-notice.docx</w:t>
            </w:r>
          </w:p>
        </w:tc>
        <w:tc>
          <w:tcPr/>
          <w:p>
            <w:pPr>
              <w:pStyle w:val="Compact"/>
              <w:jc w:val="left"/>
            </w:pPr>
            <w:r>
              <w:t xml:space="preserve">10/11/2024</w:t>
            </w:r>
          </w:p>
        </w:tc>
        <w:tc>
          <w:tcPr/>
          <w:p>
            <w:pPr>
              <w:pStyle w:val="Compact"/>
              <w:jc w:val="left"/>
            </w:pPr>
            <w:r>
              <w:t xml:space="preserve">Withhold with Caveats</w:t>
            </w:r>
          </w:p>
        </w:tc>
        <w:tc>
          <w:tcPr/>
          <w:p>
            <w:pPr>
              <w:pStyle w:val="Compact"/>
              <w:jc w:val="left"/>
            </w:pPr>
            <w:r>
              <w:t xml:space="preserve">AC; WP</w:t>
            </w:r>
          </w:p>
        </w:tc>
        <w:tc>
          <w:tcPr/>
          <w:p>
            <w:pPr>
              <w:pStyle w:val="Compact"/>
              <w:jc w:val="left"/>
            </w:pPr>
            <w:r>
              <w:t xml:space="preserve">Entry 41</w:t>
            </w:r>
          </w:p>
        </w:tc>
      </w:tr>
      <w:tr>
        <w:tc>
          <w:tcPr/>
          <w:p>
            <w:pPr>
              <w:pStyle w:val="Compact"/>
              <w:jc w:val="left"/>
            </w:pPr>
            <w:r>
              <w:t xml:space="preserve">11</w:t>
            </w:r>
          </w:p>
        </w:tc>
        <w:tc>
          <w:tcPr/>
          <w:p>
            <w:pPr>
              <w:pStyle w:val="Compact"/>
              <w:jc w:val="left"/>
            </w:pPr>
            <w:r>
              <w:t xml:space="preserve">litigation-strategy-memo.docx</w:t>
            </w:r>
          </w:p>
        </w:tc>
        <w:tc>
          <w:tcPr/>
          <w:p>
            <w:pPr>
              <w:pStyle w:val="Compact"/>
              <w:jc w:val="left"/>
            </w:pPr>
            <w:r>
              <w:t xml:space="preserve">11/15/2024</w:t>
            </w:r>
          </w:p>
        </w:tc>
        <w:tc>
          <w:tcPr/>
          <w:p>
            <w:pPr>
              <w:pStyle w:val="Compact"/>
              <w:jc w:val="left"/>
            </w:pPr>
            <w:r>
              <w:t xml:space="preserve">Privileged — Withhold</w:t>
            </w:r>
          </w:p>
        </w:tc>
        <w:tc>
          <w:tcPr/>
          <w:p>
            <w:pPr>
              <w:pStyle w:val="Compact"/>
              <w:jc w:val="left"/>
            </w:pPr>
            <w:r>
              <w:t xml:space="preserve">AC; WP (opinion)</w:t>
            </w:r>
          </w:p>
        </w:tc>
        <w:tc>
          <w:tcPr/>
          <w:p>
            <w:pPr>
              <w:pStyle w:val="Compact"/>
              <w:jc w:val="left"/>
            </w:pPr>
            <w:r>
              <w:t xml:space="preserve">Entry 42</w:t>
            </w:r>
          </w:p>
        </w:tc>
      </w:tr>
      <w:tr>
        <w:tc>
          <w:tcPr/>
          <w:p>
            <w:pPr>
              <w:pStyle w:val="Compact"/>
              <w:jc w:val="left"/>
            </w:pPr>
            <w:r>
              <w:t xml:space="preserve">12</w:t>
            </w:r>
          </w:p>
        </w:tc>
        <w:tc>
          <w:tcPr/>
          <w:p>
            <w:pPr>
              <w:pStyle w:val="Compact"/>
              <w:jc w:val="left"/>
            </w:pPr>
            <w:r>
              <w:t xml:space="preserve">nandakumar-legal-risk-email.eml</w:t>
            </w:r>
          </w:p>
        </w:tc>
        <w:tc>
          <w:tcPr/>
          <w:p>
            <w:pPr>
              <w:pStyle w:val="Compact"/>
              <w:jc w:val="left"/>
            </w:pPr>
            <w:r>
              <w:t xml:space="preserve">4/3/2021</w:t>
            </w:r>
          </w:p>
        </w:tc>
        <w:tc>
          <w:tcPr/>
          <w:p>
            <w:pPr>
              <w:pStyle w:val="Compact"/>
              <w:jc w:val="left"/>
            </w:pPr>
            <w:r>
              <w:t xml:space="preserve">Requires Further Review</w:t>
            </w:r>
          </w:p>
        </w:tc>
        <w:tc>
          <w:tcPr/>
          <w:p>
            <w:pPr>
              <w:pStyle w:val="Compact"/>
              <w:jc w:val="left"/>
            </w:pPr>
            <w:r>
              <w:t xml:space="preserve">AC (waiver scope unresolved)</w:t>
            </w:r>
          </w:p>
        </w:tc>
        <w:tc>
          <w:tcPr/>
          <w:p>
            <w:pPr>
              <w:pStyle w:val="Compact"/>
              <w:jc w:val="left"/>
            </w:pPr>
            <w:r>
              <w:t xml:space="preserve">Provisional P-1</w:t>
            </w:r>
          </w:p>
        </w:tc>
      </w:tr>
      <w:tr>
        <w:tc>
          <w:tcPr/>
          <w:p>
            <w:pPr>
              <w:pStyle w:val="Compact"/>
              <w:jc w:val="left"/>
            </w:pPr>
            <w:r>
              <w:t xml:space="preserve">13</w:t>
            </w:r>
          </w:p>
        </w:tc>
        <w:tc>
          <w:tcPr/>
          <w:p>
            <w:pPr>
              <w:pStyle w:val="Compact"/>
              <w:jc w:val="left"/>
            </w:pPr>
            <w:r>
              <w:t xml:space="preserve">pemberton-invoice-june2021.docx</w:t>
            </w:r>
          </w:p>
        </w:tc>
        <w:tc>
          <w:tcPr/>
          <w:p>
            <w:pPr>
              <w:pStyle w:val="Compact"/>
              <w:jc w:val="left"/>
            </w:pPr>
            <w:r>
              <w:t xml:space="preserve">6/30/2021</w:t>
            </w:r>
          </w:p>
        </w:tc>
        <w:tc>
          <w:tcPr/>
          <w:p>
            <w:pPr>
              <w:pStyle w:val="Compact"/>
              <w:jc w:val="left"/>
            </w:pPr>
            <w:r>
              <w:t xml:space="preserve">Withhold with Caveats — produce redacted (narratives)</w:t>
            </w:r>
          </w:p>
        </w:tc>
        <w:tc>
          <w:tcPr/>
          <w:p>
            <w:pPr>
              <w:pStyle w:val="Compact"/>
              <w:jc w:val="left"/>
            </w:pPr>
            <w:r>
              <w:t xml:space="preserve">AC</w:t>
            </w:r>
          </w:p>
        </w:tc>
        <w:tc>
          <w:tcPr/>
          <w:p>
            <w:pPr>
              <w:pStyle w:val="Compact"/>
              <w:jc w:val="left"/>
            </w:pPr>
            <w:r>
              <w:t xml:space="preserve">Entry 43</w:t>
            </w:r>
          </w:p>
        </w:tc>
      </w:tr>
      <w:tr>
        <w:tc>
          <w:tcPr/>
          <w:p>
            <w:pPr>
              <w:pStyle w:val="Compact"/>
              <w:jc w:val="left"/>
            </w:pPr>
            <w:r>
              <w:t xml:space="preserve">14</w:t>
            </w:r>
          </w:p>
        </w:tc>
        <w:tc>
          <w:tcPr/>
          <w:p>
            <w:pPr>
              <w:pStyle w:val="Compact"/>
              <w:jc w:val="left"/>
            </w:pPr>
            <w:r>
              <w:t xml:space="preserve">pemberton-opinion-letter.docx</w:t>
            </w:r>
          </w:p>
        </w:tc>
        <w:tc>
          <w:tcPr/>
          <w:p>
            <w:pPr>
              <w:pStyle w:val="Compact"/>
              <w:jc w:val="left"/>
            </w:pPr>
            <w:r>
              <w:t xml:space="preserve">6/7/2021</w:t>
            </w:r>
          </w:p>
        </w:tc>
        <w:tc>
          <w:tcPr/>
          <w:p>
            <w:pPr>
              <w:pStyle w:val="Compact"/>
              <w:jc w:val="left"/>
            </w:pPr>
            <w:r>
              <w:t xml:space="preserve">Privileged — Withhold (at-issue risk noted)</w:t>
            </w:r>
          </w:p>
        </w:tc>
        <w:tc>
          <w:tcPr/>
          <w:p>
            <w:pPr>
              <w:pStyle w:val="Compact"/>
              <w:jc w:val="left"/>
            </w:pPr>
            <w:r>
              <w:t xml:space="preserve">AC only (not WP)</w:t>
            </w:r>
          </w:p>
        </w:tc>
        <w:tc>
          <w:tcPr/>
          <w:p>
            <w:pPr>
              <w:pStyle w:val="Compact"/>
              <w:jc w:val="left"/>
            </w:pPr>
            <w:r>
              <w:t xml:space="preserve">Entry 44</w:t>
            </w:r>
          </w:p>
        </w:tc>
      </w:tr>
      <w:tr>
        <w:tc>
          <w:tcPr/>
          <w:p>
            <w:pPr>
              <w:pStyle w:val="Compact"/>
              <w:jc w:val="left"/>
            </w:pPr>
            <w:r>
              <w:t xml:space="preserve">15</w:t>
            </w:r>
          </w:p>
        </w:tc>
        <w:tc>
          <w:tcPr/>
          <w:p>
            <w:pPr>
              <w:pStyle w:val="Compact"/>
              <w:jc w:val="left"/>
            </w:pPr>
            <w:r>
              <w:t xml:space="preserve">privilege-review-protocol.docx</w:t>
            </w:r>
          </w:p>
        </w:tc>
        <w:tc>
          <w:tcPr/>
          <w:p>
            <w:pPr>
              <w:pStyle w:val="Compact"/>
              <w:jc w:val="left"/>
            </w:pPr>
            <w:r>
              <w:t xml:space="preserve">10/25/2024; rev. 3/15/2025</w:t>
            </w:r>
          </w:p>
        </w:tc>
        <w:tc>
          <w:tcPr/>
          <w:p>
            <w:pPr>
              <w:pStyle w:val="Compact"/>
              <w:jc w:val="left"/>
            </w:pPr>
            <w:r>
              <w:t xml:space="preserve">Privileged — Withhold</w:t>
            </w:r>
          </w:p>
        </w:tc>
        <w:tc>
          <w:tcPr/>
          <w:p>
            <w:pPr>
              <w:pStyle w:val="Compact"/>
              <w:jc w:val="left"/>
            </w:pPr>
            <w:r>
              <w:t xml:space="preserve">WP (opinion)</w:t>
            </w:r>
          </w:p>
        </w:tc>
        <w:tc>
          <w:tcPr/>
          <w:p>
            <w:pPr>
              <w:pStyle w:val="Compact"/>
              <w:jc w:val="left"/>
            </w:pPr>
            <w:r>
              <w:t xml:space="preserve">Entry 45*</w:t>
            </w:r>
          </w:p>
        </w:tc>
      </w:tr>
      <w:tr>
        <w:tc>
          <w:tcPr/>
          <w:p>
            <w:pPr>
              <w:pStyle w:val="Compact"/>
              <w:jc w:val="left"/>
            </w:pPr>
            <w:r>
              <w:t xml:space="preserve">16</w:t>
            </w:r>
          </w:p>
        </w:tc>
        <w:tc>
          <w:tcPr/>
          <w:p>
            <w:pPr>
              <w:pStyle w:val="Compact"/>
              <w:jc w:val="left"/>
            </w:pPr>
            <w:r>
              <w:t xml:space="preserve">rennick-handwritten-note.docx</w:t>
            </w:r>
          </w:p>
        </w:tc>
        <w:tc>
          <w:tcPr/>
          <w:p>
            <w:pPr>
              <w:pStyle w:val="Compact"/>
              <w:jc w:val="left"/>
            </w:pPr>
            <w:r>
              <w:t xml:space="preserve">Undated (est. 10/18/2024–3/15/2025)</w:t>
            </w:r>
          </w:p>
        </w:tc>
        <w:tc>
          <w:tcPr/>
          <w:p>
            <w:pPr>
              <w:pStyle w:val="Compact"/>
              <w:jc w:val="left"/>
            </w:pPr>
            <w:r>
              <w:t xml:space="preserve">Requires Further Review</w:t>
            </w:r>
          </w:p>
        </w:tc>
        <w:tc>
          <w:tcPr/>
          <w:p>
            <w:pPr>
              <w:pStyle w:val="Compact"/>
              <w:jc w:val="left"/>
            </w:pPr>
            <w:r>
              <w:t xml:space="preserve">AC; WP (mixed with business content)</w:t>
            </w:r>
          </w:p>
        </w:tc>
        <w:tc>
          <w:tcPr/>
          <w:p>
            <w:pPr>
              <w:pStyle w:val="Compact"/>
              <w:jc w:val="left"/>
            </w:pPr>
            <w:r>
              <w:t xml:space="preserve">Provisional P-3</w:t>
            </w:r>
          </w:p>
        </w:tc>
      </w:tr>
      <w:tr>
        <w:tc>
          <w:tcPr/>
          <w:p>
            <w:pPr>
              <w:pStyle w:val="Compact"/>
              <w:jc w:val="left"/>
            </w:pPr>
            <w:r>
              <w:t xml:space="preserve">17</w:t>
            </w:r>
          </w:p>
        </w:tc>
        <w:tc>
          <w:tcPr/>
          <w:p>
            <w:pPr>
              <w:pStyle w:val="Compact"/>
              <w:jc w:val="left"/>
            </w:pPr>
            <w:r>
              <w:t xml:space="preserve">rennick-tsao-labeling-email.eml</w:t>
            </w:r>
          </w:p>
        </w:tc>
        <w:tc>
          <w:tcPr/>
          <w:p>
            <w:pPr>
              <w:pStyle w:val="Compact"/>
              <w:jc w:val="left"/>
            </w:pPr>
            <w:r>
              <w:t xml:space="preserve">3/12/2021</w:t>
            </w:r>
          </w:p>
        </w:tc>
        <w:tc>
          <w:tcPr/>
          <w:p>
            <w:pPr>
              <w:pStyle w:val="Compact"/>
              <w:jc w:val="left"/>
            </w:pPr>
            <w:r>
              <w:t xml:space="preserve">Requires Further Review — ESCALATE (crime-fraud)</w:t>
            </w:r>
          </w:p>
        </w:tc>
        <w:tc>
          <w:tcPr/>
          <w:p>
            <w:pPr>
              <w:pStyle w:val="Compact"/>
              <w:jc w:val="left"/>
            </w:pPr>
            <w:r>
              <w:t xml:space="preserve">AC (Rennick message only)</w:t>
            </w:r>
          </w:p>
        </w:tc>
        <w:tc>
          <w:tcPr/>
          <w:p>
            <w:pPr>
              <w:pStyle w:val="Compact"/>
              <w:jc w:val="left"/>
            </w:pPr>
            <w:r>
              <w:t xml:space="preserve">Provisional P-2</w:t>
            </w:r>
          </w:p>
        </w:tc>
      </w:tr>
      <w:tr>
        <w:tc>
          <w:tcPr/>
          <w:p>
            <w:pPr>
              <w:pStyle w:val="Compact"/>
              <w:jc w:val="left"/>
            </w:pPr>
            <w:r>
              <w:t xml:space="preserve">18</w:t>
            </w:r>
          </w:p>
        </w:tc>
        <w:tc>
          <w:tcPr/>
          <w:p>
            <w:pPr>
              <w:pStyle w:val="Compact"/>
              <w:jc w:val="left"/>
            </w:pPr>
            <w:r>
              <w:t xml:space="preserve">slack-product-reformulation.txt</w:t>
            </w:r>
          </w:p>
        </w:tc>
        <w:tc>
          <w:tcPr/>
          <w:p>
            <w:pPr>
              <w:pStyle w:val="Compact"/>
              <w:jc w:val="left"/>
            </w:pPr>
            <w:r>
              <w:t xml:space="preserve">2/10–2/18/2022</w:t>
            </w:r>
          </w:p>
        </w:tc>
        <w:tc>
          <w:tcPr/>
          <w:p>
            <w:pPr>
              <w:pStyle w:val="Compact"/>
              <w:jc w:val="left"/>
            </w:pPr>
            <w:r>
              <w:t xml:space="preserve">Not Privileged — Produce</w:t>
            </w:r>
          </w:p>
        </w:tc>
        <w:tc>
          <w:tcPr/>
          <w:p>
            <w:pPr>
              <w:pStyle w:val="Compact"/>
              <w:jc w:val="left"/>
            </w:pPr>
            <w:r>
              <w:t xml:space="preserve">Broad distribution defeats confidentiality</w:t>
            </w:r>
          </w:p>
        </w:tc>
        <w:tc>
          <w:tcPr/>
          <w:p>
            <w:pPr>
              <w:pStyle w:val="Compact"/>
              <w:jc w:val="left"/>
            </w:pPr>
            <w:r>
              <w:t xml:space="preserve">No</w:t>
            </w:r>
          </w:p>
        </w:tc>
      </w:tr>
    </w:tbl>
    <w:p>
      <w:pPr>
        <w:pStyle w:val="BodyText"/>
      </w:pPr>
      <w:r>
        <w:t xml:space="preserve">* Entries 45–46 cover counsel’s internal review materials, created after the complaint. They are logged to be safe, because the working log’s practice (Entries 1–35) is to log post-complaint counsel material. If the parties agree that communications and work product of litigation counsel created after Oct. 8, 2024 need not be logged, Entries 39, 40, 45 and 46 can be removed. We should propose that stipulation at the next meet-and-confer.</w:t>
      </w:r>
    </w:p>
    <w:p>
      <w:pPr>
        <w:pStyle w:val="BodyText"/>
      </w:pPr>
      <w:r>
        <w:t xml:space="preserve">Abbreviations: AC = attorney-client privilege; WP = work product (Fed. R. Civ. P. 26(b)(3)).</w:t>
      </w:r>
    </w:p>
    <w:bookmarkEnd w:id="21"/>
    <w:bookmarkStart w:id="40" w:name="document-by-document-analysis"/>
    <w:p>
      <w:pPr>
        <w:pStyle w:val="Heading1"/>
      </w:pPr>
      <w:r>
        <w:t xml:space="preserve">3. Document-by-Document Analysis</w:t>
      </w:r>
    </w:p>
    <w:bookmarkStart w:id="22" w:name="Xd550bd3f4c31a1c47979b16332dab9d03cd697b"/>
    <w:p>
      <w:pPr>
        <w:pStyle w:val="Heading2"/>
      </w:pPr>
      <w:r>
        <w:t xml:space="preserve">Doc 1 — Board Audit Committee Deck (Dec. 10, 2024)</w:t>
      </w:r>
    </w:p>
    <w:p>
      <w:pPr>
        <w:pStyle w:val="FirstParagraph"/>
      </w:pPr>
      <w:r>
        <w:rPr>
          <w:b/>
          <w:bCs/>
        </w:rPr>
        <w:t xml:space="preserve">Designation: Privileged — Withhold with Caveats (withhold in part; produce with Slides 7–8 redacted).</w:t>
      </w:r>
      <w:r>
        <w:t xml:space="preserve"> </w:t>
      </w:r>
      <w:r>
        <w:t xml:space="preserve">Responsive to RFP 11.</w:t>
      </w:r>
    </w:p>
    <w:p>
      <w:pPr>
        <w:pStyle w:val="Compact"/>
        <w:numPr>
          <w:ilvl w:val="0"/>
          <w:numId w:val="1004"/>
        </w:numPr>
      </w:pPr>
      <w:r>
        <w:rPr>
          <w:b/>
          <w:bCs/>
        </w:rPr>
        <w:t xml:space="preserve">Mixed-purpose deck.</w:t>
      </w:r>
      <w:r>
        <w:t xml:space="preserve"> </w:t>
      </w:r>
      <w:r>
        <w:t xml:space="preserve">Sonya Velez-Clark (VP Marketing) and David Rennick (GC) presented it jointly. Slides 3–6 (marketing) and 9–15 (financial, audit, regulatory status) are ordinary business content and are not privileged.</w:t>
      </w:r>
    </w:p>
    <w:p>
      <w:pPr>
        <w:pStyle w:val="Compact"/>
        <w:numPr>
          <w:ilvl w:val="0"/>
          <w:numId w:val="1004"/>
        </w:numPr>
      </w:pPr>
      <w:r>
        <w:rPr>
          <w:b/>
          <w:bCs/>
        </w:rPr>
        <w:t xml:space="preserve">Slides 7–8 are privileged.</w:t>
      </w:r>
      <w:r>
        <w:t xml:space="preserve"> </w:t>
      </w:r>
      <w:r>
        <w:t xml:space="preserve">They carry counsel’s litigation risk assessment and defense strategy: class certification risk, the damages theory, defense positions, vulnerabilities, and outside counsel’s recommendations. That content closely tracks the Nov. 15, 2024 strategy memo, which confirms the review note that the deck</w:t>
      </w:r>
      <w:r>
        <w:t xml:space="preserve"> </w:t>
      </w:r>
      <w:r>
        <w:t xml:space="preserve">“</w:t>
      </w:r>
      <w:r>
        <w:t xml:space="preserve">may have incorporated</w:t>
      </w:r>
      <w:r>
        <w:t xml:space="preserve">”</w:t>
      </w:r>
      <w:r>
        <w:t xml:space="preserve"> </w:t>
      </w:r>
      <w:r>
        <w:t xml:space="preserve">the memo. Sharing with the Board for legal oversight does not waive privilege (Protocol §§4.2, 9).</w:t>
      </w:r>
    </w:p>
    <w:p>
      <w:pPr>
        <w:pStyle w:val="Compact"/>
        <w:numPr>
          <w:ilvl w:val="0"/>
          <w:numId w:val="1004"/>
        </w:numPr>
      </w:pPr>
      <w:r>
        <w:rPr>
          <w:b/>
          <w:bCs/>
        </w:rPr>
        <w:t xml:space="preserve">Caveat 1: distribution.</w:t>
      </w:r>
      <w:r>
        <w:t xml:space="preserve"> </w:t>
      </w:r>
      <w:r>
        <w:t xml:space="preserve">Confirm the deck went only to Audit Committee members and was not given to Thornfield Accounting Group LLP (Slide 12 says the auditors were</w:t>
      </w:r>
      <w:r>
        <w:t xml:space="preserve"> </w:t>
      </w:r>
      <w:r>
        <w:t xml:space="preserve">“</w:t>
      </w:r>
      <w:r>
        <w:t xml:space="preserve">informed</w:t>
      </w:r>
      <w:r>
        <w:t xml:space="preserve">”</w:t>
      </w:r>
      <w:r>
        <w:t xml:space="preserve">). Disclosure to an outside auditor would waive attorney-client privilege. Courts are split on whether it waives work product.</w:t>
      </w:r>
    </w:p>
    <w:p>
      <w:pPr>
        <w:pStyle w:val="Compact"/>
        <w:numPr>
          <w:ilvl w:val="0"/>
          <w:numId w:val="1004"/>
        </w:numPr>
      </w:pPr>
      <w:r>
        <w:rPr>
          <w:b/>
          <w:bCs/>
        </w:rPr>
        <w:t xml:space="preserve">Caveat 2: Slide 8 misdescribes the Pemberton opinion.</w:t>
      </w:r>
      <w:r>
        <w:t xml:space="preserve"> </w:t>
      </w:r>
      <w:r>
        <w:t xml:space="preserve">It says the June 2021 opinion</w:t>
      </w:r>
      <w:r>
        <w:t xml:space="preserve"> </w:t>
      </w:r>
      <w:r>
        <w:t xml:space="preserve">“</w:t>
      </w:r>
      <w:r>
        <w:t xml:space="preserve">support[ed] Greenleaf’s labeling position.</w:t>
      </w:r>
      <w:r>
        <w:t xml:space="preserve">”</w:t>
      </w:r>
      <w:r>
        <w:t xml:space="preserve"> </w:t>
      </w:r>
      <w:r>
        <w:t xml:space="preserve">See Doc 14 and Executive Summary item 4.</w:t>
      </w:r>
    </w:p>
    <w:p>
      <w:pPr>
        <w:pStyle w:val="Compact"/>
        <w:numPr>
          <w:ilvl w:val="0"/>
          <w:numId w:val="1004"/>
        </w:numPr>
      </w:pPr>
      <w:r>
        <w:rPr>
          <w:b/>
          <w:bCs/>
        </w:rPr>
        <w:t xml:space="preserve">Caveat 3: date anomaly.</w:t>
      </w:r>
      <w:r>
        <w:t xml:space="preserve"> </w:t>
      </w:r>
      <w:r>
        <w:t xml:space="preserve">A deck dated Dec. 10, 2024 reports fees</w:t>
      </w:r>
      <w:r>
        <w:t xml:space="preserve"> </w:t>
      </w:r>
      <w:r>
        <w:t xml:space="preserve">“</w:t>
      </w:r>
      <w:r>
        <w:t xml:space="preserve">through March 2025.</w:t>
      </w:r>
      <w:r>
        <w:t xml:space="preserve">”</w:t>
      </w:r>
      <w:r>
        <w:t xml:space="preserve"> </w:t>
      </w:r>
      <w:r>
        <w:t xml:space="preserve">Check the metadata for the final version date before logging. The fee figures themselves add up ($197,080 + $89,920 = $287,000).</w:t>
      </w:r>
    </w:p>
    <w:p>
      <w:pPr>
        <w:pStyle w:val="Compact"/>
        <w:numPr>
          <w:ilvl w:val="0"/>
          <w:numId w:val="1004"/>
        </w:numPr>
      </w:pPr>
      <w:r>
        <w:rPr>
          <w:b/>
          <w:bCs/>
        </w:rPr>
        <w:t xml:space="preserve">Not redacted.</w:t>
      </w:r>
      <w:r>
        <w:t xml:space="preserve"> </w:t>
      </w:r>
      <w:r>
        <w:t xml:space="preserve">Slide 12 (ASC 450 classification) and Slide 9 (fee totals) are accounting and billing facts. Produce them unless NB decides otherwise.</w:t>
      </w:r>
    </w:p>
    <w:bookmarkEnd w:id="22"/>
    <w:bookmarkStart w:id="23" w:name="X235878a381ae4bc51b4131d38d795255e40e282"/>
    <w:p>
      <w:pPr>
        <w:pStyle w:val="Heading2"/>
      </w:pPr>
      <w:r>
        <w:t xml:space="preserve">Doc 2 — Bridger Email to Rachel Kovacs, Westlake Barrett (Jan. 21, 2025 PT / Jan. 22 UTC)</w:t>
      </w:r>
    </w:p>
    <w:p>
      <w:pPr>
        <w:pStyle w:val="FirstParagraph"/>
      </w:pPr>
      <w:r>
        <w:rPr>
          <w:b/>
          <w:bCs/>
        </w:rPr>
        <w:t xml:space="preserve">Designation: Privileged — Withhold with Caveats.</w:t>
      </w:r>
      <w:r>
        <w:t xml:space="preserve"> </w:t>
      </w:r>
      <w:r>
        <w:t xml:space="preserve">This is mandatory under Protocol §5 because there is no written common interest agreement.</w:t>
      </w:r>
    </w:p>
    <w:p>
      <w:pPr>
        <w:pStyle w:val="Compact"/>
        <w:numPr>
          <w:ilvl w:val="0"/>
          <w:numId w:val="1005"/>
        </w:numPr>
      </w:pPr>
      <w:r>
        <w:rPr>
          <w:b/>
          <w:bCs/>
        </w:rPr>
        <w:t xml:space="preserve">Content.</w:t>
      </w:r>
      <w:r>
        <w:t xml:space="preserve"> </w:t>
      </w:r>
      <w:r>
        <w:t xml:space="preserve">The email contains opinion work product: class certification analysis, the best defense arguments, predominance strategy, and the processing-aid theory. It is shared with counsel for Cascade, a non-party.</w:t>
      </w:r>
    </w:p>
    <w:p>
      <w:pPr>
        <w:pStyle w:val="Compact"/>
        <w:numPr>
          <w:ilvl w:val="0"/>
          <w:numId w:val="1005"/>
        </w:numPr>
      </w:pPr>
      <w:r>
        <w:rPr>
          <w:b/>
          <w:bCs/>
        </w:rPr>
        <w:t xml:space="preserve">Attorney-client privilege.</w:t>
      </w:r>
      <w:r>
        <w:t xml:space="preserve"> </w:t>
      </w:r>
      <w:r>
        <w:t xml:space="preserve">It survives only if the common interest doctrine applies.</w:t>
      </w:r>
    </w:p>
    <w:p>
      <w:pPr>
        <w:pStyle w:val="Compact"/>
        <w:numPr>
          <w:ilvl w:val="0"/>
          <w:numId w:val="1005"/>
        </w:numPr>
      </w:pPr>
      <w:r>
        <w:rPr>
          <w:b/>
          <w:bCs/>
        </w:rPr>
        <w:t xml:space="preserve">Work product.</w:t>
      </w:r>
      <w:r>
        <w:t xml:space="preserve"> </w:t>
      </w:r>
      <w:r>
        <w:t xml:space="preserve">Disclosure waives it only if made to an adversary, or in a way that substantially increases the chance an adversary obtains it.</w:t>
      </w:r>
    </w:p>
    <w:p>
      <w:pPr>
        <w:pStyle w:val="Compact"/>
        <w:numPr>
          <w:ilvl w:val="0"/>
          <w:numId w:val="1005"/>
        </w:numPr>
      </w:pPr>
      <w:r>
        <w:rPr>
          <w:b/>
          <w:bCs/>
        </w:rPr>
        <w:t xml:space="preserve">Risk factors to note:</w:t>
      </w:r>
    </w:p>
    <w:p>
      <w:pPr>
        <w:pStyle w:val="Compact"/>
        <w:numPr>
          <w:ilvl w:val="1"/>
          <w:numId w:val="1006"/>
        </w:numPr>
      </w:pPr>
      <w:r>
        <w:t xml:space="preserve">There is no written common interest or joint defense agreement. The Ninth Circuit does not strictly require one, but it does require a</w:t>
      </w:r>
      <w:r>
        <w:t xml:space="preserve"> </w:t>
      </w:r>
      <w:r>
        <w:rPr>
          <w:i/>
          <w:iCs/>
        </w:rPr>
        <w:t xml:space="preserve">legal</w:t>
      </w:r>
      <w:r>
        <w:t xml:space="preserve">, not merely commercial, common interest.</w:t>
      </w:r>
    </w:p>
    <w:p>
      <w:pPr>
        <w:pStyle w:val="Compact"/>
        <w:numPr>
          <w:ilvl w:val="1"/>
          <w:numId w:val="1006"/>
        </w:numPr>
      </w:pPr>
      <w:r>
        <w:t xml:space="preserve">The email itself raises Greenleaf’s possible</w:t>
      </w:r>
      <w:r>
        <w:t xml:space="preserve"> </w:t>
      </w:r>
      <w:r>
        <w:rPr>
          <w:b/>
          <w:bCs/>
        </w:rPr>
        <w:t xml:space="preserve">contribution or indemnification claims against Cascade</w:t>
      </w:r>
      <w:r>
        <w:t xml:space="preserve">. The handwritten note (Doc 16) likewise says to</w:t>
      </w:r>
      <w:r>
        <w:t xml:space="preserve"> </w:t>
      </w:r>
      <w:r>
        <w:t xml:space="preserve">“</w:t>
      </w:r>
      <w:r>
        <w:t xml:space="preserve">confirm co-pack agreement indemnification clause.</w:t>
      </w:r>
      <w:r>
        <w:t xml:space="preserve">”</w:t>
      </w:r>
      <w:r>
        <w:t xml:space="preserve"> </w:t>
      </w:r>
      <w:r>
        <w:t xml:space="preserve">Plaintiff will argue the two companies’ interests are adverse.</w:t>
      </w:r>
    </w:p>
    <w:p>
      <w:pPr>
        <w:pStyle w:val="Compact"/>
        <w:numPr>
          <w:ilvl w:val="1"/>
          <w:numId w:val="1006"/>
        </w:numPr>
      </w:pPr>
      <w:r>
        <w:t xml:space="preserve">Kovacs has not yet agreed to confidentiality or to coordinate.</w:t>
      </w:r>
    </w:p>
    <w:p>
      <w:pPr>
        <w:pStyle w:val="Compact"/>
        <w:numPr>
          <w:ilvl w:val="0"/>
          <w:numId w:val="1005"/>
        </w:numPr>
      </w:pPr>
      <w:r>
        <w:rPr>
          <w:b/>
          <w:bCs/>
        </w:rPr>
        <w:t xml:space="preserve">Date discrepancy.</w:t>
      </w:r>
      <w:r>
        <w:t xml:space="preserve"> </w:t>
      </w:r>
      <w:r>
        <w:t xml:space="preserve">The working log (Pending row 50) dates this email 02/01/2025. The header shows Jan. 22, 2025 03:47 UTC, which is Jan. 21, 2025 at 7:47 PM Pacific. Use the header date.</w:t>
      </w:r>
    </w:p>
    <w:p>
      <w:pPr>
        <w:pStyle w:val="Compact"/>
        <w:numPr>
          <w:ilvl w:val="0"/>
          <w:numId w:val="1005"/>
        </w:numPr>
      </w:pPr>
      <w:r>
        <w:rPr>
          <w:b/>
          <w:bCs/>
        </w:rPr>
        <w:t xml:space="preserve">Recommendation.</w:t>
      </w:r>
      <w:r>
        <w:t xml:space="preserve"> </w:t>
      </w:r>
      <w:r>
        <w:t xml:space="preserve">NB should decide whether to sign a written common interest agreement, ideally reciting an oral understanding from the mid-January call, and should stop further sharing until then.</w:t>
      </w:r>
    </w:p>
    <w:bookmarkEnd w:id="23"/>
    <w:bookmarkStart w:id="24" w:name="X7f9c24245705147cb79f8440dbaca6027db3339"/>
    <w:p>
      <w:pPr>
        <w:pStyle w:val="Heading2"/>
      </w:pPr>
      <w:r>
        <w:t xml:space="preserve">Doc 3 — Competitive Market Analysis (Aug. 15, 2022)</w:t>
      </w:r>
    </w:p>
    <w:p>
      <w:pPr>
        <w:pStyle w:val="FirstParagraph"/>
      </w:pPr>
      <w:r>
        <w:rPr>
          <w:b/>
          <w:bCs/>
        </w:rPr>
        <w:t xml:space="preserve">Designation: Not Privileged — Produce.</w:t>
      </w:r>
      <w:r>
        <w:t xml:space="preserve"> </w:t>
      </w:r>
      <w:r>
        <w:t xml:space="preserve">Responsive to RFP 7.</w:t>
      </w:r>
    </w:p>
    <w:p>
      <w:pPr>
        <w:pStyle w:val="Compact"/>
        <w:numPr>
          <w:ilvl w:val="0"/>
          <w:numId w:val="1007"/>
        </w:numPr>
      </w:pPr>
      <w:r>
        <w:t xml:space="preserve">Marketing prepared it for business strategy. No attorney wrote it, directed it or received it. It contains no legal advice, and its distribution was</w:t>
      </w:r>
      <w:r>
        <w:t xml:space="preserve"> </w:t>
      </w:r>
      <w:r>
        <w:t xml:space="preserve">“</w:t>
      </w:r>
      <w:r>
        <w:t xml:space="preserve">Internal — Marketing Department Use.</w:t>
      </w:r>
      <w:r>
        <w:t xml:space="preserve">”</w:t>
      </w:r>
    </w:p>
    <w:p>
      <w:pPr>
        <w:pStyle w:val="Compact"/>
        <w:numPr>
          <w:ilvl w:val="0"/>
          <w:numId w:val="1007"/>
        </w:numPr>
      </w:pPr>
      <w:r>
        <w:t xml:space="preserve">The</w:t>
      </w:r>
      <w:r>
        <w:t xml:space="preserve"> </w:t>
      </w:r>
      <w:r>
        <w:t xml:space="preserve">“</w:t>
      </w:r>
      <w:r>
        <w:t xml:space="preserve">ATTORNEY-CLIENT PRIVILEGED AND CONFIDENTIAL</w:t>
      </w:r>
      <w:r>
        <w:t xml:space="preserve">”</w:t>
      </w:r>
      <w:r>
        <w:t xml:space="preserve"> </w:t>
      </w:r>
      <w:r>
        <w:t xml:space="preserve">stamp does not create privilege (Protocol §3.2).</w:t>
      </w:r>
    </w:p>
    <w:p>
      <w:pPr>
        <w:pStyle w:val="Compact"/>
        <w:numPr>
          <w:ilvl w:val="0"/>
          <w:numId w:val="1007"/>
        </w:numPr>
      </w:pPr>
      <w:r>
        <w:rPr>
          <w:b/>
          <w:bCs/>
        </w:rPr>
        <w:t xml:space="preserve">Date correction:</w:t>
      </w:r>
      <w:r>
        <w:t xml:space="preserve"> </w:t>
      </w:r>
      <w:r>
        <w:t xml:space="preserve">the working log shows 07/19/2023. The face date is Aug. 15, 2022.</w:t>
      </w:r>
    </w:p>
    <w:p>
      <w:pPr>
        <w:pStyle w:val="Compact"/>
        <w:numPr>
          <w:ilvl w:val="0"/>
          <w:numId w:val="1007"/>
        </w:numPr>
      </w:pPr>
      <w:r>
        <w:rPr>
          <w:i/>
          <w:iCs/>
        </w:rPr>
        <w:t xml:space="preserve">Substantive note for the defense team:</w:t>
      </w:r>
      <w:r>
        <w:t xml:space="preserve"> </w:t>
      </w:r>
      <w:r>
        <w:t xml:space="preserve">the report records that 63% of consumers would</w:t>
      </w:r>
      <w:r>
        <w:t xml:space="preserve"> </w:t>
      </w:r>
      <w:r>
        <w:t xml:space="preserve">“</w:t>
      </w:r>
      <w:r>
        <w:t xml:space="preserve">feel deceived</w:t>
      </w:r>
      <w:r>
        <w:t xml:space="preserve">”</w:t>
      </w:r>
      <w:r>
        <w:t xml:space="preserve"> </w:t>
      </w:r>
      <w:r>
        <w:t xml:space="preserve">by synthetic ingredients in a</w:t>
      </w:r>
      <w:r>
        <w:t xml:space="preserve"> </w:t>
      </w:r>
      <w:r>
        <w:t xml:space="preserve">“</w:t>
      </w:r>
      <w:r>
        <w:t xml:space="preserve">100% Natural</w:t>
      </w:r>
      <w:r>
        <w:t xml:space="preserve">”</w:t>
      </w:r>
      <w:r>
        <w:t xml:space="preserve"> </w:t>
      </w:r>
      <w:r>
        <w:t xml:space="preserve">product. That is relevant to materiality and damages. Consider whether to have the stamp removed in production or produce the document as kept.</w:t>
      </w:r>
    </w:p>
    <w:bookmarkEnd w:id="24"/>
    <w:bookmarkStart w:id="25" w:name="Xfa4a44bf5bd8e6700426ee1a3ca7a11d698f419"/>
    <w:p>
      <w:pPr>
        <w:pStyle w:val="Heading2"/>
      </w:pPr>
      <w:r>
        <w:t xml:space="preserve">Doc 4 — Working Draft Privilege Log (last updated Mar. 18, 2025)</w:t>
      </w:r>
    </w:p>
    <w:p>
      <w:pPr>
        <w:pStyle w:val="FirstParagraph"/>
      </w:pPr>
      <w:r>
        <w:rPr>
          <w:b/>
          <w:bCs/>
        </w:rPr>
        <w:t xml:space="preserve">Designation: Privileged — Withhold (opinion work product).</w:t>
      </w:r>
      <w:r>
        <w:t xml:space="preserve"> </w:t>
      </w:r>
      <w:r>
        <w:t xml:space="preserve">Counsel prepared it to manage this litigation. It is not produced, and in any event it is superseded by the served log. It is logged conditionally (see footnote in §2). The problems in its contents are covered in §4.</w:t>
      </w:r>
    </w:p>
    <w:bookmarkEnd w:id="25"/>
    <w:bookmarkStart w:id="26" w:name="X10803f589125bfb2937780c2db195128c09c742"/>
    <w:p>
      <w:pPr>
        <w:pStyle w:val="Heading2"/>
      </w:pPr>
      <w:r>
        <w:t xml:space="preserve">Doc 5 — Emmerich Forward to Dr. Kenji Moritani (Apr. 5, 2021)</w:t>
      </w:r>
    </w:p>
    <w:p>
      <w:pPr>
        <w:pStyle w:val="FirstParagraph"/>
      </w:pPr>
      <w:r>
        <w:rPr>
          <w:b/>
          <w:bCs/>
        </w:rPr>
        <w:t xml:space="preserve">Designation: Not Privileged — Produce, subject to NB final sign-off (Protocol §8(b)).</w:t>
      </w:r>
      <w:r>
        <w:t xml:space="preserve"> </w:t>
      </w:r>
      <w:r>
        <w:t xml:space="preserve">Responsive to RFPs 2, 3, 9 and 16.</w:t>
      </w:r>
    </w:p>
    <w:p>
      <w:pPr>
        <w:pStyle w:val="Compact"/>
        <w:numPr>
          <w:ilvl w:val="0"/>
          <w:numId w:val="1008"/>
        </w:numPr>
      </w:pPr>
      <w:r>
        <w:rPr>
          <w:b/>
          <w:bCs/>
        </w:rPr>
        <w:t xml:space="preserve">Waiver facts.</w:t>
      </w:r>
      <w:r>
        <w:t xml:space="preserve"> </w:t>
      </w:r>
      <w:r>
        <w:t xml:space="preserve">Emmerich voluntarily forwarded Associate GC Nandakumar’s privileged legal risk analysis to a consultant who:</w:t>
      </w:r>
    </w:p>
    <w:p>
      <w:pPr>
        <w:pStyle w:val="Compact"/>
        <w:numPr>
          <w:ilvl w:val="1"/>
          <w:numId w:val="1009"/>
        </w:numPr>
      </w:pPr>
      <w:r>
        <w:t xml:space="preserve">was retained directly by Regulatory Affairs, not by or through counsel;</w:t>
      </w:r>
    </w:p>
    <w:p>
      <w:pPr>
        <w:pStyle w:val="Compact"/>
        <w:numPr>
          <w:ilvl w:val="1"/>
          <w:numId w:val="1009"/>
        </w:numPr>
      </w:pPr>
      <w:r>
        <w:t xml:space="preserve">had no NDA; and</w:t>
      </w:r>
    </w:p>
    <w:p>
      <w:pPr>
        <w:pStyle w:val="Compact"/>
        <w:numPr>
          <w:ilvl w:val="1"/>
          <w:numId w:val="1009"/>
        </w:numPr>
      </w:pPr>
      <w:r>
        <w:t xml:space="preserve">had no common interest agreement (Protocol §§3.2, 9).</w:t>
      </w:r>
    </w:p>
    <w:p>
      <w:pPr>
        <w:pStyle w:val="Compact"/>
        <w:numPr>
          <w:ilvl w:val="0"/>
          <w:numId w:val="1008"/>
        </w:numPr>
      </w:pPr>
      <w:r>
        <w:rPr>
          <w:b/>
          <w:bCs/>
        </w:rPr>
        <w:t xml:space="preserve">Why the waiver arguments are weak.</w:t>
      </w:r>
      <w:r>
        <w:t xml:space="preserve"> </w:t>
      </w:r>
      <w:r>
        <w:t xml:space="preserve">The forward was for a business purpose (</w:t>
      </w:r>
      <w:r>
        <w:t xml:space="preserve">“</w:t>
      </w:r>
      <w:r>
        <w:t xml:space="preserve">help frame the reformulation alternatives</w:t>
      </w:r>
      <w:r>
        <w:t xml:space="preserve">”</w:t>
      </w:r>
      <w:r>
        <w:t xml:space="preserve">). A</w:t>
      </w:r>
      <w:r>
        <w:t xml:space="preserve"> </w:t>
      </w:r>
      <w:r>
        <w:rPr>
          <w:i/>
          <w:iCs/>
        </w:rPr>
        <w:t xml:space="preserve">Kovel</w:t>
      </w:r>
      <w:r>
        <w:t xml:space="preserve">-type agency argument is weak because counsel did not engage Moritani. An authority-to-waive argument is weak because Emmerich is a vice president and the recipient of the advice.</w:t>
      </w:r>
    </w:p>
    <w:p>
      <w:pPr>
        <w:pStyle w:val="Compact"/>
        <w:numPr>
          <w:ilvl w:val="0"/>
          <w:numId w:val="1008"/>
        </w:numPr>
      </w:pPr>
      <w:r>
        <w:rPr>
          <w:b/>
          <w:bCs/>
        </w:rPr>
        <w:t xml:space="preserve">Scope of waiver.</w:t>
      </w:r>
      <w:r>
        <w:t xml:space="preserve"> </w:t>
      </w:r>
      <w:r>
        <w:t xml:space="preserve">Because the disclosure happened outside litigation, FRE 502(a) subject-matter waiver does not apply by its terms, and courts rarely extend waiver from an extrajudicial disclosure to the whole subject matter. The waiver should therefore be limited to the communication actually disclosed, unless Greenleaf later uses the advice affirmatively.</w:t>
      </w:r>
    </w:p>
    <w:p>
      <w:pPr>
        <w:pStyle w:val="Compact"/>
        <w:numPr>
          <w:ilvl w:val="0"/>
          <w:numId w:val="1008"/>
        </w:numPr>
      </w:pPr>
      <w:r>
        <w:rPr>
          <w:b/>
          <w:bCs/>
        </w:rPr>
        <w:t xml:space="preserve">Before producing:</w:t>
      </w:r>
    </w:p>
    <w:p>
      <w:pPr>
        <w:pStyle w:val="Compact"/>
        <w:numPr>
          <w:ilvl w:val="1"/>
          <w:numId w:val="1010"/>
        </w:numPr>
      </w:pPr>
      <w:r>
        <w:t xml:space="preserve">Confirm whether Moritani has other privileged material.</w:t>
      </w:r>
    </w:p>
    <w:p>
      <w:pPr>
        <w:pStyle w:val="Compact"/>
        <w:numPr>
          <w:ilvl w:val="1"/>
          <w:numId w:val="1010"/>
        </w:numPr>
      </w:pPr>
      <w:r>
        <w:t xml:space="preserve">Consider bringing him under counsel’s direction going forward, as the strategy memo recommends.</w:t>
      </w:r>
    </w:p>
    <w:bookmarkEnd w:id="26"/>
    <w:bookmarkStart w:id="27" w:name="Xb75cbfa0a44b55b8afff7098a2c51cc8d7956bb"/>
    <w:p>
      <w:pPr>
        <w:pStyle w:val="Heading2"/>
      </w:pPr>
      <w:r>
        <w:t xml:space="preserve">Doc 6 — Emmerich</w:t>
      </w:r>
      <w:r>
        <w:t xml:space="preserve"> </w:t>
      </w:r>
      <w:r>
        <w:t xml:space="preserve">“</w:t>
      </w:r>
      <w:r>
        <w:t xml:space="preserve">Reformulation — Processing Parameters &amp; Compliance Question</w:t>
      </w:r>
      <w:r>
        <w:t xml:space="preserve">”</w:t>
      </w:r>
      <w:r>
        <w:t xml:space="preserve"> </w:t>
      </w:r>
      <w:r>
        <w:t xml:space="preserve">Email (Feb. 27, 2021 PT)</w:t>
      </w:r>
    </w:p>
    <w:p>
      <w:pPr>
        <w:pStyle w:val="FirstParagraph"/>
      </w:pPr>
      <w:r>
        <w:rPr>
          <w:b/>
          <w:bCs/>
        </w:rPr>
        <w:t xml:space="preserve">Designation: Privileged — Withhold with Caveats (withhold in part; produce with one paragraph redacted).</w:t>
      </w:r>
      <w:r>
        <w:t xml:space="preserve"> </w:t>
      </w:r>
      <w:r>
        <w:t xml:space="preserve">Responsive to RFPs 1, 2, 16, 17 and 19.</w:t>
      </w:r>
    </w:p>
    <w:p>
      <w:pPr>
        <w:pStyle w:val="Compact"/>
        <w:numPr>
          <w:ilvl w:val="0"/>
          <w:numId w:val="1011"/>
        </w:numPr>
      </w:pPr>
      <w:r>
        <w:rPr>
          <w:b/>
          <w:bCs/>
        </w:rPr>
        <w:t xml:space="preserve">Primary purpose is business.</w:t>
      </w:r>
      <w:r>
        <w:t xml:space="preserve"> </w:t>
      </w:r>
      <w:r>
        <w:t xml:space="preserve">Most of the email is a technical and business update: extrusion temperature, shelf-life testing, supplier, additive functions, switchover timeline. Under the Ninth Circuit’s primary-purpose test for dual-purpose communications (</w:t>
      </w:r>
      <w:r>
        <w:rPr>
          <w:i/>
          <w:iCs/>
        </w:rPr>
        <w:t xml:space="preserve">In re Grand Jury</w:t>
      </w:r>
      <w:r>
        <w:t xml:space="preserve">, 23 F.4th 1088 (9th Cir. 2021)) and the Protocol’s predominant-purpose standard, the communication as a whole is not privileged.</w:t>
      </w:r>
    </w:p>
    <w:p>
      <w:pPr>
        <w:pStyle w:val="Compact"/>
        <w:numPr>
          <w:ilvl w:val="0"/>
          <w:numId w:val="1011"/>
        </w:numPr>
      </w:pPr>
      <w:r>
        <w:rPr>
          <w:b/>
          <w:bCs/>
        </w:rPr>
        <w:t xml:space="preserve">One severable legal request.</w:t>
      </w:r>
      <w:r>
        <w:t xml:space="preserve"> </w:t>
      </w:r>
      <w:r>
        <w:t xml:space="preserve">The paragraph beginning</w:t>
      </w:r>
      <w:r>
        <w:t xml:space="preserve"> </w:t>
      </w:r>
      <w:r>
        <w:t xml:space="preserve">“</w:t>
      </w:r>
      <w:r>
        <w:t xml:space="preserve">One thing I did want to flag for you, David…</w:t>
      </w:r>
      <w:r>
        <w:t xml:space="preserve">”</w:t>
      </w:r>
      <w:r>
        <w:t xml:space="preserve"> </w:t>
      </w:r>
      <w:r>
        <w:t xml:space="preserve">and the closing sentence asking for his</w:t>
      </w:r>
      <w:r>
        <w:t xml:space="preserve"> </w:t>
      </w:r>
      <w:r>
        <w:t xml:space="preserve">“</w:t>
      </w:r>
      <w:r>
        <w:t xml:space="preserve">thoughts on the labeling piece</w:t>
      </w:r>
      <w:r>
        <w:t xml:space="preserve">”</w:t>
      </w:r>
      <w:r>
        <w:t xml:space="preserve"> </w:t>
      </w:r>
      <w:r>
        <w:t xml:space="preserve">ask the GC for legal advice. These are severable and may be redacted.</w:t>
      </w:r>
    </w:p>
    <w:p>
      <w:pPr>
        <w:pStyle w:val="Compact"/>
        <w:numPr>
          <w:ilvl w:val="0"/>
          <w:numId w:val="1011"/>
        </w:numPr>
      </w:pPr>
      <w:r>
        <w:rPr>
          <w:b/>
          <w:bCs/>
        </w:rPr>
        <w:t xml:space="preserve">Facts are not privileged.</w:t>
      </w:r>
      <w:r>
        <w:t xml:space="preserve"> </w:t>
      </w:r>
      <w:r>
        <w:t xml:space="preserve">Additive identity, concentrations, and Regulatory Affairs’ internal 0.5% benchmark as a business practice must be produced. They are facts, and Emmerich states them elsewhere in the email as operating parameters.</w:t>
      </w:r>
    </w:p>
    <w:p>
      <w:pPr>
        <w:pStyle w:val="Compact"/>
        <w:numPr>
          <w:ilvl w:val="0"/>
          <w:numId w:val="1011"/>
        </w:numPr>
      </w:pPr>
      <w:r>
        <w:rPr>
          <w:b/>
          <w:bCs/>
        </w:rPr>
        <w:t xml:space="preserve">Caveat: cc list.</w:t>
      </w:r>
      <w:r>
        <w:t xml:space="preserve"> </w:t>
      </w:r>
      <w:r>
        <w:t xml:space="preserve">The cc’s (Brandt, Fontaine, Chu) are in QA and Regulatory Affairs. Each has a plausible need to know, so distribution is defensible. Even so, plaintiff will say the legal question was incidental.</w:t>
      </w:r>
    </w:p>
    <w:p>
      <w:pPr>
        <w:pStyle w:val="Compact"/>
        <w:numPr>
          <w:ilvl w:val="0"/>
          <w:numId w:val="1011"/>
        </w:numPr>
      </w:pPr>
      <w:r>
        <w:rPr>
          <w:b/>
          <w:bCs/>
        </w:rPr>
        <w:t xml:space="preserve">Escalation.</w:t>
      </w:r>
      <w:r>
        <w:t xml:space="preserve"> </w:t>
      </w:r>
      <w:r>
        <w:t xml:space="preserve">Refer to CF on whether to redact at all or produce in full. Producing in full would reveal only a</w:t>
      </w:r>
      <w:r>
        <w:t xml:space="preserve"> </w:t>
      </w:r>
      <w:r>
        <w:rPr>
          <w:i/>
          <w:iCs/>
        </w:rPr>
        <w:t xml:space="preserve">request</w:t>
      </w:r>
      <w:r>
        <w:t xml:space="preserve"> </w:t>
      </w:r>
      <w:r>
        <w:t xml:space="preserve">for advice, not the advice itself.</w:t>
      </w:r>
    </w:p>
    <w:bookmarkEnd w:id="27"/>
    <w:bookmarkStart w:id="28" w:name="Xff532d741c5860baa58ea66ee429aa34be20041"/>
    <w:p>
      <w:pPr>
        <w:pStyle w:val="Heading2"/>
      </w:pPr>
      <w:r>
        <w:t xml:space="preserve">Doc 7 — Plaintiff’s First Set of RFPs (Jan. 15, 2025)</w:t>
      </w:r>
    </w:p>
    <w:p>
      <w:pPr>
        <w:pStyle w:val="FirstParagraph"/>
      </w:pPr>
      <w:r>
        <w:rPr>
          <w:b/>
          <w:bCs/>
        </w:rPr>
        <w:t xml:space="preserve">Designation: Not Privileged.</w:t>
      </w:r>
      <w:r>
        <w:t xml:space="preserve"> </w:t>
      </w:r>
      <w:r>
        <w:t xml:space="preserve">It was served by opposing counsel, so there is nothing to withhold or log, and it is not a Greenleaf production item.</w:t>
      </w:r>
    </w:p>
    <w:p>
      <w:pPr>
        <w:pStyle w:val="Compact"/>
        <w:numPr>
          <w:ilvl w:val="0"/>
          <w:numId w:val="1012"/>
        </w:numPr>
      </w:pPr>
      <w:r>
        <w:rPr>
          <w:b/>
          <w:bCs/>
        </w:rPr>
        <w:t xml:space="preserve">Working log corrections.</w:t>
      </w:r>
      <w:r>
        <w:t xml:space="preserve"> </w:t>
      </w:r>
      <w:r>
        <w:t xml:space="preserve">Pending row 37 lists Caroline Frey as recipient. The certificate of service shows service on</w:t>
      </w:r>
      <w:r>
        <w:t xml:space="preserve"> </w:t>
      </w:r>
      <w:r>
        <w:rPr>
          <w:b/>
          <w:bCs/>
        </w:rPr>
        <w:t xml:space="preserve">Nathan Bridger</w:t>
      </w:r>
      <w:r>
        <w:t xml:space="preserve">. The Review Notes tab also calls the file</w:t>
      </w:r>
      <w:r>
        <w:t xml:space="preserve"> </w:t>
      </w:r>
      <w:r>
        <w:t xml:space="preserve">“</w:t>
      </w:r>
      <w:r>
        <w:t xml:space="preserve">plaintiff-first-rfp.pdf.</w:t>
      </w:r>
      <w:r>
        <w:t xml:space="preserve">”</w:t>
      </w:r>
    </w:p>
    <w:p>
      <w:pPr>
        <w:pStyle w:val="Compact"/>
        <w:numPr>
          <w:ilvl w:val="0"/>
          <w:numId w:val="1012"/>
        </w:numPr>
      </w:pPr>
      <w:r>
        <w:rPr>
          <w:b/>
          <w:bCs/>
        </w:rPr>
        <w:t xml:space="preserve">Relevant to the log format.</w:t>
      </w:r>
      <w:r>
        <w:t xml:space="preserve"> </w:t>
      </w:r>
      <w:r>
        <w:t xml:space="preserve">Instruction 4 asks for the</w:t>
      </w:r>
      <w:r>
        <w:t xml:space="preserve"> </w:t>
      </w:r>
      <w:r>
        <w:t xml:space="preserve">“</w:t>
      </w:r>
      <w:r>
        <w:t xml:space="preserve">factual basis</w:t>
      </w:r>
      <w:r>
        <w:t xml:space="preserve">”</w:t>
      </w:r>
      <w:r>
        <w:t xml:space="preserve"> </w:t>
      </w:r>
      <w:r>
        <w:t xml:space="preserve">for each claim and for bcc recipients. That exceeds Rule 26(b)(5)(A) as usually applied, but the descriptions in the workbook are drafted so the basis is clear from each entry.</w:t>
      </w:r>
    </w:p>
    <w:bookmarkEnd w:id="28"/>
    <w:bookmarkStart w:id="29" w:name="X675588bd6c0910d06f4b129b8a2a5a4e472b955"/>
    <w:p>
      <w:pPr>
        <w:pStyle w:val="Heading2"/>
      </w:pPr>
      <w:r>
        <w:t xml:space="preserve">Doc 8 — Caroline Frey</w:t>
      </w:r>
      <w:r>
        <w:t xml:space="preserve"> </w:t>
      </w:r>
      <w:r>
        <w:t xml:space="preserve">“</w:t>
      </w:r>
      <w:r>
        <w:t xml:space="preserve">Notes to Self</w:t>
      </w:r>
      <w:r>
        <w:t xml:space="preserve">”</w:t>
      </w:r>
      <w:r>
        <w:t xml:space="preserve"> </w:t>
      </w:r>
      <w:r>
        <w:t xml:space="preserve">(Nov. 2, 2024)</w:t>
      </w:r>
    </w:p>
    <w:p>
      <w:pPr>
        <w:pStyle w:val="FirstParagraph"/>
      </w:pPr>
      <w:r>
        <w:rPr>
          <w:b/>
          <w:bCs/>
        </w:rPr>
        <w:t xml:space="preserve">Designation: Privileged — Withhold (opinion work product).</w:t>
      </w:r>
    </w:p>
    <w:p>
      <w:pPr>
        <w:pStyle w:val="Compact"/>
        <w:numPr>
          <w:ilvl w:val="0"/>
          <w:numId w:val="1013"/>
        </w:numPr>
      </w:pPr>
      <w:r>
        <w:t xml:space="preserve">Outside litigation counsel prepared these notes after engagement. They record her mental impressions, defense theories and discovery concerns, so they receive near-absolute protection.</w:t>
      </w:r>
    </w:p>
    <w:p>
      <w:pPr>
        <w:pStyle w:val="Compact"/>
        <w:numPr>
          <w:ilvl w:val="0"/>
          <w:numId w:val="1013"/>
        </w:numPr>
      </w:pPr>
      <w:r>
        <w:t xml:space="preserve">Attorney-client privilege is not the main basis, because the notes are not a communication with the client.</w:t>
      </w:r>
    </w:p>
    <w:p>
      <w:pPr>
        <w:pStyle w:val="Compact"/>
        <w:numPr>
          <w:ilvl w:val="0"/>
          <w:numId w:val="1013"/>
        </w:numPr>
      </w:pPr>
      <w:r>
        <w:rPr>
          <w:b/>
          <w:bCs/>
        </w:rPr>
        <w:t xml:space="preserve">Caveat (minor).</w:t>
      </w:r>
      <w:r>
        <w:t xml:space="preserve"> </w:t>
      </w:r>
      <w:r>
        <w:t xml:space="preserve">They were written from a personal Gmail account. Storing work product with a third-party email provider does not by itself waive protection. Recommend the firm-account-only practice going forward and preserving both copies.</w:t>
      </w:r>
    </w:p>
    <w:bookmarkEnd w:id="29"/>
    <w:bookmarkStart w:id="30" w:name="Xbd1eae2fedd13c1e6653a3b793be102391ae201"/>
    <w:p>
      <w:pPr>
        <w:pStyle w:val="Heading2"/>
      </w:pPr>
      <w:r>
        <w:t xml:space="preserve">Doc 9 — Inadvertent Production Documentation and Claw-Back Correspondence (Feb. 7, 2025)</w:t>
      </w:r>
    </w:p>
    <w:p>
      <w:pPr>
        <w:pStyle w:val="FirstParagraph"/>
      </w:pPr>
      <w:r>
        <w:rPr>
          <w:b/>
          <w:bCs/>
        </w:rPr>
        <w:t xml:space="preserve">Designation: Privileged — Withhold (Tillman internal memorandum); the Feb. 6 claw-back letter and Exhibit A are not privileged.</w:t>
      </w:r>
    </w:p>
    <w:p>
      <w:pPr>
        <w:pStyle w:val="Compact"/>
        <w:numPr>
          <w:ilvl w:val="0"/>
          <w:numId w:val="1014"/>
        </w:numPr>
      </w:pPr>
      <w:r>
        <w:rPr>
          <w:b/>
          <w:bCs/>
        </w:rPr>
        <w:t xml:space="preserve">The memo is work product.</w:t>
      </w:r>
      <w:r>
        <w:t xml:space="preserve"> </w:t>
      </w:r>
      <w:r>
        <w:t xml:space="preserve">It was prepared at counsel’s direction in this litigation.</w:t>
      </w:r>
    </w:p>
    <w:p>
      <w:pPr>
        <w:pStyle w:val="Compact"/>
        <w:numPr>
          <w:ilvl w:val="0"/>
          <w:numId w:val="1014"/>
        </w:numPr>
      </w:pPr>
      <w:r>
        <w:rPr>
          <w:b/>
          <w:bCs/>
        </w:rPr>
        <w:t xml:space="preserve">The letter and Exhibit A are not privileged.</w:t>
      </w:r>
      <w:r>
        <w:t xml:space="preserve"> </w:t>
      </w:r>
      <w:r>
        <w:t xml:space="preserve">They were sent to opposing counsel, so no log entry is needed for them.</w:t>
      </w:r>
    </w:p>
    <w:p>
      <w:pPr>
        <w:pStyle w:val="Compact"/>
        <w:numPr>
          <w:ilvl w:val="0"/>
          <w:numId w:val="1014"/>
        </w:numPr>
      </w:pPr>
      <w:r>
        <w:rPr>
          <w:b/>
          <w:bCs/>
        </w:rPr>
        <w:t xml:space="preserve">FRE 502(b) looks satisfied.</w:t>
      </w:r>
      <w:r>
        <w:t xml:space="preserve"> </w:t>
      </w:r>
      <w:r>
        <w:t xml:space="preserve">The documents were produced Mon., Feb. 3; the error was found Wed., Feb. 5; notice went out Thu., Feb. 6. That is within the Protocol’s two-business-day window. The memo does candidly record that the two-person sign-off was skipped. That admission bears on the</w:t>
      </w:r>
      <w:r>
        <w:t xml:space="preserve"> </w:t>
      </w:r>
      <w:r>
        <w:t xml:space="preserve">“</w:t>
      </w:r>
      <w:r>
        <w:t xml:space="preserve">reasonable steps to prevent disclosure</w:t>
      </w:r>
      <w:r>
        <w:t xml:space="preserve">”</w:t>
      </w:r>
      <w:r>
        <w:t xml:space="preserve"> </w:t>
      </w:r>
      <w:r>
        <w:t xml:space="preserve">element and is itself a reason to keep the memo protected.</w:t>
      </w:r>
    </w:p>
    <w:p>
      <w:pPr>
        <w:pStyle w:val="Compact"/>
        <w:numPr>
          <w:ilvl w:val="0"/>
          <w:numId w:val="1014"/>
        </w:numPr>
      </w:pPr>
      <w:r>
        <w:rPr>
          <w:b/>
          <w:bCs/>
        </w:rPr>
        <w:t xml:space="preserve">Follow-up:</w:t>
      </w:r>
    </w:p>
    <w:p>
      <w:pPr>
        <w:pStyle w:val="Compact"/>
        <w:numPr>
          <w:ilvl w:val="1"/>
          <w:numId w:val="1015"/>
        </w:numPr>
      </w:pPr>
      <w:r>
        <w:t xml:space="preserve">The three clawed-back documents (GL-PRIV-00234 to -00236) are</w:t>
      </w:r>
      <w:r>
        <w:t xml:space="preserve"> </w:t>
      </w:r>
      <w:r>
        <w:rPr>
          <w:b/>
          <w:bCs/>
        </w:rPr>
        <w:t xml:space="preserve">not yet on the working log</w:t>
      </w:r>
      <w:r>
        <w:t xml:space="preserve">. They are now Entries 47–49.</w:t>
      </w:r>
    </w:p>
    <w:p>
      <w:pPr>
        <w:pStyle w:val="Compact"/>
        <w:numPr>
          <w:ilvl w:val="1"/>
          <w:numId w:val="1015"/>
        </w:numPr>
      </w:pPr>
      <w:r>
        <w:rPr>
          <w:b/>
          <w:bCs/>
        </w:rPr>
        <w:t xml:space="preserve">Seek a Rule 502(d) order</w:t>
      </w:r>
      <w:r>
        <w:t xml:space="preserve"> </w:t>
      </w:r>
      <w:r>
        <w:t xml:space="preserve">promptly. None is in place.</w:t>
      </w:r>
    </w:p>
    <w:p>
      <w:pPr>
        <w:pStyle w:val="Compact"/>
        <w:numPr>
          <w:ilvl w:val="1"/>
          <w:numId w:val="1015"/>
        </w:numPr>
      </w:pPr>
      <w:r>
        <w:t xml:space="preserve">Plaintiff’s response to the claw-back is still outstanding. Calendar a follow-up for 5 business days after receipt.</w:t>
      </w:r>
    </w:p>
    <w:p>
      <w:pPr>
        <w:pStyle w:val="Compact"/>
        <w:numPr>
          <w:ilvl w:val="1"/>
          <w:numId w:val="1015"/>
        </w:numPr>
      </w:pPr>
      <w:r>
        <w:t xml:space="preserve">The Bates prefix used in the claw-back (</w:t>
      </w:r>
      <w:r>
        <w:t xml:space="preserve">“</w:t>
      </w:r>
      <w:r>
        <w:t xml:space="preserve">GL-PRIV-</w:t>
      </w:r>
      <w:r>
        <w:t xml:space="preserve">”</w:t>
      </w:r>
      <w:r>
        <w:t xml:space="preserve">) differs from the working log’s</w:t>
      </w:r>
      <w:r>
        <w:t xml:space="preserve"> </w:t>
      </w:r>
      <w:r>
        <w:t xml:space="preserve">“</w:t>
      </w:r>
      <w:r>
        <w:t xml:space="preserve">GCP-PRIV-</w:t>
      </w:r>
      <w:r>
        <w:t xml:space="preserve">”</w:t>
      </w:r>
      <w:r>
        <w:t xml:space="preserve">. Confirm with Pinnacle.</w:t>
      </w:r>
    </w:p>
    <w:bookmarkEnd w:id="30"/>
    <w:bookmarkStart w:id="31" w:name="Xb3d8917467bbf27eccc34be681b7e90b2b5b4bc"/>
    <w:p>
      <w:pPr>
        <w:pStyle w:val="Heading2"/>
      </w:pPr>
      <w:r>
        <w:t xml:space="preserve">Doc 10 — Litigation Hold Notice (Oct. 11, 2024)</w:t>
      </w:r>
    </w:p>
    <w:p>
      <w:pPr>
        <w:pStyle w:val="FirstParagraph"/>
      </w:pPr>
      <w:r>
        <w:rPr>
          <w:b/>
          <w:bCs/>
        </w:rPr>
        <w:t xml:space="preserve">Designation: Privileged — Withhold with Caveats.</w:t>
      </w:r>
      <w:r>
        <w:t xml:space="preserve"> </w:t>
      </w:r>
      <w:r>
        <w:t xml:space="preserve">This departs from the preliminary</w:t>
      </w:r>
      <w:r>
        <w:t xml:space="preserve"> </w:t>
      </w:r>
      <w:r>
        <w:t xml:space="preserve">“</w:t>
      </w:r>
      <w:r>
        <w:t xml:space="preserve">Not Privileged — Produce</w:t>
      </w:r>
      <w:r>
        <w:t xml:space="preserve">”</w:t>
      </w:r>
      <w:r>
        <w:t xml:space="preserve"> </w:t>
      </w:r>
      <w:r>
        <w:t xml:space="preserve">call in the Review Notes tab. It is responsive to RFP 12.</w:t>
      </w:r>
    </w:p>
    <w:p>
      <w:pPr>
        <w:pStyle w:val="Compact"/>
        <w:numPr>
          <w:ilvl w:val="0"/>
          <w:numId w:val="1016"/>
        </w:numPr>
      </w:pPr>
      <w:r>
        <w:rPr>
          <w:b/>
          <w:bCs/>
        </w:rPr>
        <w:t xml:space="preserve">Why it is privileged.</w:t>
      </w:r>
      <w:r>
        <w:t xml:space="preserve"> </w:t>
      </w:r>
      <w:r>
        <w:t xml:space="preserve">It is a confidential communication from the GC to 14 employees who each had a need to receive the instructions. It gives legal direction on preservation obligations, the scope of the hold and the consequences of non-compliance. Courts generally treat hold notices as privileged or work product.</w:t>
      </w:r>
    </w:p>
    <w:p>
      <w:pPr>
        <w:pStyle w:val="Compact"/>
        <w:numPr>
          <w:ilvl w:val="0"/>
          <w:numId w:val="1016"/>
        </w:numPr>
      </w:pPr>
      <w:r>
        <w:rPr>
          <w:b/>
          <w:bCs/>
        </w:rPr>
        <w:t xml:space="preserve">What remains discoverable.</w:t>
      </w:r>
      <w:r>
        <w:t xml:space="preserve"> </w:t>
      </w:r>
      <w:r>
        <w:t xml:space="preserve">The</w:t>
      </w:r>
      <w:r>
        <w:t xml:space="preserve"> </w:t>
      </w:r>
      <w:r>
        <w:rPr>
          <w:i/>
          <w:iCs/>
        </w:rPr>
        <w:t xml:space="preserve">facts</w:t>
      </w:r>
      <w:r>
        <w:t xml:space="preserve"> </w:t>
      </w:r>
      <w:r>
        <w:t xml:space="preserve">of preservation are discoverable: the date, the custodians, and the categories and types of material. The notices themselves can be ordered produced if spoliation becomes an issue.</w:t>
      </w:r>
    </w:p>
    <w:p>
      <w:pPr>
        <w:pStyle w:val="Compact"/>
        <w:numPr>
          <w:ilvl w:val="0"/>
          <w:numId w:val="1016"/>
        </w:numPr>
      </w:pPr>
      <w:r>
        <w:rPr>
          <w:b/>
          <w:bCs/>
        </w:rPr>
        <w:t xml:space="preserve">Recommendation.</w:t>
      </w:r>
      <w:r>
        <w:t xml:space="preserve"> </w:t>
      </w:r>
      <w:r>
        <w:t xml:space="preserve">Withhold and log the notice, but disclose the date, the custodian list and the preservation categories in the RFP 12 response. That keeps privilege intact while meeting plaintiff’s legitimate need.</w:t>
      </w:r>
    </w:p>
    <w:p>
      <w:pPr>
        <w:pStyle w:val="Compact"/>
        <w:numPr>
          <w:ilvl w:val="0"/>
          <w:numId w:val="1016"/>
        </w:numPr>
      </w:pPr>
      <w:r>
        <w:rPr>
          <w:b/>
          <w:bCs/>
        </w:rPr>
        <w:t xml:space="preserve">Voluntary production is an option.</w:t>
      </w:r>
      <w:r>
        <w:t xml:space="preserve"> </w:t>
      </w:r>
      <w:r>
        <w:t xml:space="preserve">Producing the notice would carry little waiver risk, since it contains no legal analysis. CF/NB may choose that route to show good faith.</w:t>
      </w:r>
    </w:p>
    <w:p>
      <w:pPr>
        <w:pStyle w:val="Compact"/>
        <w:numPr>
          <w:ilvl w:val="0"/>
          <w:numId w:val="1016"/>
        </w:numPr>
      </w:pPr>
      <w:r>
        <w:rPr>
          <w:b/>
          <w:bCs/>
        </w:rPr>
        <w:t xml:space="preserve">Preservation gaps to fix regardless of the privilege call:</w:t>
      </w:r>
    </w:p>
    <w:p>
      <w:pPr>
        <w:pStyle w:val="Compact"/>
        <w:numPr>
          <w:ilvl w:val="1"/>
          <w:numId w:val="1017"/>
        </w:numPr>
      </w:pPr>
      <w:r>
        <w:t xml:space="preserve">The 23-member Slack channel includes many non-custodians, such as sales reps, the marketing intern and the warehouse team.</w:t>
      </w:r>
    </w:p>
    <w:p>
      <w:pPr>
        <w:pStyle w:val="Compact"/>
        <w:numPr>
          <w:ilvl w:val="1"/>
          <w:numId w:val="1017"/>
        </w:numPr>
      </w:pPr>
      <w:r>
        <w:t xml:space="preserve">Dr. Moritani is covered only as a category, not as a custodian.</w:t>
      </w:r>
    </w:p>
    <w:p>
      <w:pPr>
        <w:pStyle w:val="Compact"/>
        <w:numPr>
          <w:ilvl w:val="1"/>
          <w:numId w:val="1017"/>
        </w:numPr>
      </w:pPr>
      <w:r>
        <w:t xml:space="preserve">The notice uses a different email domain (greenleafcpg.com) from the company’s email (greenleafconsumer.com).</w:t>
      </w:r>
    </w:p>
    <w:bookmarkEnd w:id="31"/>
    <w:bookmarkStart w:id="32" w:name="X63464eb21968ad78306ca229f8521b3cf61e060"/>
    <w:p>
      <w:pPr>
        <w:pStyle w:val="Heading2"/>
      </w:pPr>
      <w:r>
        <w:t xml:space="preserve">Doc 11 — Litigation Strategy Memorandum (Nov. 15, 2024)</w:t>
      </w:r>
    </w:p>
    <w:p>
      <w:pPr>
        <w:pStyle w:val="FirstParagraph"/>
      </w:pPr>
      <w:r>
        <w:rPr>
          <w:b/>
          <w:bCs/>
        </w:rPr>
        <w:t xml:space="preserve">Designation: Privileged — Withhold (AC and opinion work product).</w:t>
      </w:r>
    </w:p>
    <w:p>
      <w:pPr>
        <w:pStyle w:val="Compact"/>
        <w:numPr>
          <w:ilvl w:val="0"/>
          <w:numId w:val="1018"/>
        </w:numPr>
      </w:pPr>
      <w:r>
        <w:t xml:space="preserve">Outside litigation counsel sent it to the GC and Associate GC after engagement. It gives a merits assessment, probability estimates, damages exposure and a settlement range. This is core protected material.</w:t>
      </w:r>
    </w:p>
    <w:p>
      <w:pPr>
        <w:pStyle w:val="Compact"/>
        <w:numPr>
          <w:ilvl w:val="0"/>
          <w:numId w:val="1018"/>
        </w:numPr>
      </w:pPr>
      <w:r>
        <w:rPr>
          <w:b/>
          <w:bCs/>
        </w:rPr>
        <w:t xml:space="preserve">Working log error.</w:t>
      </w:r>
      <w:r>
        <w:t xml:space="preserve"> </w:t>
      </w:r>
      <w:r>
        <w:t xml:space="preserve">Pending row 40 lists the recipient as Nathan Bridger. The memo is addressed to</w:t>
      </w:r>
      <w:r>
        <w:t xml:space="preserve"> </w:t>
      </w:r>
      <w:r>
        <w:rPr>
          <w:b/>
          <w:bCs/>
        </w:rPr>
        <w:t xml:space="preserve">Rennick and Nandakumar, cc Bridger</w:t>
      </w:r>
      <w:r>
        <w:t xml:space="preserve">.</w:t>
      </w:r>
    </w:p>
    <w:p>
      <w:pPr>
        <w:pStyle w:val="Compact"/>
        <w:numPr>
          <w:ilvl w:val="0"/>
          <w:numId w:val="1018"/>
        </w:numPr>
      </w:pPr>
      <w:r>
        <w:rPr>
          <w:b/>
          <w:bCs/>
        </w:rPr>
        <w:t xml:space="preserve">Date integrity problem.</w:t>
      </w:r>
      <w:r>
        <w:t xml:space="preserve"> </w:t>
      </w:r>
      <w:r>
        <w:t xml:space="preserve">A memo dated Nov. 15, 2024 describes the First RFP as served</w:t>
      </w:r>
      <w:r>
        <w:t xml:space="preserve"> </w:t>
      </w:r>
      <w:r>
        <w:t xml:space="preserve">“</w:t>
      </w:r>
      <w:r>
        <w:t xml:space="preserve">on January 15, 2025,</w:t>
      </w:r>
      <w:r>
        <w:t xml:space="preserve">”</w:t>
      </w:r>
      <w:r>
        <w:t xml:space="preserve"> </w:t>
      </w:r>
      <w:r>
        <w:t xml:space="preserve">reports spend</w:t>
      </w:r>
      <w:r>
        <w:t xml:space="preserve"> </w:t>
      </w:r>
      <w:r>
        <w:t xml:space="preserve">“</w:t>
      </w:r>
      <w:r>
        <w:t xml:space="preserve">through … March 2025,</w:t>
      </w:r>
      <w:r>
        <w:t xml:space="preserve">”</w:t>
      </w:r>
      <w:r>
        <w:t xml:space="preserve"> </w:t>
      </w:r>
      <w:r>
        <w:t xml:space="preserve">and mentions Bridger’s contact with Cascade’s counsel, which happened in January 2025. It was evidently revised after its face date. Pull the version history and log the date of the version actually withheld, or log it as</w:t>
      </w:r>
      <w:r>
        <w:t xml:space="preserve"> </w:t>
      </w:r>
      <w:r>
        <w:t xml:space="preserve">“</w:t>
      </w:r>
      <w:r>
        <w:t xml:space="preserve">11/15/2024 (revised through [date]).</w:t>
      </w:r>
      <w:r>
        <w:t xml:space="preserve">”</w:t>
      </w:r>
    </w:p>
    <w:p>
      <w:pPr>
        <w:pStyle w:val="Compact"/>
        <w:numPr>
          <w:ilvl w:val="0"/>
          <w:numId w:val="1018"/>
        </w:numPr>
      </w:pPr>
      <w:r>
        <w:rPr>
          <w:b/>
          <w:bCs/>
        </w:rPr>
        <w:t xml:space="preserve">Distribution check.</w:t>
      </w:r>
      <w:r>
        <w:t xml:space="preserve"> </w:t>
      </w:r>
      <w:r>
        <w:t xml:space="preserve">Confirm it was not re-sent beyond the addressees. The Board deck incorporates parts of it (Doc 1).</w:t>
      </w:r>
    </w:p>
    <w:bookmarkEnd w:id="32"/>
    <w:bookmarkStart w:id="33" w:name="X6eaae4f2dc35ddccd785d17bd98e3cba11b5d22"/>
    <w:p>
      <w:pPr>
        <w:pStyle w:val="Heading2"/>
      </w:pPr>
      <w:r>
        <w:t xml:space="preserve">Doc 12 — Nandakumar</w:t>
      </w:r>
      <w:r>
        <w:t xml:space="preserve"> </w:t>
      </w:r>
      <w:r>
        <w:t xml:space="preserve">“</w:t>
      </w:r>
      <w:r>
        <w:t xml:space="preserve">Legal Risk Assessment</w:t>
      </w:r>
      <w:r>
        <w:t xml:space="preserve">”</w:t>
      </w:r>
      <w:r>
        <w:t xml:space="preserve"> </w:t>
      </w:r>
      <w:r>
        <w:t xml:space="preserve">Email, Standalone (Apr. 3, 2021)</w:t>
      </w:r>
    </w:p>
    <w:p>
      <w:pPr>
        <w:pStyle w:val="FirstParagraph"/>
      </w:pPr>
      <w:r>
        <w:rPr>
          <w:b/>
          <w:bCs/>
        </w:rPr>
        <w:t xml:space="preserve">Designation: Requires Further Review.</w:t>
      </w:r>
      <w:r>
        <w:t xml:space="preserve"> </w:t>
      </w:r>
      <w:r>
        <w:t xml:space="preserve">It is facially privileged, but the scope of any waiver is unresolved.</w:t>
      </w:r>
    </w:p>
    <w:p>
      <w:pPr>
        <w:pStyle w:val="Compact"/>
        <w:numPr>
          <w:ilvl w:val="0"/>
          <w:numId w:val="1019"/>
        </w:numPr>
      </w:pPr>
      <w:r>
        <w:rPr>
          <w:b/>
          <w:bCs/>
        </w:rPr>
        <w:t xml:space="preserve">Facially privileged.</w:t>
      </w:r>
      <w:r>
        <w:t xml:space="preserve"> </w:t>
      </w:r>
      <w:r>
        <w:t xml:space="preserve">It is a confidential legal analysis from the Associate GC to the VP Regulatory Affairs, answering his request for advice. It is marked, and it instructs</w:t>
      </w:r>
      <w:r>
        <w:t xml:space="preserve"> </w:t>
      </w:r>
      <w:r>
        <w:t xml:space="preserve">“</w:t>
      </w:r>
      <w:r>
        <w:t xml:space="preserve">do not forward.</w:t>
      </w:r>
      <w:r>
        <w:t xml:space="preserve">”</w:t>
      </w:r>
    </w:p>
    <w:p>
      <w:pPr>
        <w:pStyle w:val="Compact"/>
        <w:numPr>
          <w:ilvl w:val="0"/>
          <w:numId w:val="1019"/>
        </w:numPr>
      </w:pPr>
      <w:r>
        <w:rPr>
          <w:b/>
          <w:bCs/>
        </w:rPr>
        <w:t xml:space="preserve">But this standalone copy differs from the version Emmerich forwarded to Moritani (Doc 5):</w:t>
      </w:r>
    </w:p>
    <w:p>
      <w:pPr>
        <w:pStyle w:val="Compact"/>
        <w:numPr>
          <w:ilvl w:val="1"/>
          <w:numId w:val="1020"/>
        </w:numPr>
      </w:pPr>
      <w:r>
        <w:t xml:space="preserve">Send time: 2:47 PM vs. 4:42 PM.</w:t>
      </w:r>
    </w:p>
    <w:p>
      <w:pPr>
        <w:pStyle w:val="Compact"/>
        <w:numPr>
          <w:ilvl w:val="1"/>
          <w:numId w:val="1020"/>
        </w:numPr>
      </w:pPr>
      <w:r>
        <w:t xml:space="preserve">Subject line: different.</w:t>
      </w:r>
    </w:p>
    <w:p>
      <w:pPr>
        <w:pStyle w:val="Compact"/>
        <w:numPr>
          <w:ilvl w:val="1"/>
          <w:numId w:val="1020"/>
        </w:numPr>
      </w:pPr>
      <w:r>
        <w:t xml:space="preserve">FDA policy cited as 1991 vs. 1993.</w:t>
      </w:r>
    </w:p>
    <w:p>
      <w:pPr>
        <w:pStyle w:val="Compact"/>
        <w:numPr>
          <w:ilvl w:val="1"/>
          <w:numId w:val="1020"/>
        </w:numPr>
      </w:pPr>
      <w:r>
        <w:t xml:space="preserve">Content found only in this copy: the FTC and California AG enforcement examples, the two N.D. Cal. settlements, and the class certification discussion.</w:t>
      </w:r>
    </w:p>
    <w:p>
      <w:pPr>
        <w:pStyle w:val="Compact"/>
        <w:numPr>
          <w:ilvl w:val="1"/>
          <w:numId w:val="1020"/>
        </w:numPr>
      </w:pPr>
      <w:r>
        <w:t xml:space="preserve">Closing:</w:t>
      </w:r>
      <w:r>
        <w:t xml:space="preserve"> </w:t>
      </w:r>
      <w:r>
        <w:t xml:space="preserve">“</w:t>
      </w:r>
      <w:r>
        <w:t xml:space="preserve">do not forward</w:t>
      </w:r>
      <w:r>
        <w:t xml:space="preserve">”</w:t>
      </w:r>
      <w:r>
        <w:t xml:space="preserve"> </w:t>
      </w:r>
      <w:r>
        <w:t xml:space="preserve">vs. </w:t>
      </w:r>
      <w:r>
        <w:t xml:space="preserve">“</w:t>
      </w:r>
      <w:r>
        <w:t xml:space="preserve">I have not copied anyone else.</w:t>
      </w:r>
      <w:r>
        <w:t xml:space="preserve">”</w:t>
      </w:r>
    </w:p>
    <w:p>
      <w:pPr>
        <w:pStyle w:val="Compact"/>
        <w:numPr>
          <w:ilvl w:val="0"/>
          <w:numId w:val="1019"/>
        </w:numPr>
      </w:pPr>
      <w:r>
        <w:rPr>
          <w:b/>
          <w:bCs/>
        </w:rPr>
        <w:t xml:space="preserve">The question to resolve.</w:t>
      </w:r>
      <w:r>
        <w:t xml:space="preserve"> </w:t>
      </w:r>
      <w:r>
        <w:t xml:space="preserve">Are these two drafts or versions (possibly two separate sends), or does one copy have an integrity problem? Pinnacle should compare metadata and message IDs.</w:t>
      </w:r>
    </w:p>
    <w:p>
      <w:pPr>
        <w:pStyle w:val="Compact"/>
        <w:numPr>
          <w:ilvl w:val="0"/>
          <w:numId w:val="1019"/>
        </w:numPr>
      </w:pPr>
      <w:r>
        <w:rPr>
          <w:b/>
          <w:bCs/>
        </w:rPr>
        <w:t xml:space="preserve">If they are separate communications:</w:t>
      </w:r>
      <w:r>
        <w:t xml:space="preserve"> </w:t>
      </w:r>
      <w:r>
        <w:t xml:space="preserve">the standalone copy arguably keeps its privilege except to the extent its substance was disclosed through the forward. Withhold it with caveats and log Provisional P-1.</w:t>
      </w:r>
    </w:p>
    <w:p>
      <w:pPr>
        <w:pStyle w:val="Compact"/>
        <w:numPr>
          <w:ilvl w:val="0"/>
          <w:numId w:val="1019"/>
        </w:numPr>
      </w:pPr>
      <w:r>
        <w:rPr>
          <w:b/>
          <w:bCs/>
        </w:rPr>
        <w:t xml:space="preserve">If they are the same communication:</w:t>
      </w:r>
      <w:r>
        <w:t xml:space="preserve"> </w:t>
      </w:r>
      <w:r>
        <w:t xml:space="preserve">it follows Doc 5 and is produced.</w:t>
      </w:r>
    </w:p>
    <w:p>
      <w:pPr>
        <w:pStyle w:val="Compact"/>
        <w:numPr>
          <w:ilvl w:val="0"/>
          <w:numId w:val="1019"/>
        </w:numPr>
      </w:pPr>
      <w:r>
        <w:rPr>
          <w:b/>
          <w:bCs/>
        </w:rPr>
        <w:t xml:space="preserve">Why not</w:t>
      </w:r>
      <w:r>
        <w:rPr>
          <w:b/>
          <w:bCs/>
        </w:rPr>
        <w:t xml:space="preserve"> </w:t>
      </w:r>
      <w:r>
        <w:rPr>
          <w:b/>
          <w:bCs/>
        </w:rPr>
        <w:t xml:space="preserve">“</w:t>
      </w:r>
      <w:r>
        <w:rPr>
          <w:b/>
          <w:bCs/>
        </w:rPr>
        <w:t xml:space="preserve">Withhold with Caveats</w:t>
      </w:r>
      <w:r>
        <w:rPr>
          <w:b/>
          <w:bCs/>
        </w:rPr>
        <w:t xml:space="preserve">”</w:t>
      </w:r>
      <w:r>
        <w:rPr>
          <w:b/>
          <w:bCs/>
        </w:rPr>
        <w:t xml:space="preserve"> </w:t>
      </w:r>
      <w:r>
        <w:rPr>
          <w:b/>
          <w:bCs/>
        </w:rPr>
        <w:t xml:space="preserve">now.</w:t>
      </w:r>
      <w:r>
        <w:t xml:space="preserve"> </w:t>
      </w:r>
      <w:r>
        <w:t xml:space="preserve">The Protocol’s default rule (§2) favors Requires Further Review, given the waiver risk and the need for NB sign-off.</w:t>
      </w:r>
    </w:p>
    <w:bookmarkEnd w:id="33"/>
    <w:bookmarkStart w:id="34" w:name="X2799fddfb2d03d1b300ceb382971315c92dc4e0"/>
    <w:p>
      <w:pPr>
        <w:pStyle w:val="Heading2"/>
      </w:pPr>
      <w:r>
        <w:t xml:space="preserve">Doc 13 — Pemberton Lowell Invoice No. PL-2021-0847 (June 30, 2021)</w:t>
      </w:r>
    </w:p>
    <w:p>
      <w:pPr>
        <w:pStyle w:val="FirstParagraph"/>
      </w:pPr>
      <w:r>
        <w:rPr>
          <w:b/>
          <w:bCs/>
        </w:rPr>
        <w:t xml:space="preserve">Designation: Privileged — Withhold with Caveats (withhold in part; produce with narratives redacted).</w:t>
      </w:r>
      <w:r>
        <w:t xml:space="preserve"> </w:t>
      </w:r>
      <w:r>
        <w:t xml:space="preserve">Responsive to RFPs 3 and 9.</w:t>
      </w:r>
    </w:p>
    <w:p>
      <w:pPr>
        <w:pStyle w:val="Compact"/>
        <w:numPr>
          <w:ilvl w:val="0"/>
          <w:numId w:val="1021"/>
        </w:numPr>
      </w:pPr>
      <w:r>
        <w:rPr>
          <w:b/>
          <w:bCs/>
        </w:rPr>
        <w:t xml:space="preserve">Generally discoverable.</w:t>
      </w:r>
      <w:r>
        <w:t xml:space="preserve"> </w:t>
      </w:r>
      <w:r>
        <w:t xml:space="preserve">Attorney billing records are usually not privileged: the fact of engagement, dates, timekeeper, hours, rates and amounts.</w:t>
      </w:r>
    </w:p>
    <w:p>
      <w:pPr>
        <w:pStyle w:val="Compact"/>
        <w:numPr>
          <w:ilvl w:val="0"/>
          <w:numId w:val="1021"/>
        </w:numPr>
      </w:pPr>
      <w:r>
        <w:rPr>
          <w:b/>
          <w:bCs/>
        </w:rPr>
        <w:t xml:space="preserve">Redact the narratives.</w:t>
      </w:r>
      <w:r>
        <w:t xml:space="preserve"> </w:t>
      </w:r>
      <w:r>
        <w:t xml:space="preserve">The time-entry descriptions reveal the specific legal questions researched and the advice sought. For example, they name the specific additives researched and the questions examined about concentration thresholds and the processing-aid treatment. Redact those descriptions.</w:t>
      </w:r>
    </w:p>
    <w:p>
      <w:pPr>
        <w:pStyle w:val="Compact"/>
        <w:numPr>
          <w:ilvl w:val="0"/>
          <w:numId w:val="1021"/>
        </w:numPr>
      </w:pPr>
      <w:r>
        <w:rPr>
          <w:b/>
          <w:bCs/>
        </w:rPr>
        <w:t xml:space="preserve">Arithmetic checks out:</w:t>
      </w:r>
      <w:r>
        <w:t xml:space="preserve"> </w:t>
      </w:r>
      <w:r>
        <w:t xml:space="preserve">25.0 hours × $575 = $14,375.</w:t>
      </w:r>
    </w:p>
    <w:p>
      <w:pPr>
        <w:pStyle w:val="Compact"/>
        <w:numPr>
          <w:ilvl w:val="0"/>
          <w:numId w:val="1021"/>
        </w:numPr>
      </w:pPr>
      <w:r>
        <w:rPr>
          <w:b/>
          <w:bCs/>
        </w:rPr>
        <w:t xml:space="preserve">Caveat.</w:t>
      </w:r>
      <w:r>
        <w:t xml:space="preserve"> </w:t>
      </w:r>
      <w:r>
        <w:t xml:space="preserve">Once the opinion letter is logged, the June 1–7 entries corroborate its date and scope. If advice of counsel is asserted, the whole invoice comes in.</w:t>
      </w:r>
    </w:p>
    <w:bookmarkEnd w:id="34"/>
    <w:bookmarkStart w:id="35" w:name="X879aaed44b96ac8a59cdefda13f4ff900ce5da8"/>
    <w:p>
      <w:pPr>
        <w:pStyle w:val="Heading2"/>
      </w:pPr>
      <w:r>
        <w:t xml:space="preserve">Doc 14 — Pemberton Lowell Regulatory Opinion Letter (June 7, 2021)</w:t>
      </w:r>
    </w:p>
    <w:p>
      <w:pPr>
        <w:pStyle w:val="FirstParagraph"/>
      </w:pPr>
      <w:r>
        <w:rPr>
          <w:b/>
          <w:bCs/>
        </w:rPr>
        <w:t xml:space="preserve">Designation: Privileged — Withhold.</w:t>
      </w:r>
      <w:r>
        <w:t xml:space="preserve"> </w:t>
      </w:r>
      <w:r>
        <w:t xml:space="preserve">Claim</w:t>
      </w:r>
      <w:r>
        <w:t xml:space="preserve"> </w:t>
      </w:r>
      <w:r>
        <w:rPr>
          <w:b/>
          <w:bCs/>
        </w:rPr>
        <w:t xml:space="preserve">attorney-client privilege only</w:t>
      </w:r>
      <w:r>
        <w:t xml:space="preserve">.</w:t>
      </w:r>
    </w:p>
    <w:p>
      <w:pPr>
        <w:pStyle w:val="Compact"/>
        <w:numPr>
          <w:ilvl w:val="0"/>
          <w:numId w:val="1022"/>
        </w:numPr>
      </w:pPr>
      <w:r>
        <w:rPr>
          <w:b/>
          <w:bCs/>
        </w:rPr>
        <w:t xml:space="preserve">No work product claim.</w:t>
      </w:r>
      <w:r>
        <w:t xml:space="preserve"> </w:t>
      </w:r>
      <w:r>
        <w:t xml:space="preserve">The letter expressly says it was</w:t>
      </w:r>
      <w:r>
        <w:t xml:space="preserve"> </w:t>
      </w:r>
      <w:r>
        <w:t xml:space="preserve">“</w:t>
      </w:r>
      <w:r>
        <w:t xml:space="preserve">not prepared in anticipation of any pending or threatened litigation,</w:t>
      </w:r>
      <w:r>
        <w:t xml:space="preserve">”</w:t>
      </w:r>
      <w:r>
        <w:t xml:space="preserve"> </w:t>
      </w:r>
      <w:r>
        <w:t xml:space="preserve">and the Protocol (§§3.1, 4.1, 9) forbids claiming work product for pre-litigation regulatory advice from Pemberton.</w:t>
      </w:r>
    </w:p>
    <w:p>
      <w:pPr>
        <w:pStyle w:val="Compact"/>
        <w:numPr>
          <w:ilvl w:val="0"/>
          <w:numId w:val="1022"/>
        </w:numPr>
      </w:pPr>
      <w:r>
        <w:rPr>
          <w:b/>
          <w:bCs/>
        </w:rPr>
        <w:t xml:space="preserve">Recipients.</w:t>
      </w:r>
      <w:r>
        <w:t xml:space="preserve"> </w:t>
      </w:r>
      <w:r>
        <w:t xml:space="preserve">Rennick, with a cc to Nandakumar; no third parties.</w:t>
      </w:r>
    </w:p>
    <w:p>
      <w:pPr>
        <w:pStyle w:val="Compact"/>
        <w:numPr>
          <w:ilvl w:val="0"/>
          <w:numId w:val="1022"/>
        </w:numPr>
      </w:pPr>
      <w:r>
        <w:rPr>
          <w:b/>
          <w:bCs/>
        </w:rPr>
        <w:t xml:space="preserve">Caveat: at-issue waiver.</w:t>
      </w:r>
      <w:r>
        <w:t xml:space="preserve"> </w:t>
      </w:r>
      <w:r>
        <w:t xml:space="preserve">If Greenleaf defends on good faith or reliance on counsel, the letter will almost certainly have to be produced. The strategy memo leans on a</w:t>
      </w:r>
      <w:r>
        <w:t xml:space="preserve"> </w:t>
      </w:r>
      <w:r>
        <w:t xml:space="preserve">“</w:t>
      </w:r>
      <w:r>
        <w:t xml:space="preserve">good-faith basis</w:t>
      </w:r>
      <w:r>
        <w:t xml:space="preserve">”</w:t>
      </w:r>
      <w:r>
        <w:t xml:space="preserve"> </w:t>
      </w:r>
      <w:r>
        <w:t xml:space="preserve">defense, and the Board deck says counsel</w:t>
      </w:r>
      <w:r>
        <w:t xml:space="preserve"> </w:t>
      </w:r>
      <w:r>
        <w:t xml:space="preserve">“</w:t>
      </w:r>
      <w:r>
        <w:t xml:space="preserve">supported</w:t>
      </w:r>
      <w:r>
        <w:t xml:space="preserve">”</w:t>
      </w:r>
      <w:r>
        <w:t xml:space="preserve"> </w:t>
      </w:r>
      <w:r>
        <w:t xml:space="preserve">the label. The letter’s actual content (elevated litigation risk;</w:t>
      </w:r>
      <w:r>
        <w:t xml:space="preserve"> </w:t>
      </w:r>
      <w:r>
        <w:t xml:space="preserve">“</w:t>
      </w:r>
      <w:r>
        <w:t xml:space="preserve">strongly recommend</w:t>
      </w:r>
      <w:r>
        <w:t xml:space="preserve">”</w:t>
      </w:r>
      <w:r>
        <w:t xml:space="preserve"> </w:t>
      </w:r>
      <w:r>
        <w:t xml:space="preserve">modifying the claim) is harmful to that defense.</w:t>
      </w:r>
    </w:p>
    <w:p>
      <w:pPr>
        <w:pStyle w:val="Compact"/>
        <w:numPr>
          <w:ilvl w:val="0"/>
          <w:numId w:val="1022"/>
        </w:numPr>
      </w:pPr>
      <w:r>
        <w:rPr>
          <w:b/>
          <w:bCs/>
        </w:rPr>
        <w:t xml:space="preserve">Crime-fraud narrative.</w:t>
      </w:r>
      <w:r>
        <w:t xml:space="preserve"> </w:t>
      </w:r>
      <w:r>
        <w:t xml:space="preserve">Also relevant is the post-letter Slack statement (Feb. 14, 2022) that Legal was</w:t>
      </w:r>
      <w:r>
        <w:t xml:space="preserve"> </w:t>
      </w:r>
      <w:r>
        <w:t xml:space="preserve">“</w:t>
      </w:r>
      <w:r>
        <w:t xml:space="preserve">comfortable</w:t>
      </w:r>
      <w:r>
        <w:t xml:space="preserve">”</w:t>
      </w:r>
      <w:r>
        <w:t xml:space="preserve"> </w:t>
      </w:r>
      <w:r>
        <w:t xml:space="preserve">with the claim. NB should weigh both points before the log is served, because the log entry itself confirms that a regulatory opinion existed.</w:t>
      </w:r>
    </w:p>
    <w:bookmarkEnd w:id="35"/>
    <w:bookmarkStart w:id="36" w:name="Xd294f6e18d5df877948ba4001bdb14c913bcc01"/>
    <w:p>
      <w:pPr>
        <w:pStyle w:val="Heading2"/>
      </w:pPr>
      <w:r>
        <w:t xml:space="preserve">Doc 15 — Privilege Review Protocol (Oct. 25, 2024; rev. Mar. 15, 2025)</w:t>
      </w:r>
    </w:p>
    <w:p>
      <w:pPr>
        <w:pStyle w:val="FirstParagraph"/>
      </w:pPr>
      <w:r>
        <w:rPr>
          <w:b/>
          <w:bCs/>
        </w:rPr>
        <w:t xml:space="preserve">Designation: Privileged — Withhold (opinion work product).</w:t>
      </w:r>
      <w:r>
        <w:t xml:space="preserve"> </w:t>
      </w:r>
      <w:r>
        <w:t xml:space="preserve">Litigation counsel’s internal review guidelines, including its views on specific documents (Moritani, Cascade, crime-fraud). Logged conditionally (see footnote in §2).</w:t>
      </w:r>
    </w:p>
    <w:bookmarkEnd w:id="36"/>
    <w:bookmarkStart w:id="37" w:name="Xfc5f764ffcb878f095b60fdc7ef865e6e50b2c0"/>
    <w:p>
      <w:pPr>
        <w:pStyle w:val="Heading2"/>
      </w:pPr>
      <w:r>
        <w:t xml:space="preserve">Doc 16 — Rennick Handwritten Note (undated; transcribed ~Mar. 18, 2025)</w:t>
      </w:r>
    </w:p>
    <w:p>
      <w:pPr>
        <w:pStyle w:val="FirstParagraph"/>
      </w:pPr>
      <w:r>
        <w:rPr>
          <w:b/>
          <w:bCs/>
        </w:rPr>
        <w:t xml:space="preserve">Designation: Requires Further Review.</w:t>
      </w:r>
      <w:r>
        <w:t xml:space="preserve"> </w:t>
      </w:r>
      <w:r>
        <w:t xml:space="preserve">Recommend withholding pending a decision, with in camera review if challenged (Protocol §8).</w:t>
      </w:r>
    </w:p>
    <w:p>
      <w:pPr>
        <w:pStyle w:val="Compact"/>
        <w:numPr>
          <w:ilvl w:val="0"/>
          <w:numId w:val="1023"/>
        </w:numPr>
      </w:pPr>
      <w:r>
        <w:rPr>
          <w:b/>
          <w:bCs/>
        </w:rPr>
        <w:t xml:space="preserve">Estimated date range.</w:t>
      </w:r>
      <w:r>
        <w:t xml:space="preserve"> </w:t>
      </w:r>
      <w:r>
        <w:t xml:space="preserve">The references to</w:t>
      </w:r>
      <w:r>
        <w:t xml:space="preserve"> </w:t>
      </w:r>
      <w:r>
        <w:t xml:space="preserve">“</w:t>
      </w:r>
      <w:r>
        <w:t xml:space="preserve">NB,</w:t>
      </w:r>
      <w:r>
        <w:t xml:space="preserve">”</w:t>
      </w:r>
      <w:r>
        <w:t xml:space="preserve"> </w:t>
      </w:r>
      <w:r>
        <w:t xml:space="preserve">the class certification timeline and settlement place the note after HBK’s engagement on Oct. 18, 2024. The</w:t>
      </w:r>
      <w:r>
        <w:t xml:space="preserve"> </w:t>
      </w:r>
      <w:r>
        <w:t xml:space="preserve">“</w:t>
      </w:r>
      <w:r>
        <w:t xml:space="preserve">Board mtg 3/15</w:t>
      </w:r>
      <w:r>
        <w:t xml:space="preserve">”</w:t>
      </w:r>
      <w:r>
        <w:t xml:space="preserve"> </w:t>
      </w:r>
      <w:r>
        <w:t xml:space="preserve">reference suggests it was written before Mar. 15, 2025.</w:t>
      </w:r>
    </w:p>
    <w:p>
      <w:pPr>
        <w:pStyle w:val="Compact"/>
        <w:numPr>
          <w:ilvl w:val="0"/>
          <w:numId w:val="1023"/>
        </w:numPr>
      </w:pPr>
      <w:r>
        <w:rPr>
          <w:b/>
          <w:bCs/>
        </w:rPr>
        <w:t xml:space="preserve">Items that look privileged or work product:</w:t>
      </w:r>
    </w:p>
    <w:p>
      <w:pPr>
        <w:pStyle w:val="Compact"/>
        <w:numPr>
          <w:ilvl w:val="1"/>
          <w:numId w:val="1024"/>
        </w:numPr>
      </w:pPr>
      <w:r>
        <w:t xml:space="preserve">calls with Pemberton (</w:t>
      </w:r>
      <w:r>
        <w:t xml:space="preserve">“</w:t>
      </w:r>
      <w:r>
        <w:t xml:space="preserve">AP</w:t>
      </w:r>
      <w:r>
        <w:t xml:space="preserve">”</w:t>
      </w:r>
      <w:r>
        <w:t xml:space="preserve">) on the implications of a voluntary recall;</w:t>
      </w:r>
    </w:p>
    <w:p>
      <w:pPr>
        <w:pStyle w:val="Compact"/>
        <w:numPr>
          <w:ilvl w:val="1"/>
          <w:numId w:val="1024"/>
        </w:numPr>
      </w:pPr>
      <w:r>
        <w:t xml:space="preserve">the class certification update from NB;</w:t>
      </w:r>
    </w:p>
    <w:p>
      <w:pPr>
        <w:pStyle w:val="Compact"/>
        <w:numPr>
          <w:ilvl w:val="1"/>
          <w:numId w:val="1024"/>
        </w:numPr>
      </w:pPr>
      <w:r>
        <w:t xml:space="preserve">the task to Nandakumar (</w:t>
      </w:r>
      <w:r>
        <w:t xml:space="preserve">“</w:t>
      </w:r>
      <w:r>
        <w:t xml:space="preserve">PN</w:t>
      </w:r>
      <w:r>
        <w:t xml:space="preserve">”</w:t>
      </w:r>
      <w:r>
        <w:t xml:space="preserve">) to pull FTC enforcement letters;</w:t>
      </w:r>
    </w:p>
    <w:p>
      <w:pPr>
        <w:pStyle w:val="Compact"/>
        <w:numPr>
          <w:ilvl w:val="1"/>
          <w:numId w:val="1024"/>
        </w:numPr>
      </w:pPr>
      <w:r>
        <w:t xml:space="preserve">“</w:t>
      </w:r>
      <w:r>
        <w:t xml:space="preserve">settlement framework</w:t>
      </w:r>
      <w:r>
        <w:t xml:space="preserve">”</w:t>
      </w:r>
      <w:r>
        <w:t xml:space="preserve">;</w:t>
      </w:r>
    </w:p>
    <w:p>
      <w:pPr>
        <w:pStyle w:val="Compact"/>
        <w:numPr>
          <w:ilvl w:val="1"/>
          <w:numId w:val="1024"/>
        </w:numPr>
      </w:pPr>
      <w:r>
        <w:t xml:space="preserve">the Cascade indemnification clause;</w:t>
      </w:r>
    </w:p>
    <w:p>
      <w:pPr>
        <w:pStyle w:val="Compact"/>
        <w:numPr>
          <w:ilvl w:val="1"/>
          <w:numId w:val="1024"/>
        </w:numPr>
      </w:pPr>
      <w:r>
        <w:t xml:space="preserve">the CEO’s concern about a California AG inquiry, recorded for legal evaluation.</w:t>
      </w:r>
    </w:p>
    <w:p>
      <w:pPr>
        <w:pStyle w:val="Compact"/>
        <w:numPr>
          <w:ilvl w:val="0"/>
          <w:numId w:val="1023"/>
        </w:numPr>
      </w:pPr>
      <w:r>
        <w:rPr>
          <w:b/>
          <w:bCs/>
        </w:rPr>
        <w:t xml:space="preserve">Items that look like business planning:</w:t>
      </w:r>
      <w:r>
        <w:t xml:space="preserve"> </w:t>
      </w:r>
      <w:r>
        <w:t xml:space="preserve">consumer surveys and rebrand options, marketing budget reallocation, the timing of Emmerich’s shelf-life data, and the QA audit schedule.</w:t>
      </w:r>
    </w:p>
    <w:p>
      <w:pPr>
        <w:pStyle w:val="Compact"/>
        <w:numPr>
          <w:ilvl w:val="0"/>
          <w:numId w:val="1023"/>
        </w:numPr>
      </w:pPr>
      <w:r>
        <w:rPr>
          <w:b/>
          <w:bCs/>
        </w:rPr>
        <w:t xml:space="preserve">Recommendation.</w:t>
      </w:r>
      <w:r>
        <w:t xml:space="preserve"> </w:t>
      </w:r>
      <w:r>
        <w:t xml:space="preserve">Consider producing a redacted copy that discloses only the business lines. Log it as withheld in part (Provisional P-3).</w:t>
      </w:r>
    </w:p>
    <w:p>
      <w:pPr>
        <w:pStyle w:val="Compact"/>
        <w:numPr>
          <w:ilvl w:val="0"/>
          <w:numId w:val="1023"/>
        </w:numPr>
      </w:pPr>
      <w:r>
        <w:rPr>
          <w:b/>
          <w:bCs/>
        </w:rPr>
        <w:t xml:space="preserve">Two cautions:</w:t>
      </w:r>
    </w:p>
    <w:p>
      <w:pPr>
        <w:pStyle w:val="Compact"/>
        <w:numPr>
          <w:ilvl w:val="1"/>
          <w:numId w:val="1025"/>
        </w:numPr>
      </w:pPr>
      <w:r>
        <w:t xml:space="preserve">The</w:t>
      </w:r>
      <w:r>
        <w:t xml:space="preserve"> </w:t>
      </w:r>
      <w:r>
        <w:t xml:space="preserve">“</w:t>
      </w:r>
      <w:r>
        <w:t xml:space="preserve">frame as proactive</w:t>
      </w:r>
      <w:r>
        <w:t xml:space="preserve">”</w:t>
      </w:r>
      <w:r>
        <w:t xml:space="preserve"> </w:t>
      </w:r>
      <w:r>
        <w:t xml:space="preserve">line relates to Board messaging and could go either way.</w:t>
      </w:r>
    </w:p>
    <w:p>
      <w:pPr>
        <w:pStyle w:val="Compact"/>
        <w:numPr>
          <w:ilvl w:val="1"/>
          <w:numId w:val="1025"/>
        </w:numPr>
      </w:pPr>
      <w:r>
        <w:t xml:space="preserve">The line on Brandt and a</w:t>
      </w:r>
      <w:r>
        <w:t xml:space="preserve"> </w:t>
      </w:r>
      <w:r>
        <w:t xml:space="preserve">“</w:t>
      </w:r>
      <w:r>
        <w:t xml:space="preserve">synthetic additives testing protocol</w:t>
      </w:r>
      <w:r>
        <w:t xml:space="preserve">”</w:t>
      </w:r>
      <w:r>
        <w:t xml:space="preserve"> </w:t>
      </w:r>
      <w:r>
        <w:t xml:space="preserve">should be read together with the crime-fraud issue (Doc 17).</w:t>
      </w:r>
    </w:p>
    <w:p>
      <w:pPr>
        <w:pStyle w:val="Compact"/>
        <w:numPr>
          <w:ilvl w:val="0"/>
          <w:numId w:val="1023"/>
        </w:numPr>
      </w:pPr>
      <w:r>
        <w:rPr>
          <w:b/>
          <w:bCs/>
        </w:rPr>
        <w:t xml:space="preserve">For the log:</w:t>
      </w:r>
      <w:r>
        <w:t xml:space="preserve"> </w:t>
      </w:r>
      <w:r>
        <w:t xml:space="preserve">log it as</w:t>
      </w:r>
      <w:r>
        <w:t xml:space="preserve"> </w:t>
      </w:r>
      <w:r>
        <w:t xml:space="preserve">“</w:t>
      </w:r>
      <w:r>
        <w:t xml:space="preserve">undated (circa late 2024–early 2025)</w:t>
      </w:r>
      <w:r>
        <w:t xml:space="preserve">”</w:t>
      </w:r>
      <w:r>
        <w:t xml:space="preserve"> </w:t>
      </w:r>
      <w:r>
        <w:t xml:space="preserve">and name no recipient.</w:t>
      </w:r>
    </w:p>
    <w:bookmarkEnd w:id="37"/>
    <w:bookmarkStart w:id="38" w:name="Xa14062e9574ddf1200d16efa73732044ecccb97"/>
    <w:p>
      <w:pPr>
        <w:pStyle w:val="Heading2"/>
      </w:pPr>
      <w:r>
        <w:t xml:space="preserve">Doc 17 — Rennick–Tsao Email Chain (Mar. 12, 2021)</w:t>
      </w:r>
    </w:p>
    <w:p>
      <w:pPr>
        <w:pStyle w:val="FirstParagraph"/>
      </w:pPr>
      <w:r>
        <w:rPr>
          <w:b/>
          <w:bCs/>
        </w:rPr>
        <w:t xml:space="preserve">Designation: Requires Further Review — ESCALATED to NB (crime-fraud; Protocol §3.3).</w:t>
      </w:r>
    </w:p>
    <w:p>
      <w:pPr>
        <w:pStyle w:val="Compact"/>
        <w:numPr>
          <w:ilvl w:val="0"/>
          <w:numId w:val="1026"/>
        </w:numPr>
      </w:pPr>
      <w:r>
        <w:rPr>
          <w:b/>
          <w:bCs/>
        </w:rPr>
        <w:t xml:space="preserve">Rennick’s 2:47 PM email is facially privileged.</w:t>
      </w:r>
      <w:r>
        <w:t xml:space="preserve"> </w:t>
      </w:r>
      <w:r>
        <w:t xml:space="preserve">It is the GC’s legal advice to the CEO, answering her question about whether the claim is defensible. One sentence is concerning (</w:t>
      </w:r>
      <w:r>
        <w:t xml:space="preserve">“</w:t>
      </w:r>
      <w:r>
        <w:t xml:space="preserve">If anyone asks, I’d suggest we emphasize the processing aid exemption angle rather than the concentration levels</w:t>
      </w:r>
      <w:r>
        <w:t xml:space="preserve">”</w:t>
      </w:r>
      <w:r>
        <w:t xml:space="preserve">). Even so, advice about how to frame a legal position is ordinarily still privileged.</w:t>
      </w:r>
    </w:p>
    <w:p>
      <w:pPr>
        <w:pStyle w:val="Compact"/>
        <w:numPr>
          <w:ilvl w:val="0"/>
          <w:numId w:val="1026"/>
        </w:numPr>
      </w:pPr>
      <w:r>
        <w:rPr>
          <w:b/>
          <w:bCs/>
        </w:rPr>
        <w:t xml:space="preserve">Tsao’s 4:18 PM reply has two separate problems:</w:t>
      </w:r>
    </w:p>
    <w:p>
      <w:pPr>
        <w:pStyle w:val="Compact"/>
        <w:numPr>
          <w:ilvl w:val="1"/>
          <w:numId w:val="1027"/>
        </w:numPr>
      </w:pPr>
      <w:r>
        <w:rPr>
          <w:b/>
          <w:bCs/>
        </w:rPr>
        <w:t xml:space="preserve">Probably not privileged at all.</w:t>
      </w:r>
      <w:r>
        <w:t xml:space="preserve"> </w:t>
      </w:r>
      <w:r>
        <w:t xml:space="preserve">She is not asking for legal advice. She is giving an operational instruction for QA reports to</w:t>
      </w:r>
      <w:r>
        <w:t xml:space="preserve"> </w:t>
      </w:r>
      <w:r>
        <w:t xml:space="preserve">“</w:t>
      </w:r>
      <w:r>
        <w:t xml:space="preserve">only reference the base ingredients</w:t>
      </w:r>
      <w:r>
        <w:t xml:space="preserve">”</w:t>
      </w:r>
      <w:r>
        <w:t xml:space="preserve"> </w:t>
      </w:r>
      <w:r>
        <w:t xml:space="preserve">so that synthetic sources do not appear in</w:t>
      </w:r>
      <w:r>
        <w:t xml:space="preserve"> </w:t>
      </w:r>
      <w:r>
        <w:t xml:space="preserve">“</w:t>
      </w:r>
      <w:r>
        <w:t xml:space="preserve">routine documentation … pulled for audits or customer inquiries.</w:t>
      </w:r>
      <w:r>
        <w:t xml:space="preserve">”</w:t>
      </w:r>
    </w:p>
    <w:p>
      <w:pPr>
        <w:pStyle w:val="Compact"/>
        <w:numPr>
          <w:ilvl w:val="1"/>
          <w:numId w:val="1027"/>
        </w:numPr>
      </w:pPr>
      <w:r>
        <w:rPr>
          <w:b/>
          <w:bCs/>
        </w:rPr>
        <w:t xml:space="preserve">Crime-fraud.</w:t>
      </w:r>
      <w:r>
        <w:t xml:space="preserve"> </w:t>
      </w:r>
      <w:r>
        <w:t xml:space="preserve">Plaintiff can argue a prima facie case: the client, having received advice that the claim was a</w:t>
      </w:r>
      <w:r>
        <w:t xml:space="preserve"> </w:t>
      </w:r>
      <w:r>
        <w:t xml:space="preserve">“</w:t>
      </w:r>
      <w:r>
        <w:t xml:space="preserve">close call,</w:t>
      </w:r>
      <w:r>
        <w:t xml:space="preserve">”</w:t>
      </w:r>
      <w:r>
        <w:t xml:space="preserve"> </w:t>
      </w:r>
      <w:r>
        <w:t xml:space="preserve">used it to direct the concealment of material composition information from auditors and customers. A court could review the chain in camera under</w:t>
      </w:r>
      <w:r>
        <w:t xml:space="preserve"> </w:t>
      </w:r>
      <w:r>
        <w:rPr>
          <w:i/>
          <w:iCs/>
        </w:rPr>
        <w:t xml:space="preserve">United States v. Zolin</w:t>
      </w:r>
      <w:r>
        <w:t xml:space="preserve">, 491 U.S. 554 (1989).</w:t>
      </w:r>
    </w:p>
    <w:p>
      <w:pPr>
        <w:pStyle w:val="Compact"/>
        <w:numPr>
          <w:ilvl w:val="0"/>
          <w:numId w:val="1026"/>
        </w:numPr>
      </w:pPr>
      <w:r>
        <w:rPr>
          <w:b/>
          <w:bCs/>
        </w:rPr>
        <w:t xml:space="preserve">Related items NB should review together:</w:t>
      </w:r>
    </w:p>
    <w:p>
      <w:pPr>
        <w:pStyle w:val="Compact"/>
        <w:numPr>
          <w:ilvl w:val="1"/>
          <w:numId w:val="1028"/>
        </w:numPr>
      </w:pPr>
      <w:r>
        <w:t xml:space="preserve">RFP No. 6, which expressly seeks directives on what QA documentation should include;</w:t>
      </w:r>
    </w:p>
    <w:p>
      <w:pPr>
        <w:pStyle w:val="Compact"/>
        <w:numPr>
          <w:ilvl w:val="1"/>
          <w:numId w:val="1028"/>
        </w:numPr>
      </w:pPr>
      <w:r>
        <w:t xml:space="preserve">Board deck Slide 13 (the QA documentation audit started after the hold, finding</w:t>
      </w:r>
      <w:r>
        <w:t xml:space="preserve"> </w:t>
      </w:r>
      <w:r>
        <w:t xml:space="preserve">“</w:t>
      </w:r>
      <w:r>
        <w:t xml:space="preserve">areas for improvement in additive and processing aid documentation</w:t>
      </w:r>
      <w:r>
        <w:t xml:space="preserve">”</w:t>
      </w:r>
      <w:r>
        <w:t xml:space="preserve">);</w:t>
      </w:r>
    </w:p>
    <w:p>
      <w:pPr>
        <w:pStyle w:val="Compact"/>
        <w:numPr>
          <w:ilvl w:val="1"/>
          <w:numId w:val="1028"/>
        </w:numPr>
      </w:pPr>
      <w:r>
        <w:t xml:space="preserve">prior log Entry 23 (Jan. 14, 2025);</w:t>
      </w:r>
    </w:p>
    <w:p>
      <w:pPr>
        <w:pStyle w:val="Compact"/>
        <w:numPr>
          <w:ilvl w:val="1"/>
          <w:numId w:val="1028"/>
        </w:numPr>
      </w:pPr>
      <w:r>
        <w:t xml:space="preserve">Doc 16’s reference to the</w:t>
      </w:r>
      <w:r>
        <w:t xml:space="preserve"> </w:t>
      </w:r>
      <w:r>
        <w:t xml:space="preserve">“</w:t>
      </w:r>
      <w:r>
        <w:t xml:space="preserve">synthetic additives testing protocol.</w:t>
      </w:r>
      <w:r>
        <w:t xml:space="preserve">”</w:t>
      </w:r>
    </w:p>
    <w:p>
      <w:pPr>
        <w:pStyle w:val="Compact"/>
        <w:numPr>
          <w:ilvl w:val="0"/>
          <w:numId w:val="1026"/>
        </w:numPr>
      </w:pPr>
      <w:r>
        <w:rPr>
          <w:b/>
          <w:bCs/>
        </w:rPr>
        <w:t xml:space="preserve">Recommendation.</w:t>
      </w:r>
      <w:r>
        <w:t xml:space="preserve"> </w:t>
      </w:r>
      <w:r>
        <w:t xml:space="preserve">Do not log or produce until NB signs off, and prepare the crime-fraud memorandum the Protocol requires. If withheld, log only Rennick’s message (Provisional P-2). Do not describe the chain as a whole as</w:t>
      </w:r>
      <w:r>
        <w:t xml:space="preserve"> </w:t>
      </w:r>
      <w:r>
        <w:t xml:space="preserve">“</w:t>
      </w:r>
      <w:r>
        <w:t xml:space="preserve">legal advice,</w:t>
      </w:r>
      <w:r>
        <w:t xml:space="preserve">”</w:t>
      </w:r>
      <w:r>
        <w:t xml:space="preserve"> </w:t>
      </w:r>
      <w:r>
        <w:t xml:space="preserve">because a description that covers Tsao’s reply could be challenged as misleading.</w:t>
      </w:r>
    </w:p>
    <w:p>
      <w:pPr>
        <w:pStyle w:val="Compact"/>
        <w:numPr>
          <w:ilvl w:val="0"/>
          <w:numId w:val="1026"/>
        </w:numPr>
      </w:pPr>
      <w:r>
        <w:rPr>
          <w:b/>
          <w:bCs/>
        </w:rPr>
        <w:t xml:space="preserve">Possible duplicate.</w:t>
      </w:r>
      <w:r>
        <w:t xml:space="preserve"> </w:t>
      </w:r>
      <w:r>
        <w:t xml:space="preserve">The Review Notes tab lists a separate</w:t>
      </w:r>
      <w:r>
        <w:t xml:space="preserve"> </w:t>
      </w:r>
      <w:r>
        <w:t xml:space="preserve">“</w:t>
      </w:r>
      <w:r>
        <w:t xml:space="preserve">tsao-rennick-strategy-email.eml</w:t>
      </w:r>
      <w:r>
        <w:t xml:space="preserve">”</w:t>
      </w:r>
      <w:r>
        <w:t xml:space="preserve"> </w:t>
      </w:r>
      <w:r>
        <w:t xml:space="preserve">as a</w:t>
      </w:r>
      <w:r>
        <w:t xml:space="preserve"> </w:t>
      </w:r>
      <w:r>
        <w:t xml:space="preserve">“</w:t>
      </w:r>
      <w:r>
        <w:t xml:space="preserve">straightforward</w:t>
      </w:r>
      <w:r>
        <w:t xml:space="preserve">”</w:t>
      </w:r>
      <w:r>
        <w:t xml:space="preserve"> </w:t>
      </w:r>
      <w:r>
        <w:t xml:space="preserve">call. Confirm it is not a near-duplicate of this chain.</w:t>
      </w:r>
    </w:p>
    <w:bookmarkEnd w:id="38"/>
    <w:bookmarkStart w:id="39" w:name="X99e437a92c4968e82b7cf8aad1f7286035603e0"/>
    <w:p>
      <w:pPr>
        <w:pStyle w:val="Heading2"/>
      </w:pPr>
      <w:r>
        <w:t xml:space="preserve">Doc 18 — Slack #product-reformulation Export (Feb. 10–18, 2022)</w:t>
      </w:r>
    </w:p>
    <w:p>
      <w:pPr>
        <w:pStyle w:val="FirstParagraph"/>
      </w:pPr>
      <w:r>
        <w:rPr>
          <w:b/>
          <w:bCs/>
        </w:rPr>
        <w:t xml:space="preserve">Designation: Not Privileged — Produce (entire export, including the membership roster).</w:t>
      </w:r>
      <w:r>
        <w:t xml:space="preserve"> </w:t>
      </w:r>
      <w:r>
        <w:t xml:space="preserve">Responsive to RFPs 1, 8 and 21.</w:t>
      </w:r>
    </w:p>
    <w:p>
      <w:pPr>
        <w:pStyle w:val="Compact"/>
        <w:numPr>
          <w:ilvl w:val="0"/>
          <w:numId w:val="1029"/>
        </w:numPr>
      </w:pPr>
      <w:r>
        <w:rPr>
          <w:b/>
          <w:bCs/>
        </w:rPr>
        <w:t xml:space="preserve">Confidentiality is lost.</w:t>
      </w:r>
      <w:r>
        <w:t xml:space="preserve"> </w:t>
      </w:r>
      <w:r>
        <w:t xml:space="preserve">The channel has 23 members, including warehouse staff, regional sales reps, a marketing intern and IT support (Protocol §9).</w:t>
      </w:r>
    </w:p>
    <w:p>
      <w:pPr>
        <w:pStyle w:val="Compact"/>
        <w:numPr>
          <w:ilvl w:val="0"/>
          <w:numId w:val="1029"/>
        </w:numPr>
      </w:pPr>
      <w:r>
        <w:rPr>
          <w:b/>
          <w:bCs/>
        </w:rPr>
        <w:t xml:space="preserve">The Feb. 14, 2022 Nandakumar post is not privileged.</w:t>
      </w:r>
      <w:r>
        <w:t xml:space="preserve"> </w:t>
      </w:r>
      <w:r>
        <w:t xml:space="preserve">It reports Legal’s bottom-line conclusion to the whole channel, and a sales rep then relays it to retail partners.</w:t>
      </w:r>
    </w:p>
    <w:p>
      <w:pPr>
        <w:pStyle w:val="Compact"/>
        <w:numPr>
          <w:ilvl w:val="0"/>
          <w:numId w:val="1029"/>
        </w:numPr>
      </w:pPr>
      <w:r>
        <w:rPr>
          <w:b/>
          <w:bCs/>
        </w:rPr>
        <w:t xml:space="preserve">Waiver risk.</w:t>
      </w:r>
      <w:r>
        <w:t xml:space="preserve"> </w:t>
      </w:r>
      <w:r>
        <w:t xml:space="preserve">Plaintiff may argue that disclosing the conclusion waives the underlying legal review. Disclosing a bare conclusion outside litigation generally does not cause subject-matter waiver, but flag the risk for NB, together with the tension with Pemberton’s June 2021 advice (Doc 14).</w:t>
      </w:r>
    </w:p>
    <w:bookmarkEnd w:id="39"/>
    <w:bookmarkEnd w:id="40"/>
    <w:bookmarkStart w:id="41" w:name="Xbbbf36e02a2475217c70c4e4a120e22cb01c44f"/>
    <w:p>
      <w:pPr>
        <w:pStyle w:val="Heading1"/>
      </w:pPr>
      <w:r>
        <w:t xml:space="preserve">4. Problems Found in the Existing Working Log (</w:t>
      </w:r>
      <w:r>
        <w:rPr>
          <w:rStyle w:val="VerbatimChar"/>
        </w:rPr>
        <w:t xml:space="preserve">draft-privilege-log.xlsx</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Problem</w:t>
            </w:r>
          </w:p>
        </w:tc>
        <w:tc>
          <w:tcPr/>
          <w:p>
            <w:pPr>
              <w:pStyle w:val="Compact"/>
              <w:jc w:val="left"/>
            </w:pPr>
            <w:r>
              <w:t xml:space="preserve">Required action</w:t>
            </w:r>
          </w:p>
        </w:tc>
      </w:tr>
      <w:tr>
        <w:tc>
          <w:tcPr/>
          <w:p>
            <w:pPr>
              <w:pStyle w:val="Compact"/>
              <w:jc w:val="left"/>
            </w:pPr>
            <w:r>
              <w:t xml:space="preserve">Entry 13</w:t>
            </w:r>
          </w:p>
        </w:tc>
        <w:tc>
          <w:tcPr/>
          <w:p>
            <w:pPr>
              <w:pStyle w:val="Compact"/>
              <w:jc w:val="left"/>
            </w:pPr>
            <w:r>
              <w:t xml:space="preserve">Description (</w:t>
            </w:r>
            <w:r>
              <w:t xml:space="preserve">“</w:t>
            </w:r>
            <w:r>
              <w:t xml:space="preserve">re: risk that synthetic citric acid concentration exceeds FDA threshold for</w:t>
            </w:r>
            <w:r>
              <w:t xml:space="preserve"> </w:t>
            </w:r>
            <w:r>
              <w:t xml:space="preserve">‘</w:t>
            </w:r>
            <w:r>
              <w:t xml:space="preserve">natural</w:t>
            </w:r>
            <w:r>
              <w:t xml:space="preserve">’</w:t>
            </w:r>
            <w:r>
              <w:t xml:space="preserve"> </w:t>
            </w:r>
            <w:r>
              <w:t xml:space="preserve">claim</w:t>
            </w:r>
            <w:r>
              <w:t xml:space="preserve">”</w:t>
            </w:r>
            <w:r>
              <w:t xml:space="preserve">) reveals privileged substance. It is the Protocol §7.2 prohibited example word for word.</w:t>
            </w:r>
          </w:p>
        </w:tc>
        <w:tc>
          <w:tcPr/>
          <w:p>
            <w:pPr>
              <w:pStyle w:val="Compact"/>
              <w:jc w:val="left"/>
            </w:pPr>
            <w:r>
              <w:rPr>
                <w:b/>
                <w:bCs/>
              </w:rPr>
              <w:t xml:space="preserve">Revise immediately:</w:t>
            </w:r>
            <w:r>
              <w:t xml:space="preserve"> </w:t>
            </w:r>
            <w:r>
              <w:t xml:space="preserve">“</w:t>
            </w:r>
            <w:r>
              <w:t xml:space="preserve">Email from in-house counsel to outside litigation counsel requesting legal advice regarding product labeling compliance in connection with pending litigation.</w:t>
            </w:r>
            <w:r>
              <w:t xml:space="preserve">”</w:t>
            </w:r>
          </w:p>
        </w:tc>
      </w:tr>
      <w:tr>
        <w:tc>
          <w:tcPr/>
          <w:p>
            <w:pPr>
              <w:pStyle w:val="Compact"/>
              <w:jc w:val="left"/>
            </w:pPr>
            <w:r>
              <w:t xml:space="preserve">Entry 31</w:t>
            </w:r>
          </w:p>
        </w:tc>
        <w:tc>
          <w:tcPr/>
          <w:p>
            <w:pPr>
              <w:pStyle w:val="Compact"/>
              <w:jc w:val="left"/>
            </w:pPr>
            <w:r>
              <w:t xml:space="preserve">Letter from Frey to opposing counsel (Redstone Liang) is logged as work product. A communication sent to the adversary is not confidential and cannot be privileged.</w:t>
            </w:r>
          </w:p>
        </w:tc>
        <w:tc>
          <w:tcPr/>
          <w:p>
            <w:pPr>
              <w:pStyle w:val="Compact"/>
              <w:jc w:val="left"/>
            </w:pPr>
            <w:r>
              <w:rPr>
                <w:b/>
                <w:bCs/>
              </w:rPr>
              <w:t xml:space="preserve">Remove from log.</w:t>
            </w:r>
            <w:r>
              <w:t xml:space="preserve"> </w:t>
            </w:r>
            <w:r>
              <w:t xml:space="preserve">Produce if responsive.</w:t>
            </w:r>
          </w:p>
        </w:tc>
      </w:tr>
      <w:tr>
        <w:tc>
          <w:tcPr/>
          <w:p>
            <w:pPr>
              <w:pStyle w:val="Compact"/>
              <w:jc w:val="left"/>
            </w:pPr>
            <w:r>
              <w:t xml:space="preserve">Entry 23</w:t>
            </w:r>
          </w:p>
        </w:tc>
        <w:tc>
          <w:tcPr/>
          <w:p>
            <w:pPr>
              <w:pStyle w:val="Compact"/>
              <w:jc w:val="left"/>
            </w:pPr>
            <w:r>
              <w:t xml:space="preserve">“</w:t>
            </w:r>
            <w:r>
              <w:t xml:space="preserve">Quality assurance documentation practices in light of pending litigation</w:t>
            </w:r>
            <w:r>
              <w:t xml:space="preserve">”</w:t>
            </w:r>
            <w:r>
              <w:t xml:space="preserve"> </w:t>
            </w:r>
            <w:r>
              <w:t xml:space="preserve">may relate to the Tsao QA directive (Doc 17).</w:t>
            </w:r>
          </w:p>
        </w:tc>
        <w:tc>
          <w:tcPr/>
          <w:p>
            <w:pPr>
              <w:pStyle w:val="Compact"/>
              <w:jc w:val="left"/>
            </w:pPr>
            <w:r>
              <w:t xml:space="preserve">NB to review the underlying email together with the crime-fraud analysis before service.</w:t>
            </w:r>
          </w:p>
        </w:tc>
      </w:tr>
      <w:tr>
        <w:tc>
          <w:tcPr/>
          <w:p>
            <w:pPr>
              <w:pStyle w:val="Compact"/>
              <w:jc w:val="left"/>
            </w:pPr>
            <w:r>
              <w:t xml:space="preserve">Entries 24, 25</w:t>
            </w:r>
          </w:p>
        </w:tc>
        <w:tc>
          <w:tcPr/>
          <w:p>
            <w:pPr>
              <w:pStyle w:val="Compact"/>
              <w:jc w:val="left"/>
            </w:pPr>
            <w:r>
              <w:t xml:space="preserve">“</w:t>
            </w:r>
            <w:r>
              <w:t xml:space="preserve">Settlement considerations</w:t>
            </w:r>
            <w:r>
              <w:t xml:space="preserve">”</w:t>
            </w:r>
            <w:r>
              <w:t xml:space="preserve"> </w:t>
            </w:r>
            <w:r>
              <w:t xml:space="preserve">/</w:t>
            </w:r>
            <w:r>
              <w:t xml:space="preserve"> </w:t>
            </w:r>
            <w:r>
              <w:t xml:space="preserve">“</w:t>
            </w:r>
            <w:r>
              <w:t xml:space="preserve">early resolution strategies</w:t>
            </w:r>
            <w:r>
              <w:t xml:space="preserve">”</w:t>
            </w:r>
            <w:r>
              <w:t xml:space="preserve"> </w:t>
            </w:r>
            <w:r>
              <w:t xml:space="preserve">signal the client’s settlement posture.</w:t>
            </w:r>
          </w:p>
        </w:tc>
        <w:tc>
          <w:tcPr/>
          <w:p>
            <w:pPr>
              <w:pStyle w:val="Compact"/>
              <w:jc w:val="left"/>
            </w:pPr>
            <w:r>
              <w:t xml:space="preserve">Optional: soften to</w:t>
            </w:r>
            <w:r>
              <w:t xml:space="preserve"> </w:t>
            </w:r>
            <w:r>
              <w:t xml:space="preserve">“</w:t>
            </w:r>
            <w:r>
              <w:t xml:space="preserve">legal advice regarding litigation strategy.</w:t>
            </w:r>
            <w:r>
              <w:t xml:space="preserve">”</w:t>
            </w:r>
          </w:p>
        </w:tc>
      </w:tr>
      <w:tr>
        <w:tc>
          <w:tcPr/>
          <w:p>
            <w:pPr>
              <w:pStyle w:val="Compact"/>
              <w:jc w:val="left"/>
            </w:pPr>
            <w:r>
              <w:t xml:space="preserve">Entry 29</w:t>
            </w:r>
          </w:p>
        </w:tc>
        <w:tc>
          <w:tcPr/>
          <w:p>
            <w:pPr>
              <w:pStyle w:val="Compact"/>
              <w:jc w:val="left"/>
            </w:pPr>
            <w:r>
              <w:t xml:space="preserve">“</w:t>
            </w:r>
            <w:r>
              <w:t xml:space="preserve">Regulatory inquiry response procedures.</w:t>
            </w:r>
            <w:r>
              <w:t xml:space="preserve">”</w:t>
            </w:r>
            <w:r>
              <w:t xml:space="preserve"> </w:t>
            </w:r>
            <w:r>
              <w:t xml:space="preserve">The Board deck (Slide 14) says no regulatory inquiries have been received.</w:t>
            </w:r>
          </w:p>
        </w:tc>
        <w:tc>
          <w:tcPr/>
          <w:p>
            <w:pPr>
              <w:pStyle w:val="Compact"/>
              <w:jc w:val="left"/>
            </w:pPr>
            <w:r>
              <w:t xml:space="preserve">Confirm accuracy; if hypothetical, use</w:t>
            </w:r>
            <w:r>
              <w:t xml:space="preserve"> </w:t>
            </w:r>
            <w:r>
              <w:t xml:space="preserve">“</w:t>
            </w:r>
            <w:r>
              <w:t xml:space="preserve">regulatory compliance procedures.</w:t>
            </w:r>
            <w:r>
              <w:t xml:space="preserve">”</w:t>
            </w:r>
          </w:p>
        </w:tc>
      </w:tr>
      <w:tr>
        <w:tc>
          <w:tcPr/>
          <w:p>
            <w:pPr>
              <w:pStyle w:val="Compact"/>
              <w:jc w:val="left"/>
            </w:pPr>
            <w:r>
              <w:t xml:space="preserve">Review Notes — pemberton-regulatory-update</w:t>
            </w:r>
          </w:p>
        </w:tc>
        <w:tc>
          <w:tcPr/>
          <w:p>
            <w:pPr>
              <w:pStyle w:val="Compact"/>
              <w:jc w:val="left"/>
            </w:pPr>
            <w:r>
              <w:t xml:space="preserve">Suggests confirming a</w:t>
            </w:r>
            <w:r>
              <w:t xml:space="preserve"> </w:t>
            </w:r>
            <w:r>
              <w:t xml:space="preserve">“</w:t>
            </w:r>
            <w:r>
              <w:t xml:space="preserve">common interest posture</w:t>
            </w:r>
            <w:r>
              <w:t xml:space="preserve">”</w:t>
            </w:r>
            <w:r>
              <w:t xml:space="preserve"> </w:t>
            </w:r>
            <w:r>
              <w:t xml:space="preserve">with Pemberton Lowell.</w:t>
            </w:r>
          </w:p>
        </w:tc>
        <w:tc>
          <w:tcPr/>
          <w:p>
            <w:pPr>
              <w:pStyle w:val="Compact"/>
              <w:jc w:val="left"/>
            </w:pPr>
            <w:r>
              <w:t xml:space="preserve">Not needed: Pemberton is Greenleaf’s own counsel, so attorney-client privilege applies directly. Common interest applies only to Cascade.</w:t>
            </w:r>
          </w:p>
        </w:tc>
      </w:tr>
      <w:tr>
        <w:tc>
          <w:tcPr/>
          <w:p>
            <w:pPr>
              <w:pStyle w:val="Compact"/>
              <w:jc w:val="left"/>
            </w:pPr>
            <w:r>
              <w:t xml:space="preserve">Pending rows 36–53</w:t>
            </w:r>
          </w:p>
        </w:tc>
        <w:tc>
          <w:tcPr/>
          <w:p>
            <w:pPr>
              <w:pStyle w:val="Compact"/>
              <w:jc w:val="left"/>
            </w:pPr>
            <w:r>
              <w:t xml:space="preserve">Many rows do not match the batch: rows 39, 41, 42, 43, 45, 47, 48, 51 and 53 describe documents that are not in this batch; row 44 dates the Moritani forward 01/12/2025 (actual 04/05/2021); row 46 dates the market analysis 07/19/2023 (actual 08/15/2022); row 50 dates the Cascade email 02/01/2025 (actual 01/21/2025 PT); row 40 lists the wrong recipient; row 37 lists the wrong recipient.</w:t>
            </w:r>
          </w:p>
        </w:tc>
        <w:tc>
          <w:tcPr/>
          <w:p>
            <w:pPr>
              <w:pStyle w:val="Compact"/>
              <w:jc w:val="left"/>
            </w:pPr>
            <w:r>
              <w:t xml:space="preserve">Replace with Entries 36–49 and the provisional entries in the companion workbook. Route unmatched rows to the correct batch.</w:t>
            </w:r>
          </w:p>
        </w:tc>
      </w:tr>
      <w:tr>
        <w:tc>
          <w:tcPr/>
          <w:p>
            <w:pPr>
              <w:pStyle w:val="Compact"/>
              <w:jc w:val="left"/>
            </w:pPr>
            <w:r>
              <w:t xml:space="preserve">Review Notes</w:t>
            </w:r>
          </w:p>
        </w:tc>
        <w:tc>
          <w:tcPr/>
          <w:p>
            <w:pPr>
              <w:pStyle w:val="Compact"/>
              <w:jc w:val="left"/>
            </w:pPr>
            <w:r>
              <w:t xml:space="preserve">RFP cross-references are off: the QA report is cited to</w:t>
            </w:r>
            <w:r>
              <w:t xml:space="preserve"> </w:t>
            </w:r>
            <w:r>
              <w:t xml:space="preserve">“</w:t>
            </w:r>
            <w:r>
              <w:t xml:space="preserve">RFP 7</w:t>
            </w:r>
            <w:r>
              <w:t xml:space="preserve">”</w:t>
            </w:r>
            <w:r>
              <w:t xml:space="preserve"> </w:t>
            </w:r>
            <w:r>
              <w:t xml:space="preserve">(QA is RFP 6); the sourcing email to</w:t>
            </w:r>
            <w:r>
              <w:t xml:space="preserve"> </w:t>
            </w:r>
            <w:r>
              <w:t xml:space="preserve">“</w:t>
            </w:r>
            <w:r>
              <w:t xml:space="preserve">RFP 4</w:t>
            </w:r>
            <w:r>
              <w:t xml:space="preserve">”</w:t>
            </w:r>
            <w:r>
              <w:t xml:space="preserve"> </w:t>
            </w:r>
            <w:r>
              <w:t xml:space="preserve">(sourcing is RFP 5). Leah Fontaine is called</w:t>
            </w:r>
            <w:r>
              <w:t xml:space="preserve"> </w:t>
            </w:r>
            <w:r>
              <w:t xml:space="preserve">“</w:t>
            </w:r>
            <w:r>
              <w:t xml:space="preserve">Senior Product Chemist</w:t>
            </w:r>
            <w:r>
              <w:t xml:space="preserve">”</w:t>
            </w:r>
            <w:r>
              <w:t xml:space="preserve"> </w:t>
            </w:r>
            <w:r>
              <w:t xml:space="preserve">(Protocol: Senior Regulatory Analyst).</w:t>
            </w:r>
          </w:p>
        </w:tc>
        <w:tc>
          <w:tcPr/>
          <w:p>
            <w:pPr>
              <w:pStyle w:val="Compact"/>
              <w:jc w:val="left"/>
            </w:pPr>
            <w:r>
              <w:t xml:space="preserve">Correct before second-level review.</w:t>
            </w:r>
          </w:p>
        </w:tc>
      </w:tr>
      <w:tr>
        <w:tc>
          <w:tcPr/>
          <w:p>
            <w:pPr>
              <w:pStyle w:val="Compact"/>
              <w:jc w:val="left"/>
            </w:pPr>
            <w:r>
              <w:t xml:space="preserve">Bates prefixes</w:t>
            </w:r>
          </w:p>
        </w:tc>
        <w:tc>
          <w:tcPr/>
          <w:p>
            <w:pPr>
              <w:pStyle w:val="Compact"/>
              <w:jc w:val="left"/>
            </w:pPr>
            <w:r>
              <w:t xml:space="preserve">The working log uses</w:t>
            </w:r>
            <w:r>
              <w:t xml:space="preserve"> </w:t>
            </w:r>
            <w:r>
              <w:t xml:space="preserve">“</w:t>
            </w:r>
            <w:r>
              <w:t xml:space="preserve">GCP-PRIV-</w:t>
            </w:r>
            <w:r>
              <w:t xml:space="preserve">”</w:t>
            </w:r>
            <w:r>
              <w:t xml:space="preserve">; the claw-back uses</w:t>
            </w:r>
            <w:r>
              <w:t xml:space="preserve"> </w:t>
            </w:r>
            <w:r>
              <w:t xml:space="preserve">“</w:t>
            </w:r>
            <w:r>
              <w:t xml:space="preserve">GL-PRIV-</w:t>
            </w:r>
            <w:r>
              <w:t xml:space="preserve">”</w:t>
            </w:r>
            <w:r>
              <w:t xml:space="preserve">.</w:t>
            </w:r>
          </w:p>
        </w:tc>
        <w:tc>
          <w:tcPr/>
          <w:p>
            <w:pPr>
              <w:pStyle w:val="Compact"/>
              <w:jc w:val="left"/>
            </w:pPr>
            <w:r>
              <w:t xml:space="preserve">Confirm a single convention with Pinnacle.</w:t>
            </w:r>
          </w:p>
        </w:tc>
      </w:tr>
      <w:tr>
        <w:tc>
          <w:tcPr/>
          <w:p>
            <w:pPr>
              <w:pStyle w:val="Compact"/>
              <w:jc w:val="left"/>
            </w:pPr>
            <w:r>
              <w:t xml:space="preserve">Missing entries</w:t>
            </w:r>
          </w:p>
        </w:tc>
        <w:tc>
          <w:tcPr/>
          <w:p>
            <w:pPr>
              <w:pStyle w:val="Compact"/>
              <w:jc w:val="left"/>
            </w:pPr>
            <w:r>
              <w:t xml:space="preserve">Clawed-back GL-PRIV-00234 to -00236 are not logged.</w:t>
            </w:r>
          </w:p>
        </w:tc>
        <w:tc>
          <w:tcPr/>
          <w:p>
            <w:pPr>
              <w:pStyle w:val="Compact"/>
              <w:jc w:val="left"/>
            </w:pPr>
            <w:r>
              <w:t xml:space="preserve">Added as Entries 47–49.</w:t>
            </w:r>
          </w:p>
        </w:tc>
      </w:tr>
    </w:tbl>
    <w:bookmarkEnd w:id="41"/>
    <w:bookmarkStart w:id="42" w:name="recommended-next-steps"/>
    <w:p>
      <w:pPr>
        <w:pStyle w:val="Heading1"/>
      </w:pPr>
      <w:r>
        <w:t xml:space="preserve">5. Recommended Next Steps</w:t>
      </w:r>
    </w:p>
    <w:p>
      <w:pPr>
        <w:pStyle w:val="Compact"/>
        <w:numPr>
          <w:ilvl w:val="0"/>
          <w:numId w:val="1030"/>
        </w:numPr>
      </w:pPr>
      <w:r>
        <w:rPr>
          <w:b/>
          <w:bCs/>
        </w:rPr>
        <w:t xml:space="preserve">CF (by Mar. 31):</w:t>
      </w:r>
      <w:r>
        <w:t xml:space="preserve"> </w:t>
      </w:r>
      <w:r>
        <w:t xml:space="preserve">Second-level review of all designations. Priorities:</w:t>
      </w:r>
    </w:p>
    <w:p>
      <w:pPr>
        <w:pStyle w:val="Compact"/>
        <w:numPr>
          <w:ilvl w:val="1"/>
          <w:numId w:val="1031"/>
        </w:numPr>
      </w:pPr>
      <w:r>
        <w:t xml:space="preserve">confirm the redaction scope for Docs 1, 6 and 13;</w:t>
      </w:r>
    </w:p>
    <w:p>
      <w:pPr>
        <w:pStyle w:val="Compact"/>
        <w:numPr>
          <w:ilvl w:val="1"/>
          <w:numId w:val="1031"/>
        </w:numPr>
      </w:pPr>
      <w:r>
        <w:t xml:space="preserve">decide produce vs. withhold for Doc 10.</w:t>
      </w:r>
    </w:p>
    <w:p>
      <w:pPr>
        <w:pStyle w:val="Compact"/>
        <w:numPr>
          <w:ilvl w:val="0"/>
          <w:numId w:val="1030"/>
        </w:numPr>
      </w:pPr>
      <w:r>
        <w:rPr>
          <w:b/>
          <w:bCs/>
        </w:rPr>
        <w:t xml:space="preserve">NB (by Apr. 7):</w:t>
      </w:r>
    </w:p>
    <w:p>
      <w:pPr>
        <w:pStyle w:val="Compact"/>
        <w:numPr>
          <w:ilvl w:val="1"/>
          <w:numId w:val="1032"/>
        </w:numPr>
      </w:pPr>
      <w:r>
        <w:t xml:space="preserve">crime-fraud decision on Doc 17, with the Protocol §3.3 memorandum;</w:t>
      </w:r>
    </w:p>
    <w:p>
      <w:pPr>
        <w:pStyle w:val="Compact"/>
        <w:numPr>
          <w:ilvl w:val="1"/>
          <w:numId w:val="1032"/>
        </w:numPr>
      </w:pPr>
      <w:r>
        <w:t xml:space="preserve">waiver sign-off on Docs 5 and 12;</w:t>
      </w:r>
    </w:p>
    <w:p>
      <w:pPr>
        <w:pStyle w:val="Compact"/>
        <w:numPr>
          <w:ilvl w:val="1"/>
          <w:numId w:val="1032"/>
        </w:numPr>
      </w:pPr>
      <w:r>
        <w:t xml:space="preserve">common interest agreement with Westlake Barrett (Doc 2);</w:t>
      </w:r>
    </w:p>
    <w:p>
      <w:pPr>
        <w:pStyle w:val="Compact"/>
        <w:numPr>
          <w:ilvl w:val="1"/>
          <w:numId w:val="1032"/>
        </w:numPr>
      </w:pPr>
      <w:r>
        <w:t xml:space="preserve">advice-of-counsel strategy decision (Doc 14 and Board Slide 8);</w:t>
      </w:r>
    </w:p>
    <w:p>
      <w:pPr>
        <w:pStyle w:val="Compact"/>
        <w:numPr>
          <w:ilvl w:val="1"/>
          <w:numId w:val="1032"/>
        </w:numPr>
      </w:pPr>
      <w:r>
        <w:t xml:space="preserve">in camera plan for Doc 16.</w:t>
      </w:r>
    </w:p>
    <w:p>
      <w:pPr>
        <w:pStyle w:val="Compact"/>
        <w:numPr>
          <w:ilvl w:val="0"/>
          <w:numId w:val="1030"/>
        </w:numPr>
      </w:pPr>
      <w:r>
        <w:rPr>
          <w:b/>
          <w:bCs/>
        </w:rPr>
        <w:t xml:space="preserve">Tillman / Pinnacle:</w:t>
      </w:r>
    </w:p>
    <w:p>
      <w:pPr>
        <w:pStyle w:val="Compact"/>
        <w:numPr>
          <w:ilvl w:val="1"/>
          <w:numId w:val="1033"/>
        </w:numPr>
      </w:pPr>
      <w:r>
        <w:t xml:space="preserve">metadata and version comparison for Docs 5/12, Doc 11 and Doc 1;</w:t>
      </w:r>
    </w:p>
    <w:p>
      <w:pPr>
        <w:pStyle w:val="Compact"/>
        <w:numPr>
          <w:ilvl w:val="1"/>
          <w:numId w:val="1033"/>
        </w:numPr>
      </w:pPr>
      <w:r>
        <w:t xml:space="preserve">confirm the Bates prefix;</w:t>
      </w:r>
    </w:p>
    <w:p>
      <w:pPr>
        <w:pStyle w:val="Compact"/>
        <w:numPr>
          <w:ilvl w:val="1"/>
          <w:numId w:val="1033"/>
        </w:numPr>
      </w:pPr>
      <w:r>
        <w:t xml:space="preserve">apply redactions;</w:t>
      </w:r>
    </w:p>
    <w:p>
      <w:pPr>
        <w:pStyle w:val="Compact"/>
        <w:numPr>
          <w:ilvl w:val="1"/>
          <w:numId w:val="1033"/>
        </w:numPr>
      </w:pPr>
      <w:r>
        <w:t xml:space="preserve">check Board deck and strategy memo distribution, including any disclosure to Thornfield.</w:t>
      </w:r>
    </w:p>
    <w:p>
      <w:pPr>
        <w:pStyle w:val="Compact"/>
        <w:numPr>
          <w:ilvl w:val="0"/>
          <w:numId w:val="1030"/>
        </w:numPr>
      </w:pPr>
      <w:r>
        <w:rPr>
          <w:b/>
          <w:bCs/>
        </w:rPr>
        <w:t xml:space="preserve">Litigation team:</w:t>
      </w:r>
    </w:p>
    <w:p>
      <w:pPr>
        <w:pStyle w:val="Compact"/>
        <w:numPr>
          <w:ilvl w:val="1"/>
          <w:numId w:val="1034"/>
        </w:numPr>
      </w:pPr>
      <w:r>
        <w:t xml:space="preserve">move for a Rule 502(d) order;</w:t>
      </w:r>
    </w:p>
    <w:p>
      <w:pPr>
        <w:pStyle w:val="Compact"/>
        <w:numPr>
          <w:ilvl w:val="1"/>
          <w:numId w:val="1034"/>
        </w:numPr>
      </w:pPr>
      <w:r>
        <w:t xml:space="preserve">propose a stipulation excluding post-complaint litigation counsel material from logging;</w:t>
      </w:r>
    </w:p>
    <w:p>
      <w:pPr>
        <w:pStyle w:val="Compact"/>
        <w:numPr>
          <w:ilvl w:val="1"/>
          <w:numId w:val="1034"/>
        </w:numPr>
      </w:pPr>
      <w:r>
        <w:t xml:space="preserve">follow up on the unanswered claw-back letter;</w:t>
      </w:r>
    </w:p>
    <w:p>
      <w:pPr>
        <w:pStyle w:val="Compact"/>
        <w:numPr>
          <w:ilvl w:val="1"/>
          <w:numId w:val="1034"/>
        </w:numPr>
      </w:pPr>
      <w:r>
        <w:t xml:space="preserve">address the Slack and Moritani preservation gaps.</w:t>
      </w:r>
    </w:p>
    <w:p>
      <w:pPr>
        <w:pStyle w:val="Compact"/>
        <w:numPr>
          <w:ilvl w:val="0"/>
          <w:numId w:val="1030"/>
        </w:numPr>
      </w:pPr>
      <w:r>
        <w:rPr>
          <w:b/>
          <w:bCs/>
        </w:rPr>
        <w:t xml:space="preserve">Serve the log by Apr. 14, 2025</w:t>
      </w:r>
      <w:r>
        <w:t xml:space="preserve"> </w:t>
      </w:r>
      <w:r>
        <w:t xml:space="preserve">after incorporating the partner decisions above.</w:t>
      </w:r>
    </w:p>
    <w:p>
      <w:pPr>
        <w:pStyle w:val="FirstParagraph"/>
      </w:pPr>
      <w:r>
        <w:rPr>
          <w:i/>
          <w:iCs/>
        </w:rPr>
        <w:t xml:space="preserve">Prepared for attorney review. The designations are recommendations under Protocol §§2 and 8 and do not become final until second-level and partner sign-off.</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 Designation Report — Priority Batch (18 Documents)</dc:title>
  <dc:creator/>
  <cp:keywords/>
  <dcterms:created xsi:type="dcterms:W3CDTF">2026-09-27T01:31:12Z</dcterms:created>
  <dcterms:modified xsi:type="dcterms:W3CDTF">2026-09-27T01:31:12Z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Huang v. Greenleaf Consumer Products, Inc., No. 5:24-cv-04187-RLK (N.D. Cal., San Jose Div.) (Kirkwood, J.)</vt:lpwstr>
  </property>
</Properties>
</file>