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9C0006"/>
          <w:sz w:val="18"/>
        </w:rPr>
        <w:t>CONFIDENTIAL • INTERNAL REVIEW</w:t>
      </w:r>
    </w:p>
    <w:p>
      <w:pPr>
        <w:pStyle w:val="Title"/>
      </w:pPr>
      <w:r>
        <w:t>Outside Counsel Engagement</w:t>
        <w:br/>
        <w:t>Issues Memorandum</w:t>
      </w:r>
    </w:p>
    <w:p>
      <w:pPr>
        <w:spacing w:after="20"/>
      </w:pPr>
      <w:r>
        <w:rPr>
          <w:b/>
          <w:color w:val="1F4E79"/>
          <w:sz w:val="26"/>
        </w:rPr>
        <w:t>NovaTech Solutions, LLC v. Pinnacle Health Systems, Inc.</w:t>
      </w:r>
    </w:p>
    <w:tbl>
      <w:tblPr>
        <w:tblW w:type="auto" w:w="0"/>
        <w:jc w:val="left"/>
        <w:tblLayout w:type="fixed"/>
        <w:tblLook w:firstColumn="1" w:firstRow="1" w:lastColumn="0" w:lastRow="0" w:noHBand="0" w:noVBand="1" w:val="04A0"/>
      </w:tblPr>
      <w:tblGrid>
        <w:gridCol w:w="1296"/>
        <w:gridCol w:w="8496"/>
      </w:tblGrid>
      <w:tr>
        <w:trPr>
          <w:cantSplit/>
        </w:trPr>
        <w:tc>
          <w:tcPr>
            <w:tcW w:type="dxa" w:w="4997"/>
            <w:shd w:fill="DDEBF7"/>
            <w:tcMar>
              <w:top w:w="60" w:type="dxa"/>
              <w:start w:w="90" w:type="dxa"/>
              <w:bottom w:w="60" w:type="dxa"/>
              <w:end w:w="90" w:type="dxa"/>
            </w:tcMar>
          </w:tcPr>
          <w:p>
            <w:r/>
            <w:r>
              <w:rPr>
                <w:b/>
                <w:color w:val="1F4E79"/>
                <w:sz w:val="17"/>
              </w:rPr>
              <w:t>TO</w:t>
            </w:r>
          </w:p>
        </w:tc>
        <w:tc>
          <w:tcPr>
            <w:tcW w:type="dxa" w:w="4997"/>
            <w:tcMar>
              <w:top w:w="60" w:type="dxa"/>
              <w:start w:w="90" w:type="dxa"/>
              <w:bottom w:w="60" w:type="dxa"/>
              <w:end w:w="90" w:type="dxa"/>
            </w:tcMar>
          </w:tcPr>
          <w:p>
            <w:r/>
            <w:r>
              <w:rPr>
                <w:sz w:val="17"/>
              </w:rPr>
              <w:t>Margaret Yeun, General Counsel; Thomas Ridley, Associate General Counsel—Litigation</w:t>
            </w:r>
          </w:p>
        </w:tc>
      </w:tr>
      <w:tr>
        <w:trPr>
          <w:cantSplit/>
        </w:trPr>
        <w:tc>
          <w:tcPr>
            <w:tcW w:type="dxa" w:w="4997"/>
            <w:shd w:fill="DDEBF7"/>
            <w:tcMar>
              <w:top w:w="60" w:type="dxa"/>
              <w:start w:w="90" w:type="dxa"/>
              <w:bottom w:w="60" w:type="dxa"/>
              <w:end w:w="90" w:type="dxa"/>
            </w:tcMar>
          </w:tcPr>
          <w:p>
            <w:r/>
            <w:r>
              <w:rPr>
                <w:b/>
                <w:color w:val="1F4E79"/>
                <w:sz w:val="17"/>
              </w:rPr>
              <w:t>FROM</w:t>
            </w:r>
          </w:p>
        </w:tc>
        <w:tc>
          <w:tcPr>
            <w:tcW w:type="dxa" w:w="4997"/>
            <w:tcMar>
              <w:top w:w="60" w:type="dxa"/>
              <w:start w:w="90" w:type="dxa"/>
              <w:bottom w:w="60" w:type="dxa"/>
              <w:end w:w="90" w:type="dxa"/>
            </w:tcMar>
          </w:tcPr>
          <w:p>
            <w:r/>
            <w:r>
              <w:rPr>
                <w:sz w:val="17"/>
              </w:rPr>
              <w:t>Internal legal review</w:t>
            </w:r>
          </w:p>
        </w:tc>
      </w:tr>
      <w:tr>
        <w:trPr>
          <w:cantSplit/>
        </w:trPr>
        <w:tc>
          <w:tcPr>
            <w:tcW w:type="dxa" w:w="4997"/>
            <w:shd w:fill="DDEBF7"/>
            <w:tcMar>
              <w:top w:w="60" w:type="dxa"/>
              <w:start w:w="90" w:type="dxa"/>
              <w:bottom w:w="60" w:type="dxa"/>
              <w:end w:w="90" w:type="dxa"/>
            </w:tcMar>
          </w:tcPr>
          <w:p>
            <w:r/>
            <w:r>
              <w:rPr>
                <w:b/>
                <w:color w:val="1F4E79"/>
                <w:sz w:val="17"/>
              </w:rPr>
              <w:t>DATE</w:t>
            </w:r>
          </w:p>
        </w:tc>
        <w:tc>
          <w:tcPr>
            <w:tcW w:type="dxa" w:w="4997"/>
            <w:tcMar>
              <w:top w:w="60" w:type="dxa"/>
              <w:start w:w="90" w:type="dxa"/>
              <w:bottom w:w="60" w:type="dxa"/>
              <w:end w:w="90" w:type="dxa"/>
            </w:tcMar>
          </w:tcPr>
          <w:p>
            <w:r/>
            <w:r>
              <w:rPr>
                <w:sz w:val="17"/>
              </w:rPr>
              <w:t>October 6, 2025 (documents reviewed dated October 3–6, 2025)</w:t>
            </w:r>
          </w:p>
        </w:tc>
      </w:tr>
      <w:tr>
        <w:trPr>
          <w:cantSplit/>
        </w:trPr>
        <w:tc>
          <w:tcPr>
            <w:tcW w:type="dxa" w:w="4997"/>
            <w:shd w:fill="DDEBF7"/>
            <w:tcMar>
              <w:top w:w="60" w:type="dxa"/>
              <w:start w:w="90" w:type="dxa"/>
              <w:bottom w:w="60" w:type="dxa"/>
              <w:end w:w="90" w:type="dxa"/>
            </w:tcMar>
          </w:tcPr>
          <w:p>
            <w:r/>
            <w:r>
              <w:rPr>
                <w:b/>
                <w:color w:val="1F4E79"/>
                <w:sz w:val="17"/>
              </w:rPr>
              <w:t>RE</w:t>
            </w:r>
          </w:p>
        </w:tc>
        <w:tc>
          <w:tcPr>
            <w:tcW w:type="dxa" w:w="4997"/>
            <w:tcMar>
              <w:top w:w="60" w:type="dxa"/>
              <w:start w:w="90" w:type="dxa"/>
              <w:bottom w:w="60" w:type="dxa"/>
              <w:end w:w="90" w:type="dxa"/>
            </w:tcMar>
          </w:tcPr>
          <w:p>
            <w:r/>
            <w:r>
              <w:rPr>
                <w:sz w:val="17"/>
              </w:rPr>
              <w:t>Proposed Hawthorne, Bellamy &amp; Cross LLP engagement letter, staffing plan, CrossPoint proposal, conflicts emails, and Pinnacle OCG (January 2024)</w:t>
            </w:r>
          </w:p>
        </w:tc>
      </w:tr>
    </w:tbl>
    <w:p/>
    <w:p>
      <w:pPr>
        <w:pStyle w:val="Heading1"/>
      </w:pPr>
      <w:r>
        <w:t>Executive assessment</w:t>
      </w:r>
    </w:p>
    <w:p>
      <w:r>
        <w:t>Recommendation: Do not execute the engagement letter as drafted, authorize CrossPoint Analytics, or permit further substantive work by HB&amp;C until the threshold conflicts, insurance, fee, client-control, and vendor issues below are resolved in writing. The January 2024 OCG expressly controls conflicting engagement terms; signing the current letter would not make noncompliant charges payable under Pinnacle policy. Several other risk-allocation terms also require negotiation. No separate General Counsel waiver is in the packet.</w:t>
      </w:r>
    </w:p>
    <w:p>
      <w:r>
        <w:t>The most serious threshold concern is HB&amp;C’s current representation of MedBridge Therapeutics, which Morrow disclosed as an 8% equity investor in NovaTech. That exceeds the OCG’s 5% “material financial interest” threshold. Alcott’s purported clearance does not address MedBridge or material investors and is not the required comprehensive clearance letter. This must be fully disclosed and resolved before acceptance; if the conflict is not consentable or Pinnacle does not give a specific informed written consent, HB&amp;C should not be engaged.</w:t>
      </w:r>
    </w:p>
    <w:p>
      <w:r>
        <w:t>The packet also proposes rates materially above every applicable OCG cap, a $250,000 non-refundable operating-account retainer, a success fee embedded in the engagement letter with no stated dollar cap, a termination fee, a retaining lien, one-sided indemnity and liability limitations, D.C. arbitration/law, and broad marketing consent. These provisions directly conflict with the OCG. CrossPoint’s $380,000 proposal is neither within the $2.4 million budget nor approved under Pinnacle’s vendor, expense, security, and competitive-bid controls.</w:t>
      </w:r>
    </w:p>
    <w:tbl>
      <w:tblPr>
        <w:tblStyle w:val="TableGrid"/>
        <w:tblW w:type="auto" w:w="0"/>
        <w:jc w:val="center"/>
        <w:tblLook w:firstColumn="1" w:firstRow="1" w:lastColumn="0" w:lastRow="0" w:noHBand="0" w:noVBand="1" w:val="04A0"/>
      </w:tblPr>
      <w:tblGrid>
        <w:gridCol w:w="9994"/>
      </w:tblGrid>
      <w:tr>
        <w:trPr>
          <w:cantSplit/>
        </w:trPr>
        <w:tc>
          <w:tcPr>
            <w:tcW w:type="dxa" w:w="9994"/>
            <w:shd w:fill="FCE4D6"/>
            <w:tcMar>
              <w:top w:w="130" w:type="dxa"/>
              <w:start w:w="150" w:type="dxa"/>
              <w:bottom w:w="130" w:type="dxa"/>
              <w:end w:w="150" w:type="dxa"/>
            </w:tcMar>
          </w:tcPr>
          <w:p>
            <w:pPr>
              <w:spacing w:after="0"/>
            </w:pPr>
            <w:r/>
            <w:r>
              <w:rPr>
                <w:b/>
                <w:color w:val="9C0006"/>
              </w:rPr>
              <w:t xml:space="preserve">Immediate handling: </w:t>
            </w:r>
            <w:r>
              <w:t>Keep the Answer deadline and Rule 26(f) schedule covered by Pinnacle’s in-house team or other approved counsel while the conflict and engagement are resolved. The October 3 email says HB&amp;C had already begun preliminary legal research before an executed engagement letter; instruct HB&amp;C to pause substantive work and incur no further fees pending written authorization.</w:t>
            </w:r>
          </w:p>
        </w:tc>
      </w:tr>
    </w:tbl>
    <w:p>
      <w:pPr>
        <w:pStyle w:val="Heading1"/>
      </w:pPr>
      <w:r>
        <w:t>Priority actions before any signature or authorization</w:t>
      </w:r>
    </w:p>
    <w:tbl>
      <w:tblPr>
        <w:tblStyle w:val="TableGrid"/>
        <w:tblW w:type="auto" w:w="0"/>
        <w:jc w:val="center"/>
        <w:tblLayout w:type="fixed"/>
        <w:tblLook w:firstColumn="1" w:firstRow="1" w:lastColumn="0" w:lastRow="0" w:noHBand="0" w:noVBand="1" w:val="04A0"/>
      </w:tblPr>
      <w:tblGrid>
        <w:gridCol w:w="1872"/>
        <w:gridCol w:w="7920"/>
      </w:tblGrid>
      <w:tr>
        <w:trPr>
          <w:tblHeader w:val="true"/>
          <w:cantSplit/>
        </w:trPr>
        <w:tc>
          <w:tcPr>
            <w:tcW w:type="dxa" w:w="4997"/>
            <w:shd w:fill="17365D"/>
            <w:tcMar>
              <w:top w:w="80" w:type="dxa"/>
              <w:start w:w="90" w:type="dxa"/>
              <w:bottom w:w="80" w:type="dxa"/>
              <w:end w:w="90" w:type="dxa"/>
            </w:tcMar>
            <w:vAlign w:val="center"/>
          </w:tcPr>
          <w:p>
            <w:pPr>
              <w:spacing w:after="0"/>
            </w:pPr>
            <w:r/>
            <w:r>
              <w:rPr>
                <w:b/>
                <w:color w:val="FFFFFF"/>
                <w:sz w:val="16"/>
              </w:rPr>
              <w:t>Priority</w:t>
            </w:r>
          </w:p>
        </w:tc>
        <w:tc>
          <w:tcPr>
            <w:tcW w:type="dxa" w:w="4997"/>
            <w:shd w:fill="17365D"/>
            <w:tcMar>
              <w:top w:w="80" w:type="dxa"/>
              <w:start w:w="90" w:type="dxa"/>
              <w:bottom w:w="80" w:type="dxa"/>
              <w:end w:w="90" w:type="dxa"/>
            </w:tcMar>
            <w:vAlign w:val="center"/>
          </w:tcPr>
          <w:p>
            <w:pPr>
              <w:spacing w:after="0"/>
            </w:pPr>
            <w:r/>
            <w:r>
              <w:rPr>
                <w:b/>
                <w:color w:val="FFFFFF"/>
                <w:sz w:val="16"/>
              </w:rPr>
              <w:t>Action</w:t>
            </w:r>
          </w:p>
        </w:tc>
      </w:tr>
      <w:tr>
        <w:trPr>
          <w:cantSplit/>
        </w:trPr>
        <w:tc>
          <w:tcPr>
            <w:tcW w:type="dxa" w:w="1872"/>
            <w:tcMar>
              <w:top w:w="80" w:type="dxa"/>
              <w:start w:w="90" w:type="dxa"/>
              <w:bottom w:w="80" w:type="dxa"/>
              <w:end w:w="90" w:type="dxa"/>
            </w:tcMar>
            <w:vAlign w:val="center"/>
          </w:tcPr>
          <w:p>
            <w:pPr>
              <w:spacing w:after="0" w:line="240" w:lineRule="auto"/>
            </w:pPr>
            <w:r/>
            <w:r>
              <w:rPr>
                <w:b/>
                <w:sz w:val="16"/>
              </w:rPr>
              <w:t>1 — Conflict hold</w:t>
            </w:r>
          </w:p>
        </w:tc>
        <w:tc>
          <w:tcPr>
            <w:tcW w:type="dxa" w:w="7920"/>
            <w:tcMar>
              <w:top w:w="80" w:type="dxa"/>
              <w:start w:w="90" w:type="dxa"/>
              <w:bottom w:w="80" w:type="dxa"/>
              <w:end w:w="90" w:type="dxa"/>
            </w:tcMar>
            <w:vAlign w:val="center"/>
          </w:tcPr>
          <w:p>
            <w:pPr>
              <w:spacing w:after="0" w:line="240" w:lineRule="auto"/>
            </w:pPr>
            <w:r/>
            <w:r>
              <w:rPr>
                <w:sz w:val="16"/>
              </w:rPr>
              <w:t>Obtain a complete, signed conflicts clearance letter addressing MedBridge, its 8% NovaTech equity stake, affiliates/material-interest holders, all personnel, and the OCG’s other required categories. Obtain a separate, specific informed written consent signed by the GC only if acceptable and ethically permissible; otherwise decline HB&amp;C.</w:t>
            </w:r>
          </w:p>
        </w:tc>
      </w:tr>
      <w:tr>
        <w:trPr>
          <w:cantSplit/>
        </w:trPr>
        <w:tc>
          <w:tcPr>
            <w:tcW w:type="dxa" w:w="1872"/>
            <w:tcMar>
              <w:top w:w="80" w:type="dxa"/>
              <w:start w:w="90" w:type="dxa"/>
              <w:bottom w:w="80" w:type="dxa"/>
              <w:end w:w="90" w:type="dxa"/>
            </w:tcMar>
            <w:vAlign w:val="center"/>
            <w:shd w:fill="F5F8FB"/>
          </w:tcPr>
          <w:p>
            <w:pPr>
              <w:spacing w:after="0" w:line="240" w:lineRule="auto"/>
            </w:pPr>
            <w:r/>
            <w:r>
              <w:rPr>
                <w:b/>
                <w:sz w:val="16"/>
              </w:rPr>
              <w:t>2 — No work/vendor start</w:t>
            </w:r>
          </w:p>
        </w:tc>
        <w:tc>
          <w:tcPr>
            <w:tcW w:type="dxa" w:w="7920"/>
            <w:tcMar>
              <w:top w:w="80" w:type="dxa"/>
              <w:start w:w="90" w:type="dxa"/>
              <w:bottom w:w="80" w:type="dxa"/>
              <w:end w:w="90" w:type="dxa"/>
            </w:tcMar>
            <w:vAlign w:val="center"/>
            <w:shd w:fill="F5F8FB"/>
          </w:tcPr>
          <w:p>
            <w:pPr>
              <w:spacing w:after="0" w:line="240" w:lineRule="auto"/>
            </w:pPr>
            <w:r/>
            <w:r>
              <w:rPr>
                <w:sz w:val="16"/>
              </w:rPr>
              <w:t>Pause substantive work until a compliant engagement is fully executed. Do not sign CrossPoint’s authorization until Pinnacle approves the vendor, total budget, security terms, and any required competitive process.</w:t>
            </w:r>
          </w:p>
        </w:tc>
      </w:tr>
      <w:tr>
        <w:trPr>
          <w:cantSplit/>
        </w:trPr>
        <w:tc>
          <w:tcPr>
            <w:tcW w:type="dxa" w:w="1872"/>
            <w:tcMar>
              <w:top w:w="80" w:type="dxa"/>
              <w:start w:w="90" w:type="dxa"/>
              <w:bottom w:w="80" w:type="dxa"/>
              <w:end w:w="90" w:type="dxa"/>
            </w:tcMar>
            <w:vAlign w:val="center"/>
          </w:tcPr>
          <w:p>
            <w:pPr>
              <w:spacing w:after="0" w:line="240" w:lineRule="auto"/>
            </w:pPr>
            <w:r/>
            <w:r>
              <w:rPr>
                <w:b/>
                <w:sz w:val="16"/>
              </w:rPr>
              <w:t>3 — Eligibility</w:t>
            </w:r>
          </w:p>
        </w:tc>
        <w:tc>
          <w:tcPr>
            <w:tcW w:type="dxa" w:w="7920"/>
            <w:tcMar>
              <w:top w:w="80" w:type="dxa"/>
              <w:start w:w="90" w:type="dxa"/>
              <w:bottom w:w="80" w:type="dxa"/>
              <w:end w:w="90" w:type="dxa"/>
            </w:tcMar>
            <w:vAlign w:val="center"/>
          </w:tcPr>
          <w:p>
            <w:pPr>
              <w:spacing w:after="0" w:line="240" w:lineRule="auto"/>
            </w:pPr>
            <w:r/>
            <w:r>
              <w:rPr>
                <w:sz w:val="16"/>
              </w:rPr>
              <w:t>Require proof that HB&amp;C meets the $25m per-occurrence/$50m aggregate insurance minimum, A.M. Best A- rating, and policy terms; otherwise do not engage absent any valid written exception.</w:t>
            </w:r>
          </w:p>
        </w:tc>
      </w:tr>
      <w:tr>
        <w:trPr>
          <w:cantSplit/>
        </w:trPr>
        <w:tc>
          <w:tcPr>
            <w:tcW w:type="dxa" w:w="1872"/>
            <w:tcMar>
              <w:top w:w="80" w:type="dxa"/>
              <w:start w:w="90" w:type="dxa"/>
              <w:bottom w:w="80" w:type="dxa"/>
              <w:end w:w="90" w:type="dxa"/>
            </w:tcMar>
            <w:vAlign w:val="center"/>
            <w:shd w:fill="F5F8FB"/>
          </w:tcPr>
          <w:p>
            <w:pPr>
              <w:spacing w:after="0" w:line="240" w:lineRule="auto"/>
            </w:pPr>
            <w:r/>
            <w:r>
              <w:rPr>
                <w:b/>
                <w:sz w:val="16"/>
              </w:rPr>
              <w:t>4 — Commercial terms</w:t>
            </w:r>
          </w:p>
        </w:tc>
        <w:tc>
          <w:tcPr>
            <w:tcW w:type="dxa" w:w="7920"/>
            <w:tcMar>
              <w:top w:w="80" w:type="dxa"/>
              <w:start w:w="90" w:type="dxa"/>
              <w:bottom w:w="80" w:type="dxa"/>
              <w:end w:w="90" w:type="dxa"/>
            </w:tcMar>
            <w:vAlign w:val="center"/>
            <w:shd w:fill="F5F8FB"/>
          </w:tcPr>
          <w:p>
            <w:pPr>
              <w:spacing w:after="0" w:line="240" w:lineRule="auto"/>
            </w:pPr>
            <w:r/>
            <w:r>
              <w:rPr>
                <w:sz w:val="16"/>
              </w:rPr>
              <w:t>Replace or delete noncompliant rates/escalation, retainer, termination fee, success fee, lien, expense, billing, confidentiality, and dispute terms. Add the OCG incorporation and matter number.</w:t>
            </w:r>
          </w:p>
        </w:tc>
      </w:tr>
      <w:tr>
        <w:trPr>
          <w:cantSplit/>
        </w:trPr>
        <w:tc>
          <w:tcPr>
            <w:tcW w:type="dxa" w:w="1872"/>
            <w:tcMar>
              <w:top w:w="80" w:type="dxa"/>
              <w:start w:w="90" w:type="dxa"/>
              <w:bottom w:w="80" w:type="dxa"/>
              <w:end w:w="90" w:type="dxa"/>
            </w:tcMar>
            <w:vAlign w:val="center"/>
          </w:tcPr>
          <w:p>
            <w:pPr>
              <w:spacing w:after="0" w:line="240" w:lineRule="auto"/>
            </w:pPr>
            <w:r/>
            <w:r>
              <w:rPr>
                <w:b/>
                <w:sz w:val="16"/>
              </w:rPr>
              <w:t>5 — Budget and controls</w:t>
            </w:r>
          </w:p>
        </w:tc>
        <w:tc>
          <w:tcPr>
            <w:tcW w:type="dxa" w:w="7920"/>
            <w:tcMar>
              <w:top w:w="80" w:type="dxa"/>
              <w:start w:w="90" w:type="dxa"/>
              <w:bottom w:w="80" w:type="dxa"/>
              <w:end w:w="90" w:type="dxa"/>
            </w:tcMar>
            <w:vAlign w:val="center"/>
          </w:tcPr>
          <w:p>
            <w:pPr>
              <w:spacing w:after="0" w:line="240" w:lineRule="auto"/>
            </w:pPr>
            <w:r/>
            <w:r>
              <w:rPr>
                <w:sz w:val="16"/>
              </w:rPr>
              <w:t>Submit a complete, phase-based all-in budget (including CrossPoint, experts, contract reviewers, expenses and travel); present the &gt;$500k budget to the GC and Ridley, and obtain required vendor/expense approvals.</w:t>
            </w:r>
          </w:p>
        </w:tc>
      </w:tr>
      <w:tr>
        <w:trPr>
          <w:cantSplit/>
        </w:trPr>
        <w:tc>
          <w:tcPr>
            <w:tcW w:type="dxa" w:w="1872"/>
            <w:tcMar>
              <w:top w:w="80" w:type="dxa"/>
              <w:start w:w="90" w:type="dxa"/>
              <w:bottom w:w="80" w:type="dxa"/>
              <w:end w:w="90" w:type="dxa"/>
            </w:tcMar>
            <w:vAlign w:val="center"/>
            <w:shd w:fill="F5F8FB"/>
          </w:tcPr>
          <w:p>
            <w:pPr>
              <w:spacing w:after="0" w:line="240" w:lineRule="auto"/>
            </w:pPr>
            <w:r/>
            <w:r>
              <w:rPr>
                <w:b/>
                <w:sz w:val="16"/>
              </w:rPr>
              <w:t>6 — Written approvals</w:t>
            </w:r>
          </w:p>
        </w:tc>
        <w:tc>
          <w:tcPr>
            <w:tcW w:type="dxa" w:w="7920"/>
            <w:tcMar>
              <w:top w:w="80" w:type="dxa"/>
              <w:start w:w="90" w:type="dxa"/>
              <w:bottom w:w="80" w:type="dxa"/>
              <w:end w:w="90" w:type="dxa"/>
            </w:tcMar>
            <w:vAlign w:val="center"/>
            <w:shd w:fill="F5F8FB"/>
          </w:tcPr>
          <w:p>
            <w:pPr>
              <w:spacing w:after="0" w:line="240" w:lineRule="auto"/>
            </w:pPr>
            <w:r/>
            <w:r>
              <w:rPr>
                <w:sz w:val="16"/>
              </w:rPr>
              <w:t>Use Ridley as the primary matter contact and obtain written approvals for staffing changes, contract attorneys, experts, travel, &gt;$5k expenses, material strategy, and any budget variance over 10%.</w:t>
            </w:r>
          </w:p>
        </w:tc>
      </w:tr>
    </w:tbl>
    <w:p>
      <w:pPr>
        <w:spacing w:after="0"/>
      </w:pPr>
    </w:p>
    <w:p>
      <w:pPr>
        <w:pStyle w:val="Heading1"/>
      </w:pPr>
      <w:r>
        <w:t>Detailed issues and required revisions</w:t>
      </w:r>
    </w:p>
    <w:p>
      <w:pPr>
        <w:pStyle w:val="Heading2"/>
      </w:pPr>
      <w:r>
        <w:t>1. Engagement does not incorporate the OCG or identify Pinnacle matter number</w:t>
      </w:r>
    </w:p>
    <w:p>
      <w:pPr>
        <w:spacing w:after="60"/>
      </w:pPr>
      <w:r>
        <w:rPr>
          <w:b/>
          <w:color w:val="9C0006"/>
        </w:rPr>
        <w:t xml:space="preserve">HIGH  |  </w:t>
      </w:r>
      <w:r>
        <w:rPr>
          <w:b/>
          <w:color w:val="1F4E79"/>
        </w:rPr>
        <w:t xml:space="preserve">Documents: </w:t>
      </w:r>
      <w:r>
        <w:t>Engagement letter §§1, 19–20; OCG §§I.1, II.1</w:t>
      </w:r>
    </w:p>
    <w:p>
      <w:pPr>
        <w:spacing w:after="60"/>
      </w:pPr>
      <w:r>
        <w:rPr>
          <w:b/>
          <w:color w:val="1F4E79"/>
        </w:rPr>
        <w:t xml:space="preserve">Guideline:  </w:t>
      </w:r>
      <w:r>
        <w:t>The engagement letter must expressly reference and incorporate the OCG and state HB&amp;C agrees to comply with it. It must identify the matter name and Pinnacle matter number.</w:t>
      </w:r>
    </w:p>
    <w:p>
      <w:pPr>
        <w:spacing w:after="60"/>
      </w:pPr>
      <w:r>
        <w:rPr>
          <w:b/>
          <w:color w:val="1F4E79"/>
        </w:rPr>
        <w:t xml:space="preserve">Assessment:  </w:t>
      </w:r>
      <w:r>
        <w:t>The letter is silent on the OCG, has no Pinnacle matter number, and does not include the required express compliance statement. Its entire-agreement clause says the letter and exhibits supersede prior understandings; its amendment clause requires signatures by both parties. The OCG supersedes conflicting terms and allows OCG amendments on 30 days’ written notice, with waivers/modifications requiring a separate GC-signed writing. The draft should not imply that bilateral amendment language limits those rules.</w:t>
      </w:r>
    </w:p>
    <w:p>
      <w:pPr>
        <w:spacing w:after="60"/>
      </w:pPr>
      <w:r>
        <w:rPr>
          <w:b/>
          <w:color w:val="1F4E79"/>
        </w:rPr>
        <w:t xml:space="preserve">Required action:  </w:t>
      </w:r>
      <w:r>
        <w:t>Revise the opening and entire-agreement provisions to state that the January 2024 Pinnacle OCG is incorporated in full, controls in case of conflict, and is accepted by HB&amp;C; add the Pinnacle matter number. Keep any waiver separate, specific, and signed by the GC.</w:t>
      </w:r>
    </w:p>
    <w:p>
      <w:pPr>
        <w:pStyle w:val="Heading2"/>
      </w:pPr>
      <w:r>
        <w:t>2. Material conflict disclosed; no compliant clearance or resolution</w:t>
      </w:r>
    </w:p>
    <w:p>
      <w:pPr>
        <w:spacing w:after="60"/>
      </w:pPr>
      <w:r>
        <w:rPr>
          <w:b/>
          <w:color w:val="9C0006"/>
        </w:rPr>
        <w:t xml:space="preserve">CRITICAL  |  </w:t>
      </w:r>
      <w:r>
        <w:rPr>
          <w:b/>
          <w:color w:val="1F4E79"/>
        </w:rPr>
        <w:t xml:space="preserve">Documents: </w:t>
      </w:r>
      <w:r>
        <w:t>Morrow email Oct. 3; Alcott email Oct. 4; engagement letter §11; OCG §II.2</w:t>
      </w:r>
    </w:p>
    <w:p>
      <w:pPr>
        <w:spacing w:after="60"/>
      </w:pPr>
      <w:r>
        <w:rPr>
          <w:b/>
          <w:color w:val="1F4E79"/>
        </w:rPr>
        <w:t xml:space="preserve">Guideline:  </w:t>
      </w:r>
      <w:r>
        <w:t>Before work, HB&amp;C must provide a comprehensive written conflicts clearance covering adverse parties/affiliates, entities with ≥5% financial interests, personal/business relationships, and other potential conflicts. A specific conflict requires detailed disclosure and GC’s informed written consent; blanket advance waivers are prohibited.</w:t>
      </w:r>
    </w:p>
    <w:p>
      <w:pPr>
        <w:spacing w:after="60"/>
      </w:pPr>
      <w:r>
        <w:rPr>
          <w:b/>
          <w:color w:val="1F4E79"/>
        </w:rPr>
        <w:t xml:space="preserve">Assessment:  </w:t>
      </w:r>
      <w:r>
        <w:t>Morrow disclosed HB&amp;C’s current representation of MedBridge in a reimbursement dispute and MedBridge’s approximately 8% equity stake in NovaTech. The OCG defines a ≥5% equity stake as a material financial interest. The fact that MedBridge is a passive investor or the other matter is unrelated does not remove it from the OCG’s stated disclosure/consent test. Alcott’s follow-up says the check covered NovaTech, known principals, and Prescott Lane, but omits MedBridge and material investors; it is not a clearance letter and is materially incomplete on the known issue. The draft’s blanket waiver of future unrelated adverse representations is expressly unacceptable.</w:t>
      </w:r>
    </w:p>
    <w:p>
      <w:pPr>
        <w:spacing w:after="60"/>
      </w:pPr>
      <w:r>
        <w:rPr>
          <w:b/>
          <w:color w:val="1F4E79"/>
        </w:rPr>
        <w:t xml:space="preserve">Required action:  </w:t>
      </w:r>
      <w:r>
        <w:t>Treat this as a stop issue. Require a written, fact-complete disclosure, including scope/status of MedBridge work, confidential information access, relationships and potential adversity, plus a conflicts-team certification covering the firm and all expected personnel. Obtain a separate, matter-specific GC consent only after evaluating the full facts and applicable ethics rules. Strike the blanket waiver. If consent is unavailable or the conflict is nonconsentable, do not retain HB&amp;C.</w:t>
      </w:r>
    </w:p>
    <w:p>
      <w:pPr>
        <w:pStyle w:val="Heading2"/>
      </w:pPr>
      <w:r>
        <w:t>3. Substantive work began before an executed engagement</w:t>
      </w:r>
    </w:p>
    <w:p>
      <w:pPr>
        <w:spacing w:after="60"/>
      </w:pPr>
      <w:r>
        <w:rPr>
          <w:b/>
          <w:color w:val="9C0006"/>
        </w:rPr>
        <w:t xml:space="preserve">CRITICAL  |  </w:t>
      </w:r>
      <w:r>
        <w:rPr>
          <w:b/>
          <w:color w:val="1F4E79"/>
        </w:rPr>
        <w:t xml:space="preserve">Documents: </w:t>
      </w:r>
      <w:r>
        <w:t>Morrow email Oct. 3; Alcott email Oct. 4; OCG §II.1</w:t>
      </w:r>
    </w:p>
    <w:p>
      <w:pPr>
        <w:spacing w:after="60"/>
      </w:pPr>
      <w:r>
        <w:rPr>
          <w:b/>
          <w:color w:val="1F4E79"/>
        </w:rPr>
        <w:t xml:space="preserve">Guideline:  </w:t>
      </w:r>
      <w:r>
        <w:t>A written engagement must be fully executed before substantive work begins.</w:t>
      </w:r>
    </w:p>
    <w:p>
      <w:pPr>
        <w:spacing w:after="60"/>
      </w:pPr>
      <w:r>
        <w:rPr>
          <w:b/>
          <w:color w:val="1F4E79"/>
        </w:rPr>
        <w:t xml:space="preserve">Assessment:  </w:t>
      </w:r>
      <w:r>
        <w:t>Morrow states HB&amp;C is “already doing preliminary research” on Pinnacle’s termination-for-cause defense, while the engagement letter was not delivered until Oct. 6 and remains unsigned. Alcott says the team is ready to ramp up upon a green light. The existing work also appears to precede resolution of the material conflict.</w:t>
      </w:r>
    </w:p>
    <w:p>
      <w:pPr>
        <w:spacing w:after="60"/>
      </w:pPr>
      <w:r>
        <w:rPr>
          <w:b/>
          <w:color w:val="1F4E79"/>
        </w:rPr>
        <w:t xml:space="preserve">Required action:  </w:t>
      </w:r>
      <w:r>
        <w:t>Direct HB&amp;C to stop substantive work, safeguard and segregate Pinnacle information already received, and make no further substantive use of it pending written direction or as required by law. Require a final time/expense accounting for any work already performed and confirm that no charge will be passed through for unauthorized work unless Pinnacle separately approves it. Cover the Nov. 7 Answer deadline through in-house or other approved counsel until the conflict and engagement are resolved.</w:t>
      </w:r>
    </w:p>
    <w:p>
      <w:pPr>
        <w:pStyle w:val="Heading2"/>
      </w:pPr>
      <w:r>
        <w:t>4. Professional liability insurance below Pinnacle minimum; certificate absent</w:t>
      </w:r>
    </w:p>
    <w:p>
      <w:pPr>
        <w:spacing w:after="60"/>
      </w:pPr>
      <w:r>
        <w:rPr>
          <w:b/>
          <w:color w:val="9C0006"/>
        </w:rPr>
        <w:t xml:space="preserve">CRITICAL  |  </w:t>
      </w:r>
      <w:r>
        <w:rPr>
          <w:b/>
          <w:color w:val="1F4E79"/>
        </w:rPr>
        <w:t xml:space="preserve">Documents: </w:t>
      </w:r>
      <w:r>
        <w:t>Engagement letter §12; OCG §§II.1(g), II.3</w:t>
      </w:r>
    </w:p>
    <w:p>
      <w:pPr>
        <w:spacing w:after="60"/>
      </w:pPr>
      <w:r>
        <w:rPr>
          <w:b/>
          <w:color w:val="1F4E79"/>
        </w:rPr>
        <w:t xml:space="preserve">Guideline:  </w:t>
      </w:r>
      <w:r>
        <w:t>Minimum coverage is $25m per occurrence and $50m aggregate; provide proof with conflicts clearance, confirm A.M. Best A- or better and no relevant exclusions, and update annually.</w:t>
      </w:r>
    </w:p>
    <w:p>
      <w:pPr>
        <w:spacing w:after="60"/>
      </w:pPr>
      <w:r>
        <w:rPr>
          <w:b/>
          <w:color w:val="1F4E79"/>
        </w:rPr>
        <w:t xml:space="preserve">Assessment:  </w:t>
      </w:r>
      <w:r>
        <w:t>HB&amp;C represents coverage of only $10m per occurrence/$20m aggregate—less than half the OCG minimum—and provides no certificate, carrier rating, or exclusions information. Its promise to maintain “such coverage, or substantially equivalent” does not satisfy the stated minimum.</w:t>
      </w:r>
    </w:p>
    <w:p>
      <w:pPr>
        <w:spacing w:after="60"/>
      </w:pPr>
      <w:r>
        <w:rPr>
          <w:b/>
          <w:color w:val="1F4E79"/>
        </w:rPr>
        <w:t xml:space="preserve">Required action:  </w:t>
      </w:r>
      <w:r>
        <w:t>Require current certificate/declarations and written confirmation of the carrier rating and relevant exclusions showing at least $25m/$50m. Do not engage/continue unless compliant; any exception must be separately documented and approved by the GC if the OCG permits it.</w:t>
      </w:r>
    </w:p>
    <w:p>
      <w:pPr>
        <w:pStyle w:val="Heading2"/>
      </w:pPr>
      <w:r>
        <w:t>5. Proposed rates exceed OCG ceilings; escalation and blended option are noncompliant</w:t>
      </w:r>
    </w:p>
    <w:p>
      <w:pPr>
        <w:spacing w:after="60"/>
      </w:pPr>
      <w:r>
        <w:rPr>
          <w:b/>
          <w:color w:val="9C0006"/>
        </w:rPr>
        <w:t xml:space="preserve">HIGH  |  Documents: </w:t>
      </w:r>
      <w:r>
        <w:t>Engagement letter §§3, Exhibit A; staffing plan §§2, 5; OCG §§III.1–3.</w:t>
      </w:r>
    </w:p>
    <w:p>
      <w:pPr>
        <w:spacing w:after="60"/>
      </w:pPr>
      <w:r>
        <w:rPr>
          <w:b/>
          <w:color w:val="1F4E79"/>
        </w:rPr>
        <w:t xml:space="preserve">Guideline:  </w:t>
      </w:r>
      <w:r>
        <w:t>The OCG caps rates by role, fixes rates for the engagement-start calendar year, requires prior written GC approval for any later increase, and caps approved blended rates at $625/hour.</w:t>
      </w:r>
    </w:p>
    <w:p>
      <w:r>
        <w:t>Every currently stated core-team rate exceeds the maximum. The engagement letter’s fee-election checkboxes are blank, so it also does not establish whether standard or blended pricing is elected. Based on the 1,880 core-team hours in the staffing plan, the current-rate estimate is $1,141,500; applying OCG caps to those same hours yields $996,500, a $145,000 reduction before any other changes. This is not an approved rate exception.</w:t>
      </w:r>
    </w:p>
    <w:tbl>
      <w:tblPr>
        <w:tblStyle w:val="TableGrid"/>
        <w:tblW w:type="auto" w:w="0"/>
        <w:jc w:val="center"/>
        <w:tblLayout w:type="fixed"/>
        <w:tblLook w:firstColumn="1" w:firstRow="1" w:lastColumn="0" w:lastRow="0" w:noHBand="0" w:noVBand="1" w:val="04A0"/>
      </w:tblPr>
      <w:tblGrid>
        <w:gridCol w:w="4176"/>
        <w:gridCol w:w="1872"/>
        <w:gridCol w:w="1872"/>
        <w:gridCol w:w="1872"/>
      </w:tblGrid>
      <w:tr>
        <w:trPr>
          <w:tblHeader w:val="true"/>
          <w:cantSplit/>
        </w:trPr>
        <w:tc>
          <w:tcPr>
            <w:tcW w:type="dxa" w:w="2498"/>
            <w:shd w:fill="17365D"/>
            <w:tcMar>
              <w:top w:w="80" w:type="dxa"/>
              <w:start w:w="90" w:type="dxa"/>
              <w:bottom w:w="80" w:type="dxa"/>
              <w:end w:w="90" w:type="dxa"/>
            </w:tcMar>
            <w:vAlign w:val="center"/>
          </w:tcPr>
          <w:p>
            <w:pPr>
              <w:spacing w:after="0"/>
            </w:pPr>
            <w:r/>
            <w:r>
              <w:rPr>
                <w:b/>
                <w:color w:val="FFFFFF"/>
                <w:sz w:val="16"/>
              </w:rPr>
              <w:t>Timekeeper/category</w:t>
            </w:r>
          </w:p>
        </w:tc>
        <w:tc>
          <w:tcPr>
            <w:tcW w:type="dxa" w:w="2498"/>
            <w:shd w:fill="17365D"/>
            <w:tcMar>
              <w:top w:w="80" w:type="dxa"/>
              <w:start w:w="90" w:type="dxa"/>
              <w:bottom w:w="80" w:type="dxa"/>
              <w:end w:w="90" w:type="dxa"/>
            </w:tcMar>
            <w:vAlign w:val="center"/>
          </w:tcPr>
          <w:p>
            <w:pPr>
              <w:spacing w:after="0"/>
            </w:pPr>
            <w:r/>
            <w:r>
              <w:rPr>
                <w:b/>
                <w:color w:val="FFFFFF"/>
                <w:sz w:val="16"/>
              </w:rPr>
              <w:t>Proposed</w:t>
            </w:r>
          </w:p>
        </w:tc>
        <w:tc>
          <w:tcPr>
            <w:tcW w:type="dxa" w:w="2498"/>
            <w:shd w:fill="17365D"/>
            <w:tcMar>
              <w:top w:w="80" w:type="dxa"/>
              <w:start w:w="90" w:type="dxa"/>
              <w:bottom w:w="80" w:type="dxa"/>
              <w:end w:w="90" w:type="dxa"/>
            </w:tcMar>
            <w:vAlign w:val="center"/>
          </w:tcPr>
          <w:p>
            <w:pPr>
              <w:spacing w:after="0"/>
            </w:pPr>
            <w:r/>
            <w:r>
              <w:rPr>
                <w:b/>
                <w:color w:val="FFFFFF"/>
                <w:sz w:val="16"/>
              </w:rPr>
              <w:t>OCG cap</w:t>
            </w:r>
          </w:p>
        </w:tc>
        <w:tc>
          <w:tcPr>
            <w:tcW w:type="dxa" w:w="2498"/>
            <w:shd w:fill="17365D"/>
            <w:tcMar>
              <w:top w:w="80" w:type="dxa"/>
              <w:start w:w="90" w:type="dxa"/>
              <w:bottom w:w="80" w:type="dxa"/>
              <w:end w:w="90" w:type="dxa"/>
            </w:tcMar>
            <w:vAlign w:val="center"/>
          </w:tcPr>
          <w:p>
            <w:pPr>
              <w:spacing w:after="0"/>
            </w:pPr>
            <w:r/>
            <w:r>
              <w:rPr>
                <w:b/>
                <w:color w:val="FFFFFF"/>
                <w:sz w:val="16"/>
              </w:rPr>
              <w:t>Excess</w:t>
            </w:r>
          </w:p>
        </w:tc>
      </w:tr>
      <w:tr>
        <w:trPr>
          <w:cantSplit/>
        </w:trPr>
        <w:tc>
          <w:tcPr>
            <w:tcW w:type="dxa" w:w="4176"/>
            <w:tcMar>
              <w:top w:w="80" w:type="dxa"/>
              <w:start w:w="90" w:type="dxa"/>
              <w:bottom w:w="80" w:type="dxa"/>
              <w:end w:w="90" w:type="dxa"/>
            </w:tcMar>
            <w:vAlign w:val="center"/>
          </w:tcPr>
          <w:p>
            <w:pPr>
              <w:spacing w:after="0" w:line="240" w:lineRule="auto"/>
            </w:pPr>
            <w:r/>
            <w:r>
              <w:rPr>
                <w:b/>
                <w:sz w:val="16"/>
              </w:rPr>
              <w:t>Morrow — equity partner</w:t>
            </w:r>
          </w:p>
        </w:tc>
        <w:tc>
          <w:tcPr>
            <w:tcW w:type="dxa" w:w="1872"/>
            <w:tcMar>
              <w:top w:w="80" w:type="dxa"/>
              <w:start w:w="90" w:type="dxa"/>
              <w:bottom w:w="80" w:type="dxa"/>
              <w:end w:w="90" w:type="dxa"/>
            </w:tcMar>
            <w:vAlign w:val="center"/>
          </w:tcPr>
          <w:p>
            <w:pPr>
              <w:spacing w:after="0" w:line="240" w:lineRule="auto"/>
            </w:pPr>
            <w:r/>
            <w:r>
              <w:rPr>
                <w:sz w:val="16"/>
              </w:rPr>
              <w:t>$1,050</w:t>
            </w:r>
          </w:p>
        </w:tc>
        <w:tc>
          <w:tcPr>
            <w:tcW w:type="dxa" w:w="1872"/>
            <w:tcMar>
              <w:top w:w="80" w:type="dxa"/>
              <w:start w:w="90" w:type="dxa"/>
              <w:bottom w:w="80" w:type="dxa"/>
              <w:end w:w="90" w:type="dxa"/>
            </w:tcMar>
            <w:vAlign w:val="center"/>
          </w:tcPr>
          <w:p>
            <w:pPr>
              <w:spacing w:after="0" w:line="240" w:lineRule="auto"/>
            </w:pPr>
            <w:r/>
            <w:r>
              <w:rPr>
                <w:sz w:val="16"/>
              </w:rPr>
              <w:t>$850</w:t>
            </w:r>
          </w:p>
        </w:tc>
        <w:tc>
          <w:tcPr>
            <w:tcW w:type="dxa" w:w="1872"/>
            <w:tcMar>
              <w:top w:w="80" w:type="dxa"/>
              <w:start w:w="90" w:type="dxa"/>
              <w:bottom w:w="80" w:type="dxa"/>
              <w:end w:w="90" w:type="dxa"/>
            </w:tcMar>
            <w:vAlign w:val="center"/>
          </w:tcPr>
          <w:p>
            <w:pPr>
              <w:spacing w:after="0" w:line="240" w:lineRule="auto"/>
            </w:pPr>
            <w:r/>
            <w:r>
              <w:rPr>
                <w:sz w:val="16"/>
              </w:rPr>
              <w:t>$200/hr</w:t>
            </w:r>
          </w:p>
        </w:tc>
      </w:tr>
      <w:tr>
        <w:trPr>
          <w:cantSplit/>
        </w:trPr>
        <w:tc>
          <w:tcPr>
            <w:tcW w:type="dxa" w:w="4176"/>
            <w:tcMar>
              <w:top w:w="80" w:type="dxa"/>
              <w:start w:w="90" w:type="dxa"/>
              <w:bottom w:w="80" w:type="dxa"/>
              <w:end w:w="90" w:type="dxa"/>
            </w:tcMar>
            <w:vAlign w:val="center"/>
            <w:shd w:fill="F5F8FB"/>
          </w:tcPr>
          <w:p>
            <w:pPr>
              <w:spacing w:after="0" w:line="240" w:lineRule="auto"/>
            </w:pPr>
            <w:r/>
            <w:r>
              <w:rPr>
                <w:b/>
                <w:sz w:val="16"/>
              </w:rPr>
              <w:t>Alcott — equity partner</w:t>
            </w:r>
          </w:p>
        </w:tc>
        <w:tc>
          <w:tcPr>
            <w:tcW w:type="dxa" w:w="1872"/>
            <w:tcMar>
              <w:top w:w="80" w:type="dxa"/>
              <w:start w:w="90" w:type="dxa"/>
              <w:bottom w:w="80" w:type="dxa"/>
              <w:end w:w="90" w:type="dxa"/>
            </w:tcMar>
            <w:vAlign w:val="center"/>
            <w:shd w:fill="F5F8FB"/>
          </w:tcPr>
          <w:p>
            <w:pPr>
              <w:spacing w:after="0" w:line="240" w:lineRule="auto"/>
            </w:pPr>
            <w:r/>
            <w:r>
              <w:rPr>
                <w:sz w:val="16"/>
              </w:rPr>
              <w:t>$975</w:t>
            </w:r>
          </w:p>
        </w:tc>
        <w:tc>
          <w:tcPr>
            <w:tcW w:type="dxa" w:w="1872"/>
            <w:tcMar>
              <w:top w:w="80" w:type="dxa"/>
              <w:start w:w="90" w:type="dxa"/>
              <w:bottom w:w="80" w:type="dxa"/>
              <w:end w:w="90" w:type="dxa"/>
            </w:tcMar>
            <w:vAlign w:val="center"/>
            <w:shd w:fill="F5F8FB"/>
          </w:tcPr>
          <w:p>
            <w:pPr>
              <w:spacing w:after="0" w:line="240" w:lineRule="auto"/>
            </w:pPr>
            <w:r/>
            <w:r>
              <w:rPr>
                <w:sz w:val="16"/>
              </w:rPr>
              <w:t>$850</w:t>
            </w:r>
          </w:p>
        </w:tc>
        <w:tc>
          <w:tcPr>
            <w:tcW w:type="dxa" w:w="1872"/>
            <w:tcMar>
              <w:top w:w="80" w:type="dxa"/>
              <w:start w:w="90" w:type="dxa"/>
              <w:bottom w:w="80" w:type="dxa"/>
              <w:end w:w="90" w:type="dxa"/>
            </w:tcMar>
            <w:vAlign w:val="center"/>
            <w:shd w:fill="F5F8FB"/>
          </w:tcPr>
          <w:p>
            <w:pPr>
              <w:spacing w:after="0" w:line="240" w:lineRule="auto"/>
            </w:pPr>
            <w:r/>
            <w:r>
              <w:rPr>
                <w:sz w:val="16"/>
              </w:rPr>
              <w:t>$125/hr</w:t>
            </w:r>
          </w:p>
        </w:tc>
      </w:tr>
      <w:tr>
        <w:trPr>
          <w:cantSplit/>
        </w:trPr>
        <w:tc>
          <w:tcPr>
            <w:tcW w:type="dxa" w:w="4176"/>
            <w:tcMar>
              <w:top w:w="80" w:type="dxa"/>
              <w:start w:w="90" w:type="dxa"/>
              <w:bottom w:w="80" w:type="dxa"/>
              <w:end w:w="90" w:type="dxa"/>
            </w:tcMar>
            <w:vAlign w:val="center"/>
          </w:tcPr>
          <w:p>
            <w:pPr>
              <w:spacing w:after="0" w:line="240" w:lineRule="auto"/>
            </w:pPr>
            <w:r/>
            <w:r>
              <w:rPr>
                <w:b/>
                <w:sz w:val="16"/>
              </w:rPr>
              <w:t>Dasgupta — senior associate (7 yrs)</w:t>
            </w:r>
          </w:p>
        </w:tc>
        <w:tc>
          <w:tcPr>
            <w:tcW w:type="dxa" w:w="1872"/>
            <w:tcMar>
              <w:top w:w="80" w:type="dxa"/>
              <w:start w:w="90" w:type="dxa"/>
              <w:bottom w:w="80" w:type="dxa"/>
              <w:end w:w="90" w:type="dxa"/>
            </w:tcMar>
            <w:vAlign w:val="center"/>
          </w:tcPr>
          <w:p>
            <w:pPr>
              <w:spacing w:after="0" w:line="240" w:lineRule="auto"/>
            </w:pPr>
            <w:r/>
            <w:r>
              <w:rPr>
                <w:sz w:val="16"/>
              </w:rPr>
              <w:t>$625</w:t>
            </w:r>
          </w:p>
        </w:tc>
        <w:tc>
          <w:tcPr>
            <w:tcW w:type="dxa" w:w="1872"/>
            <w:tcMar>
              <w:top w:w="80" w:type="dxa"/>
              <w:start w:w="90" w:type="dxa"/>
              <w:bottom w:w="80" w:type="dxa"/>
              <w:end w:w="90" w:type="dxa"/>
            </w:tcMar>
            <w:vAlign w:val="center"/>
          </w:tcPr>
          <w:p>
            <w:pPr>
              <w:spacing w:after="0" w:line="240" w:lineRule="auto"/>
            </w:pPr>
            <w:r/>
            <w:r>
              <w:rPr>
                <w:sz w:val="16"/>
              </w:rPr>
              <w:t>$575</w:t>
            </w:r>
          </w:p>
        </w:tc>
        <w:tc>
          <w:tcPr>
            <w:tcW w:type="dxa" w:w="1872"/>
            <w:tcMar>
              <w:top w:w="80" w:type="dxa"/>
              <w:start w:w="90" w:type="dxa"/>
              <w:bottom w:w="80" w:type="dxa"/>
              <w:end w:w="90" w:type="dxa"/>
            </w:tcMar>
            <w:vAlign w:val="center"/>
          </w:tcPr>
          <w:p>
            <w:pPr>
              <w:spacing w:after="0" w:line="240" w:lineRule="auto"/>
            </w:pPr>
            <w:r/>
            <w:r>
              <w:rPr>
                <w:sz w:val="16"/>
              </w:rPr>
              <w:t>$50/hr</w:t>
            </w:r>
          </w:p>
        </w:tc>
      </w:tr>
      <w:tr>
        <w:trPr>
          <w:cantSplit/>
        </w:trPr>
        <w:tc>
          <w:tcPr>
            <w:tcW w:type="dxa" w:w="4176"/>
            <w:tcMar>
              <w:top w:w="80" w:type="dxa"/>
              <w:start w:w="90" w:type="dxa"/>
              <w:bottom w:w="80" w:type="dxa"/>
              <w:end w:w="90" w:type="dxa"/>
            </w:tcMar>
            <w:vAlign w:val="center"/>
            <w:shd w:fill="F5F8FB"/>
          </w:tcPr>
          <w:p>
            <w:pPr>
              <w:spacing w:after="0" w:line="240" w:lineRule="auto"/>
            </w:pPr>
            <w:r/>
            <w:r>
              <w:rPr>
                <w:b/>
                <w:sz w:val="16"/>
              </w:rPr>
              <w:t>Marsh — junior associate (3 yrs)</w:t>
            </w:r>
          </w:p>
        </w:tc>
        <w:tc>
          <w:tcPr>
            <w:tcW w:type="dxa" w:w="1872"/>
            <w:tcMar>
              <w:top w:w="80" w:type="dxa"/>
              <w:start w:w="90" w:type="dxa"/>
              <w:bottom w:w="80" w:type="dxa"/>
              <w:end w:w="90" w:type="dxa"/>
            </w:tcMar>
            <w:vAlign w:val="center"/>
            <w:shd w:fill="F5F8FB"/>
          </w:tcPr>
          <w:p>
            <w:pPr>
              <w:spacing w:after="0" w:line="240" w:lineRule="auto"/>
            </w:pPr>
            <w:r/>
            <w:r>
              <w:rPr>
                <w:sz w:val="16"/>
              </w:rPr>
              <w:t>$475</w:t>
            </w:r>
          </w:p>
        </w:tc>
        <w:tc>
          <w:tcPr>
            <w:tcW w:type="dxa" w:w="1872"/>
            <w:tcMar>
              <w:top w:w="80" w:type="dxa"/>
              <w:start w:w="90" w:type="dxa"/>
              <w:bottom w:w="80" w:type="dxa"/>
              <w:end w:w="90" w:type="dxa"/>
            </w:tcMar>
            <w:vAlign w:val="center"/>
            <w:shd w:fill="F5F8FB"/>
          </w:tcPr>
          <w:p>
            <w:pPr>
              <w:spacing w:after="0" w:line="240" w:lineRule="auto"/>
            </w:pPr>
            <w:r/>
            <w:r>
              <w:rPr>
                <w:sz w:val="16"/>
              </w:rPr>
              <w:t>$425</w:t>
            </w:r>
          </w:p>
        </w:tc>
        <w:tc>
          <w:tcPr>
            <w:tcW w:type="dxa" w:w="1872"/>
            <w:tcMar>
              <w:top w:w="80" w:type="dxa"/>
              <w:start w:w="90" w:type="dxa"/>
              <w:bottom w:w="80" w:type="dxa"/>
              <w:end w:w="90" w:type="dxa"/>
            </w:tcMar>
            <w:vAlign w:val="center"/>
            <w:shd w:fill="F5F8FB"/>
          </w:tcPr>
          <w:p>
            <w:pPr>
              <w:spacing w:after="0" w:line="240" w:lineRule="auto"/>
            </w:pPr>
            <w:r/>
            <w:r>
              <w:rPr>
                <w:sz w:val="16"/>
              </w:rPr>
              <w:t>$50/hr</w:t>
            </w:r>
          </w:p>
        </w:tc>
      </w:tr>
      <w:tr>
        <w:trPr>
          <w:cantSplit/>
        </w:trPr>
        <w:tc>
          <w:tcPr>
            <w:tcW w:type="dxa" w:w="4176"/>
            <w:tcMar>
              <w:top w:w="80" w:type="dxa"/>
              <w:start w:w="90" w:type="dxa"/>
              <w:bottom w:w="80" w:type="dxa"/>
              <w:end w:w="90" w:type="dxa"/>
            </w:tcMar>
            <w:vAlign w:val="center"/>
          </w:tcPr>
          <w:p>
            <w:pPr>
              <w:spacing w:after="0" w:line="240" w:lineRule="auto"/>
            </w:pPr>
            <w:r/>
            <w:r>
              <w:rPr>
                <w:b/>
                <w:sz w:val="16"/>
              </w:rPr>
              <w:t>Solano — senior paralegal</w:t>
            </w:r>
          </w:p>
        </w:tc>
        <w:tc>
          <w:tcPr>
            <w:tcW w:type="dxa" w:w="1872"/>
            <w:tcMar>
              <w:top w:w="80" w:type="dxa"/>
              <w:start w:w="90" w:type="dxa"/>
              <w:bottom w:w="80" w:type="dxa"/>
              <w:end w:w="90" w:type="dxa"/>
            </w:tcMar>
            <w:vAlign w:val="center"/>
          </w:tcPr>
          <w:p>
            <w:pPr>
              <w:spacing w:after="0" w:line="240" w:lineRule="auto"/>
            </w:pPr>
            <w:r/>
            <w:r>
              <w:rPr>
                <w:sz w:val="16"/>
              </w:rPr>
              <w:t>$275</w:t>
            </w:r>
          </w:p>
        </w:tc>
        <w:tc>
          <w:tcPr>
            <w:tcW w:type="dxa" w:w="1872"/>
            <w:tcMar>
              <w:top w:w="80" w:type="dxa"/>
              <w:start w:w="90" w:type="dxa"/>
              <w:bottom w:w="80" w:type="dxa"/>
              <w:end w:w="90" w:type="dxa"/>
            </w:tcMar>
            <w:vAlign w:val="center"/>
          </w:tcPr>
          <w:p>
            <w:pPr>
              <w:spacing w:after="0" w:line="240" w:lineRule="auto"/>
            </w:pPr>
            <w:r/>
            <w:r>
              <w:rPr>
                <w:sz w:val="16"/>
              </w:rPr>
              <w:t>$225</w:t>
            </w:r>
          </w:p>
        </w:tc>
        <w:tc>
          <w:tcPr>
            <w:tcW w:type="dxa" w:w="1872"/>
            <w:tcMar>
              <w:top w:w="80" w:type="dxa"/>
              <w:start w:w="90" w:type="dxa"/>
              <w:bottom w:w="80" w:type="dxa"/>
              <w:end w:w="90" w:type="dxa"/>
            </w:tcMar>
            <w:vAlign w:val="center"/>
          </w:tcPr>
          <w:p>
            <w:pPr>
              <w:spacing w:after="0" w:line="240" w:lineRule="auto"/>
            </w:pPr>
            <w:r/>
            <w:r>
              <w:rPr>
                <w:sz w:val="16"/>
              </w:rPr>
              <w:t>$50/hr</w:t>
            </w:r>
          </w:p>
        </w:tc>
      </w:tr>
      <w:tr>
        <w:trPr>
          <w:cantSplit/>
        </w:trPr>
        <w:tc>
          <w:tcPr>
            <w:tcW w:type="dxa" w:w="4176"/>
            <w:tcMar>
              <w:top w:w="80" w:type="dxa"/>
              <w:start w:w="90" w:type="dxa"/>
              <w:bottom w:w="80" w:type="dxa"/>
              <w:end w:w="90" w:type="dxa"/>
            </w:tcMar>
            <w:vAlign w:val="center"/>
            <w:shd w:fill="F5F8FB"/>
          </w:tcPr>
          <w:p>
            <w:pPr>
              <w:spacing w:after="0" w:line="240" w:lineRule="auto"/>
            </w:pPr>
            <w:r/>
            <w:r>
              <w:rPr>
                <w:b/>
                <w:sz w:val="16"/>
              </w:rPr>
              <w:t>Contract attorney — document review</w:t>
            </w:r>
          </w:p>
        </w:tc>
        <w:tc>
          <w:tcPr>
            <w:tcW w:type="dxa" w:w="1872"/>
            <w:tcMar>
              <w:top w:w="80" w:type="dxa"/>
              <w:start w:w="90" w:type="dxa"/>
              <w:bottom w:w="80" w:type="dxa"/>
              <w:end w:w="90" w:type="dxa"/>
            </w:tcMar>
            <w:vAlign w:val="center"/>
            <w:shd w:fill="F5F8FB"/>
          </w:tcPr>
          <w:p>
            <w:pPr>
              <w:spacing w:after="0" w:line="240" w:lineRule="auto"/>
            </w:pPr>
            <w:r/>
            <w:r>
              <w:rPr>
                <w:sz w:val="16"/>
              </w:rPr>
              <w:t>$350</w:t>
            </w:r>
          </w:p>
        </w:tc>
        <w:tc>
          <w:tcPr>
            <w:tcW w:type="dxa" w:w="1872"/>
            <w:tcMar>
              <w:top w:w="80" w:type="dxa"/>
              <w:start w:w="90" w:type="dxa"/>
              <w:bottom w:w="80" w:type="dxa"/>
              <w:end w:w="90" w:type="dxa"/>
            </w:tcMar>
            <w:vAlign w:val="center"/>
            <w:shd w:fill="F5F8FB"/>
          </w:tcPr>
          <w:p>
            <w:pPr>
              <w:spacing w:after="0" w:line="240" w:lineRule="auto"/>
            </w:pPr>
            <w:r/>
            <w:r>
              <w:rPr>
                <w:sz w:val="16"/>
              </w:rPr>
              <w:t>$225</w:t>
            </w:r>
          </w:p>
        </w:tc>
        <w:tc>
          <w:tcPr>
            <w:tcW w:type="dxa" w:w="1872"/>
            <w:tcMar>
              <w:top w:w="80" w:type="dxa"/>
              <w:start w:w="90" w:type="dxa"/>
              <w:bottom w:w="80" w:type="dxa"/>
              <w:end w:w="90" w:type="dxa"/>
            </w:tcMar>
            <w:vAlign w:val="center"/>
            <w:shd w:fill="F5F8FB"/>
          </w:tcPr>
          <w:p>
            <w:pPr>
              <w:spacing w:after="0" w:line="240" w:lineRule="auto"/>
            </w:pPr>
            <w:r/>
            <w:r>
              <w:rPr>
                <w:sz w:val="16"/>
              </w:rPr>
              <w:t>$125/hr</w:t>
            </w:r>
          </w:p>
        </w:tc>
      </w:tr>
      <w:tr>
        <w:trPr>
          <w:cantSplit/>
        </w:trPr>
        <w:tc>
          <w:tcPr>
            <w:tcW w:type="dxa" w:w="4176"/>
            <w:tcMar>
              <w:top w:w="80" w:type="dxa"/>
              <w:start w:w="90" w:type="dxa"/>
              <w:bottom w:w="80" w:type="dxa"/>
              <w:end w:w="90" w:type="dxa"/>
            </w:tcMar>
            <w:vAlign w:val="center"/>
          </w:tcPr>
          <w:p>
            <w:pPr>
              <w:spacing w:after="0" w:line="240" w:lineRule="auto"/>
            </w:pPr>
            <w:r/>
            <w:r>
              <w:rPr>
                <w:b/>
                <w:sz w:val="16"/>
              </w:rPr>
              <w:t>Blended option</w:t>
            </w:r>
          </w:p>
        </w:tc>
        <w:tc>
          <w:tcPr>
            <w:tcW w:type="dxa" w:w="1872"/>
            <w:tcMar>
              <w:top w:w="80" w:type="dxa"/>
              <w:start w:w="90" w:type="dxa"/>
              <w:bottom w:w="80" w:type="dxa"/>
              <w:end w:w="90" w:type="dxa"/>
            </w:tcMar>
            <w:vAlign w:val="center"/>
          </w:tcPr>
          <w:p>
            <w:pPr>
              <w:spacing w:after="0" w:line="240" w:lineRule="auto"/>
            </w:pPr>
            <w:r/>
            <w:r>
              <w:rPr>
                <w:sz w:val="16"/>
              </w:rPr>
              <w:t>$685</w:t>
            </w:r>
          </w:p>
        </w:tc>
        <w:tc>
          <w:tcPr>
            <w:tcW w:type="dxa" w:w="1872"/>
            <w:tcMar>
              <w:top w:w="80" w:type="dxa"/>
              <w:start w:w="90" w:type="dxa"/>
              <w:bottom w:w="80" w:type="dxa"/>
              <w:end w:w="90" w:type="dxa"/>
            </w:tcMar>
            <w:vAlign w:val="center"/>
          </w:tcPr>
          <w:p>
            <w:pPr>
              <w:spacing w:after="0" w:line="240" w:lineRule="auto"/>
            </w:pPr>
            <w:r/>
            <w:r>
              <w:rPr>
                <w:sz w:val="16"/>
              </w:rPr>
              <w:t>$625</w:t>
            </w:r>
          </w:p>
        </w:tc>
        <w:tc>
          <w:tcPr>
            <w:tcW w:type="dxa" w:w="1872"/>
            <w:tcMar>
              <w:top w:w="80" w:type="dxa"/>
              <w:start w:w="90" w:type="dxa"/>
              <w:bottom w:w="80" w:type="dxa"/>
              <w:end w:w="90" w:type="dxa"/>
            </w:tcMar>
            <w:vAlign w:val="center"/>
          </w:tcPr>
          <w:p>
            <w:pPr>
              <w:spacing w:after="0" w:line="240" w:lineRule="auto"/>
            </w:pPr>
            <w:r/>
            <w:r>
              <w:rPr>
                <w:sz w:val="16"/>
              </w:rPr>
              <w:t>$60/hr</w:t>
            </w:r>
          </w:p>
        </w:tc>
      </w:tr>
    </w:tbl>
    <w:p>
      <w:pPr>
        <w:spacing w:after="0"/>
      </w:pPr>
    </w:p>
    <w:p>
      <w:r>
        <w:t>The proposed contract-attorney rate is also inconsistent with the staffing estimate of 750–1,000 document-review hours: at the $225 OCG ceiling, those hours would cost $168,750–$225,000, rather than $262,500–$350,000 at $350/hour (a $93,750–$125,000 difference). Substantive contract-attorney work may be billed up to the $425 junior-associate ceiling only with prior approval and may not exceed comparable HB&amp;C associate rates.</w:t>
      </w:r>
    </w:p>
    <w:p>
      <w:r>
        <w:t>The $685 blended option is above the $625 limit and requires written approval even if reduced. On the 1,880 stated core hours, it would be $1,287,800—$146,300 above the proposed individual-rate total—so it is not cost-effective on the submitted hours mix. The letter and staffing plan also make a 5% automatic increase effective Jan. 1, 2026. That is ineffective under the OCG; any 2026 proposal had to be submitted by Nov. 1, 2025 and is not effective absent prior written GC approval.</w:t>
      </w:r>
    </w:p>
    <w:p>
      <w:pPr>
        <w:spacing w:after="60"/>
      </w:pPr>
      <w:r>
        <w:rPr>
          <w:b/>
          <w:color w:val="1F4E79"/>
        </w:rPr>
        <w:t xml:space="preserve">Required action:  </w:t>
      </w:r>
      <w:r>
        <w:t>Replace the schedule with capped rates (including identified contract-attorney rates) or secure matter-specific written GC approvals before any affected work. Remove automatic escalation. If proposing a blended rate, cap it at $625, include all timekeepers/individual rates and estimated hours, and obtain written approval.</w:t>
      </w:r>
    </w:p>
    <w:p>
      <w:pPr>
        <w:pStyle w:val="Heading2"/>
      </w:pPr>
      <w:r>
        <w:t>6. Invoice mechanics do not meet LEDES, timing, narrative, or dispute requirements</w:t>
      </w:r>
    </w:p>
    <w:p>
      <w:pPr>
        <w:spacing w:after="60"/>
      </w:pPr>
      <w:r>
        <w:rPr>
          <w:b/>
          <w:color w:val="9C0006"/>
        </w:rPr>
        <w:t xml:space="preserve">HIGH  |  </w:t>
      </w:r>
      <w:r>
        <w:rPr>
          <w:b/>
          <w:color w:val="1F4E79"/>
        </w:rPr>
        <w:t xml:space="preserve">Documents: </w:t>
      </w:r>
      <w:r>
        <w:t>Engagement letter §5; OCG §§III.4–5, XIII.1</w:t>
      </w:r>
    </w:p>
    <w:p>
      <w:pPr>
        <w:spacing w:after="60"/>
      </w:pPr>
      <w:r>
        <w:rPr>
          <w:b/>
          <w:color w:val="1F4E79"/>
        </w:rPr>
        <w:t xml:space="preserve">Guideline:  </w:t>
      </w:r>
      <w:r>
        <w:t>Invoices must be LEDES 1998B through Pinnacle’s platform, submitted within 45 days after month-end, with six-word minimum task descriptions, no block billing, date/timekeeper/rate, expense backup over $250, matter number, and cumulative budget-to-actual. Approved compliant invoices are due 30 days after receipt and approval; invoice disputes may be raised within 60 days.</w:t>
      </w:r>
    </w:p>
    <w:p>
      <w:pPr>
        <w:spacing w:after="60"/>
      </w:pPr>
      <w:r>
        <w:rPr>
          <w:b/>
          <w:color w:val="1F4E79"/>
        </w:rPr>
        <w:t xml:space="preserve">Assessment:  </w:t>
      </w:r>
      <w:r>
        <w:t>The letter permits submission within 60 days, requires only general service descriptions, has no LEDES/platform, six-word, no-block-billing, receipt/documentation, matter-number, or budget-to-actual terms, and starts payment/1.5% monthly interest from invoice date. It asks Pinnacle to raise concerns within 30 days, potentially truncating the OCG’s 60-day dispute period. Interest could also be asserted on disputed/unapproved amounts.</w:t>
      </w:r>
    </w:p>
    <w:p>
      <w:pPr>
        <w:spacing w:after="60"/>
      </w:pPr>
      <w:r>
        <w:rPr>
          <w:b/>
          <w:color w:val="1F4E79"/>
        </w:rPr>
        <w:t xml:space="preserve">Required action:  </w:t>
      </w:r>
      <w:r>
        <w:t>Replace §5 with OCG-compliant terms: LEDES 1998B/platform, 45-day submission, required narrative and supporting detail, payment only for approved compliant invoices within 30 days of receipt/approval, undisputed portions paid while disputed sums follow OCG procedures, and preserve the full 60-day dispute period. Delete interest on disputed/unapproved charges and any deemed waiver after 30 days.</w:t>
      </w:r>
    </w:p>
    <w:p>
      <w:pPr>
        <w:pStyle w:val="Heading2"/>
      </w:pPr>
      <w:r>
        <w:t>7. $250,000 non-refundable retainer conflicts with OCG</w:t>
      </w:r>
    </w:p>
    <w:p>
      <w:pPr>
        <w:spacing w:after="60"/>
      </w:pPr>
      <w:r>
        <w:rPr>
          <w:b/>
          <w:color w:val="9C0006"/>
        </w:rPr>
        <w:t xml:space="preserve">HIGH  |  </w:t>
      </w:r>
      <w:r>
        <w:rPr>
          <w:b/>
          <w:color w:val="1F4E79"/>
        </w:rPr>
        <w:t xml:space="preserve">Documents: </w:t>
      </w:r>
      <w:r>
        <w:t>Engagement letter §4; OCG §III.6</w:t>
      </w:r>
    </w:p>
    <w:p>
      <w:pPr>
        <w:spacing w:after="60"/>
      </w:pPr>
      <w:r>
        <w:rPr>
          <w:b/>
          <w:color w:val="1F4E79"/>
        </w:rPr>
        <w:t xml:space="preserve">Guideline:  </w:t>
      </w:r>
      <w:r>
        <w:t>Retainers are not ordinarily paid; any approved deposit must go to client trust, be refundable to the extent unearned, and be applied only as directed by the GC/in accordance with the OCG. A non-refundable retainer requires extraordinary circumstances and express written GC approval.</w:t>
      </w:r>
    </w:p>
    <w:p>
      <w:pPr>
        <w:spacing w:after="60"/>
      </w:pPr>
      <w:r>
        <w:rPr>
          <w:b/>
          <w:color w:val="1F4E79"/>
        </w:rPr>
        <w:t xml:space="preserve">Assessment:  </w:t>
      </w:r>
      <w:r>
        <w:t>The letter demands $250,000 up front, deposits it to HB&amp;C’s operating account, calls it earned/non-refundable on receipt, and forfeits any unused balance on termination. The statement that it is credited against final invoices does not cure the trust-account, refundable-balance, and approval conflicts.</w:t>
      </w:r>
    </w:p>
    <w:p>
      <w:pPr>
        <w:spacing w:after="60"/>
      </w:pPr>
      <w:r>
        <w:rPr>
          <w:b/>
          <w:color w:val="1F4E79"/>
        </w:rPr>
        <w:t xml:space="preserve">Required action:  </w:t>
      </w:r>
      <w:r>
        <w:t>Delete the retainer absent a documented business need. If Pinnacle agrees to an advance deposit, put it in trust, make it refundable to the extent unearned, and specify application/refund mechanics in writing. Do not accept non-refundable treatment without the required extraordinary-circumstances justification and separate express GC approval.</w:t>
      </w:r>
    </w:p>
    <w:p>
      <w:pPr>
        <w:pStyle w:val="Heading2"/>
      </w:pPr>
      <w:r>
        <w:t>8. Budget is an estimate, excludes major costs, and lacks required controls</w:t>
      </w:r>
    </w:p>
    <w:p>
      <w:pPr>
        <w:spacing w:after="60"/>
      </w:pPr>
      <w:r>
        <w:rPr>
          <w:b/>
          <w:color w:val="9C0006"/>
        </w:rPr>
        <w:t xml:space="preserve">HIGH  |  </w:t>
      </w:r>
      <w:r>
        <w:rPr>
          <w:b/>
          <w:color w:val="1F4E79"/>
        </w:rPr>
        <w:t xml:space="preserve">Documents: </w:t>
      </w:r>
      <w:r>
        <w:t>Engagement letter §§7–8, Exhibit B; staffing plan §4; OCG §§IV.1–4.3</w:t>
      </w:r>
    </w:p>
    <w:p>
      <w:pPr>
        <w:spacing w:after="60"/>
      </w:pPr>
      <w:r>
        <w:rPr>
          <w:b/>
          <w:color w:val="1F4E79"/>
        </w:rPr>
        <w:t xml:space="preserve">Guideline:  </w:t>
      </w:r>
      <w:r>
        <w:t>Within 30 days, submit a detailed phase budget covering all fees and costs—including ESI, experts, contract review, travel and disbursements. Budgets over $500,000 must be presented to the GC and designated attorney. Updates are due within 15 days after each quarter; &gt;10% actual/projected overrun requires immediate notice and written approval before continuing; unapproved overruns are not payable.</w:t>
      </w:r>
    </w:p>
    <w:p>
      <w:pPr>
        <w:spacing w:after="60"/>
      </w:pPr>
      <w:r>
        <w:rPr>
          <w:b/>
          <w:color w:val="1F4E79"/>
        </w:rPr>
        <w:t xml:space="preserve">Assessment:  </w:t>
      </w:r>
      <w:r>
        <w:t>The $2.4m budget is expressly “not a cap,” excludes CrossPoint’s $380,000, extraordinary matters, and success fee, and provides only quarterly updates without the OCG’s deadlines/overrun approval mechanics. The scope includes related proceedings, but the budget excludes government inquiries/third-party interventions; appellate work is separately scoped. Phase 1 and later-phase residuals are not fully itemized. An estimate is not an approved budget, and a separate vendor proposal does not meet the all-in budgeting requirement.</w:t>
      </w:r>
    </w:p>
    <w:p>
      <w:pPr>
        <w:spacing w:after="60"/>
      </w:pPr>
      <w:r>
        <w:rPr>
          <w:b/>
          <w:color w:val="1F4E79"/>
        </w:rPr>
        <w:t xml:space="preserve">Required action:  </w:t>
      </w:r>
      <w:r>
        <w:t>Require a revised, all-in budget and phase assumptions, with fee/cost subcategories and total exposure, before approval. Include the $380,000 ESI estimate, contract review, expert fees, travel, court/reporting costs and other disbursements; identify explicit exclusions and obtain advance written approval before adding them. Present the &gt;$500k budget by video/in person to Yeun and Ridley. Incorporate 15-day quarterly reports and the &gt;10% approval gate. Clarify that no over-budget or out-of-scope amount is payable absent prior written approval.</w:t>
      </w:r>
    </w:p>
    <w:tbl>
      <w:tblPr>
        <w:tblStyle w:val="TableGrid"/>
        <w:tblW w:type="auto" w:w="0"/>
        <w:jc w:val="center"/>
        <w:tblLayout w:type="fixed"/>
        <w:tblLook w:firstColumn="1" w:firstRow="1" w:lastColumn="0" w:lastRow="0" w:noHBand="0" w:noVBand="1" w:val="04A0"/>
      </w:tblPr>
      <w:tblGrid>
        <w:gridCol w:w="4680"/>
        <w:gridCol w:w="5112"/>
      </w:tblGrid>
      <w:tr>
        <w:trPr>
          <w:tblHeader w:val="true"/>
          <w:cantSplit/>
        </w:trPr>
        <w:tc>
          <w:tcPr>
            <w:tcW w:type="dxa" w:w="4997"/>
            <w:shd w:fill="17365D"/>
            <w:tcMar>
              <w:top w:w="80" w:type="dxa"/>
              <w:start w:w="90" w:type="dxa"/>
              <w:bottom w:w="80" w:type="dxa"/>
              <w:end w:w="90" w:type="dxa"/>
            </w:tcMar>
            <w:vAlign w:val="center"/>
          </w:tcPr>
          <w:p>
            <w:pPr>
              <w:spacing w:after="0"/>
            </w:pPr>
            <w:r/>
            <w:r>
              <w:rPr>
                <w:b/>
                <w:color w:val="FFFFFF"/>
                <w:sz w:val="16"/>
              </w:rPr>
              <w:t>Cost component in packet</w:t>
            </w:r>
          </w:p>
        </w:tc>
        <w:tc>
          <w:tcPr>
            <w:tcW w:type="dxa" w:w="4997"/>
            <w:shd w:fill="17365D"/>
            <w:tcMar>
              <w:top w:w="80" w:type="dxa"/>
              <w:start w:w="90" w:type="dxa"/>
              <w:bottom w:w="80" w:type="dxa"/>
              <w:end w:w="90" w:type="dxa"/>
            </w:tcMar>
            <w:vAlign w:val="center"/>
          </w:tcPr>
          <w:p>
            <w:pPr>
              <w:spacing w:after="0"/>
            </w:pPr>
            <w:r/>
            <w:r>
              <w:rPr>
                <w:b/>
                <w:color w:val="FFFFFF"/>
                <w:sz w:val="16"/>
              </w:rPr>
              <w:t>Amount / issue</w:t>
            </w:r>
          </w:p>
        </w:tc>
      </w:tr>
      <w:tr>
        <w:trPr>
          <w:cantSplit/>
        </w:trPr>
        <w:tc>
          <w:tcPr>
            <w:tcW w:type="dxa" w:w="4680"/>
            <w:tcMar>
              <w:top w:w="80" w:type="dxa"/>
              <w:start w:w="90" w:type="dxa"/>
              <w:bottom w:w="80" w:type="dxa"/>
              <w:end w:w="90" w:type="dxa"/>
            </w:tcMar>
            <w:vAlign w:val="center"/>
          </w:tcPr>
          <w:p>
            <w:pPr>
              <w:spacing w:after="0" w:line="240" w:lineRule="auto"/>
            </w:pPr>
            <w:r/>
            <w:r>
              <w:rPr>
                <w:b/>
                <w:sz w:val="16"/>
              </w:rPr>
              <w:t>HB&amp;C through-trial budget</w:t>
            </w:r>
          </w:p>
        </w:tc>
        <w:tc>
          <w:tcPr>
            <w:tcW w:type="dxa" w:w="5112"/>
            <w:tcMar>
              <w:top w:w="80" w:type="dxa"/>
              <w:start w:w="90" w:type="dxa"/>
              <w:bottom w:w="80" w:type="dxa"/>
              <w:end w:w="90" w:type="dxa"/>
            </w:tcMar>
            <w:vAlign w:val="center"/>
          </w:tcPr>
          <w:p>
            <w:pPr>
              <w:spacing w:after="0" w:line="240" w:lineRule="auto"/>
            </w:pPr>
            <w:r/>
            <w:r>
              <w:rPr>
                <w:sz w:val="16"/>
              </w:rPr>
              <w:t>$2,400,000; estimate only, not a cap or approved budget</w:t>
            </w:r>
          </w:p>
        </w:tc>
      </w:tr>
      <w:tr>
        <w:trPr>
          <w:cantSplit/>
        </w:trPr>
        <w:tc>
          <w:tcPr>
            <w:tcW w:type="dxa" w:w="4680"/>
            <w:tcMar>
              <w:top w:w="80" w:type="dxa"/>
              <w:start w:w="90" w:type="dxa"/>
              <w:bottom w:w="80" w:type="dxa"/>
              <w:end w:w="90" w:type="dxa"/>
            </w:tcMar>
            <w:vAlign w:val="center"/>
            <w:shd w:fill="F5F8FB"/>
          </w:tcPr>
          <w:p>
            <w:pPr>
              <w:spacing w:after="0" w:line="240" w:lineRule="auto"/>
            </w:pPr>
            <w:r/>
            <w:r>
              <w:rPr>
                <w:b/>
                <w:sz w:val="16"/>
              </w:rPr>
              <w:t>CrossPoint e-discovery</w:t>
            </w:r>
          </w:p>
        </w:tc>
        <w:tc>
          <w:tcPr>
            <w:tcW w:type="dxa" w:w="5112"/>
            <w:tcMar>
              <w:top w:w="80" w:type="dxa"/>
              <w:start w:w="90" w:type="dxa"/>
              <w:bottom w:w="80" w:type="dxa"/>
              <w:end w:w="90" w:type="dxa"/>
            </w:tcMar>
            <w:vAlign w:val="center"/>
            <w:shd w:fill="F5F8FB"/>
          </w:tcPr>
          <w:p>
            <w:pPr>
              <w:spacing w:after="0" w:line="240" w:lineRule="auto"/>
            </w:pPr>
            <w:r/>
            <w:r>
              <w:rPr>
                <w:sz w:val="16"/>
              </w:rPr>
              <w:t>$380,000 excluded from HB&amp;C budget</w:t>
            </w:r>
          </w:p>
        </w:tc>
      </w:tr>
      <w:tr>
        <w:trPr>
          <w:cantSplit/>
        </w:trPr>
        <w:tc>
          <w:tcPr>
            <w:tcW w:type="dxa" w:w="4680"/>
            <w:tcMar>
              <w:top w:w="80" w:type="dxa"/>
              <w:start w:w="90" w:type="dxa"/>
              <w:bottom w:w="80" w:type="dxa"/>
              <w:end w:w="90" w:type="dxa"/>
            </w:tcMar>
            <w:vAlign w:val="center"/>
          </w:tcPr>
          <w:p>
            <w:pPr>
              <w:spacing w:after="0" w:line="240" w:lineRule="auto"/>
            </w:pPr>
            <w:r/>
            <w:r>
              <w:rPr>
                <w:b/>
                <w:sz w:val="16"/>
              </w:rPr>
              <w:t>Stated subtotal before success fee / extras</w:t>
            </w:r>
          </w:p>
        </w:tc>
        <w:tc>
          <w:tcPr>
            <w:tcW w:type="dxa" w:w="5112"/>
            <w:tcMar>
              <w:top w:w="80" w:type="dxa"/>
              <w:start w:w="90" w:type="dxa"/>
              <w:bottom w:w="80" w:type="dxa"/>
              <w:end w:w="90" w:type="dxa"/>
            </w:tcMar>
            <w:vAlign w:val="center"/>
          </w:tcPr>
          <w:p>
            <w:pPr>
              <w:spacing w:after="0" w:line="240" w:lineRule="auto"/>
            </w:pPr>
            <w:r/>
            <w:r>
              <w:rPr>
                <w:sz w:val="16"/>
              </w:rPr>
              <w:t>$2,780,000</w:t>
            </w:r>
          </w:p>
        </w:tc>
      </w:tr>
      <w:tr>
        <w:trPr>
          <w:cantSplit/>
        </w:trPr>
        <w:tc>
          <w:tcPr>
            <w:tcW w:type="dxa" w:w="4680"/>
            <w:tcMar>
              <w:top w:w="80" w:type="dxa"/>
              <w:start w:w="90" w:type="dxa"/>
              <w:bottom w:w="80" w:type="dxa"/>
              <w:end w:w="90" w:type="dxa"/>
            </w:tcMar>
            <w:vAlign w:val="center"/>
            <w:shd w:fill="F5F8FB"/>
          </w:tcPr>
          <w:p>
            <w:pPr>
              <w:spacing w:after="0" w:line="240" w:lineRule="auto"/>
            </w:pPr>
            <w:r/>
            <w:r>
              <w:rPr>
                <w:b/>
                <w:sz w:val="16"/>
              </w:rPr>
              <w:t>Success-fee illustration at $4m resolution</w:t>
            </w:r>
          </w:p>
        </w:tc>
        <w:tc>
          <w:tcPr>
            <w:tcW w:type="dxa" w:w="5112"/>
            <w:tcMar>
              <w:top w:w="80" w:type="dxa"/>
              <w:start w:w="90" w:type="dxa"/>
              <w:bottom w:w="80" w:type="dxa"/>
              <w:end w:w="90" w:type="dxa"/>
            </w:tcMar>
            <w:vAlign w:val="center"/>
            <w:shd w:fill="F5F8FB"/>
          </w:tcPr>
          <w:p>
            <w:pPr>
              <w:spacing w:after="0" w:line="240" w:lineRule="auto"/>
            </w:pPr>
            <w:r/>
            <w:r>
              <w:rPr>
                <w:sz w:val="16"/>
              </w:rPr>
              <w:t>$1,020,000; would take stated subtotal to $3,800,000</w:t>
            </w:r>
          </w:p>
        </w:tc>
      </w:tr>
      <w:tr>
        <w:trPr>
          <w:cantSplit/>
        </w:trPr>
        <w:tc>
          <w:tcPr>
            <w:tcW w:type="dxa" w:w="4680"/>
            <w:tcMar>
              <w:top w:w="80" w:type="dxa"/>
              <w:start w:w="90" w:type="dxa"/>
              <w:bottom w:w="80" w:type="dxa"/>
              <w:end w:w="90" w:type="dxa"/>
            </w:tcMar>
            <w:vAlign w:val="center"/>
          </w:tcPr>
          <w:p>
            <w:pPr>
              <w:spacing w:after="0" w:line="240" w:lineRule="auto"/>
            </w:pPr>
            <w:r/>
            <w:r>
              <w:rPr>
                <w:b/>
                <w:sz w:val="16"/>
              </w:rPr>
              <w:t>Formula maximum if resolution amount is $0</w:t>
            </w:r>
          </w:p>
        </w:tc>
        <w:tc>
          <w:tcPr>
            <w:tcW w:type="dxa" w:w="5112"/>
            <w:tcMar>
              <w:top w:w="80" w:type="dxa"/>
              <w:start w:w="90" w:type="dxa"/>
              <w:bottom w:w="80" w:type="dxa"/>
              <w:end w:w="90" w:type="dxa"/>
            </w:tcMar>
            <w:vAlign w:val="center"/>
          </w:tcPr>
          <w:p>
            <w:pPr>
              <w:spacing w:after="0" w:line="240" w:lineRule="auto"/>
            </w:pPr>
            <w:r/>
            <w:r>
              <w:rPr>
                <w:sz w:val="16"/>
              </w:rPr>
              <w:t>$1,420,000; stated subtotal could reach $4,200,000 before extras</w:t>
            </w:r>
          </w:p>
        </w:tc>
      </w:tr>
      <w:tr>
        <w:trPr>
          <w:cantSplit/>
        </w:trPr>
        <w:tc>
          <w:tcPr>
            <w:tcW w:type="dxa" w:w="4680"/>
            <w:tcMar>
              <w:top w:w="80" w:type="dxa"/>
              <w:start w:w="90" w:type="dxa"/>
              <w:bottom w:w="80" w:type="dxa"/>
              <w:end w:w="90" w:type="dxa"/>
            </w:tcMar>
            <w:vAlign w:val="center"/>
            <w:shd w:fill="F5F8FB"/>
          </w:tcPr>
          <w:p>
            <w:pPr>
              <w:spacing w:after="0" w:line="240" w:lineRule="auto"/>
            </w:pPr>
            <w:r/>
            <w:r>
              <w:rPr>
                <w:b/>
                <w:sz w:val="16"/>
              </w:rPr>
              <w:t>Retainer</w:t>
            </w:r>
          </w:p>
        </w:tc>
        <w:tc>
          <w:tcPr>
            <w:tcW w:type="dxa" w:w="5112"/>
            <w:tcMar>
              <w:top w:w="80" w:type="dxa"/>
              <w:start w:w="90" w:type="dxa"/>
              <w:bottom w:w="80" w:type="dxa"/>
              <w:end w:w="90" w:type="dxa"/>
            </w:tcMar>
            <w:vAlign w:val="center"/>
            <w:shd w:fill="F5F8FB"/>
          </w:tcPr>
          <w:p>
            <w:pPr>
              <w:spacing w:after="0" w:line="240" w:lineRule="auto"/>
            </w:pPr>
            <w:r/>
            <w:r>
              <w:rPr>
                <w:sz w:val="16"/>
              </w:rPr>
              <w:t>$250,000 cash advance/credit; do not add as a second fee if fully credited, but unearned forfeiture is proposed</w:t>
            </w:r>
          </w:p>
        </w:tc>
      </w:tr>
    </w:tbl>
    <w:p>
      <w:pPr>
        <w:spacing w:after="0"/>
      </w:pPr>
    </w:p>
    <w:p>
      <w:r>
        <w:t>The $4.20m illustration is not a maximum all-in exposure: the underlying $2.4m is not a cap and excludes unanticipated matters and expenses. The retainer is shown separately because it is an advance/credit in concept, although the draft would put the cash at risk as non-refundable.</w:t>
      </w:r>
    </w:p>
    <w:p>
      <w:pPr>
        <w:pStyle w:val="Heading2"/>
      </w:pPr>
      <w:r>
        <w:t>9. CrossPoint engagement requires prior vendor approval and competitive-cost review</w:t>
      </w:r>
    </w:p>
    <w:p>
      <w:pPr>
        <w:spacing w:after="60"/>
      </w:pPr>
      <w:r>
        <w:rPr>
          <w:b/>
          <w:color w:val="9C0006"/>
        </w:rPr>
        <w:t xml:space="preserve">HIGH  |  </w:t>
      </w:r>
      <w:r>
        <w:rPr>
          <w:b/>
          <w:color w:val="1F4E79"/>
        </w:rPr>
        <w:t xml:space="preserve">Documents: </w:t>
      </w:r>
      <w:r>
        <w:t>CrossPoint proposal §§I, III–V; engagement letter §7; OCG §§I.2, V.2, IV.1</w:t>
      </w:r>
    </w:p>
    <w:p>
      <w:pPr>
        <w:spacing w:after="60"/>
      </w:pPr>
      <w:r>
        <w:rPr>
          <w:b/>
          <w:color w:val="1F4E79"/>
        </w:rPr>
        <w:t xml:space="preserve">Guideline:  </w:t>
      </w:r>
      <w:r>
        <w:t>Prior written approval is required for any vendor estimated above $25,000; Pinnacle may require competitive bids above $50,000. Requests must state scope, qualifications, cost and selection basis. Every individual expense above $5,000 requires prior written approval by the designated Pinnacle attorney; Pinnacle may direct a preferred vendor.</w:t>
      </w:r>
    </w:p>
    <w:p>
      <w:pPr>
        <w:spacing w:after="60"/>
      </w:pPr>
      <w:r>
        <w:rPr>
          <w:b/>
          <w:color w:val="1F4E79"/>
        </w:rPr>
        <w:t xml:space="preserve">Assessment:  </w:t>
      </w:r>
      <w:r>
        <w:t>CrossPoint is an HB&amp;C “strategic partner” and the estimate is $380,000. HB&amp;C’s recommendation and history of 40 engagements do not equal Pinnacle approval or a competitive-cost analysis. The proposal’s acceptance block authorizes HB&amp;C—not Pinnacle—to start services. CrossPoint would invoice HB&amp;C for pass-through to Pinnacle. The proposal’s contingency approval threshold is handled by HB&amp;C and is limited to individual contingency charges above $5,000; it does not satisfy Pinnacle’s prior-approval requirement for every expense above $5,000.</w:t>
      </w:r>
    </w:p>
    <w:p>
      <w:pPr>
        <w:spacing w:after="60"/>
      </w:pPr>
      <w:r>
        <w:rPr>
          <w:b/>
          <w:color w:val="1F4E79"/>
        </w:rPr>
        <w:t xml:space="preserve">Required action:  </w:t>
      </w:r>
      <w:r>
        <w:t>Do not accept the vendor proposal yet. Obtain the written vendor request/selection rationale, credentials, full scope and pricing assumptions; disclose whether HB&amp;C or any timekeeper has a financial interest in CrossPoint. Obtain Pinnacle’s written approval and conduct a competitive bid if required by Pinnacle. Require advance Pinnacle approval for each &gt;$5,000 charge (or a written blanket approval for specified recurring charges) and for material scope/rate changes. Pass through actual, documented cost only, with no undisclosed markup, and preserve Pinnacle audit rights.</w:t>
      </w:r>
    </w:p>
    <w:p>
      <w:pPr>
        <w:pStyle w:val="Heading2"/>
      </w:pPr>
      <w:r>
        <w:t>10. CrossPoint’s cost estimate is not sufficiently auditable or aligned to matter timeline</w:t>
      </w:r>
    </w:p>
    <w:p>
      <w:pPr>
        <w:spacing w:after="60"/>
      </w:pPr>
      <w:r>
        <w:rPr>
          <w:b/>
          <w:color w:val="9C0006"/>
        </w:rPr>
        <w:t xml:space="preserve">HIGH  |  </w:t>
      </w:r>
      <w:r>
        <w:rPr>
          <w:b/>
          <w:color w:val="1F4E79"/>
        </w:rPr>
        <w:t xml:space="preserve">Documents: </w:t>
      </w:r>
      <w:r>
        <w:t>CrossPoint proposal §§II–IV; engagement letter §7; staffing plan §4</w:t>
      </w:r>
    </w:p>
    <w:p>
      <w:pPr>
        <w:spacing w:after="60"/>
      </w:pPr>
      <w:r>
        <w:rPr>
          <w:b/>
          <w:color w:val="1F4E79"/>
        </w:rPr>
        <w:t xml:space="preserve">Guideline:  </w:t>
      </w:r>
      <w:r>
        <w:t>The matter budget must include all anticipated vendor costs and support cost management; vendor charges remain subject to approvals and documentation.</w:t>
      </w:r>
    </w:p>
    <w:p>
      <w:pPr>
        <w:spacing w:after="60"/>
      </w:pPr>
      <w:r>
        <w:rPr>
          <w:b/>
          <w:color w:val="1F4E79"/>
        </w:rPr>
        <w:t xml:space="preserve">Assessment:  </w:t>
      </w:r>
      <w:r>
        <w:t>The $380,000 estimate does not reconcile cleanly to stated units or time horizon: (i) 45 custodians at $950 remote/$1,750 onsite could range from $42,750 to $78,750; the $62,000 estimate does not state the onsite/remote mix; (ii) $48,600 hosting at $18/GB/month for 12 months implies 225 GB average hosted, but no post-processing GB assumption is given; (iii) $47,000 “Review Platform &amp; TAR” does not identify user-months at $45/user/month and is not transparent against the $5,000 + $25/GB TAR schedule; (iv) $38,400 production has no document/page volume; (v) $29,500 contingency is not a unit-priced scope. The estimate uses 12 months/active discovery, while services are described through trial (March 2027); the litigation schedule runs from Nov. 2025 through trial, roughly 17 months. Rates can be adjusted by CrossPoint on 30 days’ notice.</w:t>
      </w:r>
    </w:p>
    <w:p>
      <w:pPr>
        <w:spacing w:after="60"/>
      </w:pPr>
      <w:r>
        <w:rPr>
          <w:b/>
          <w:color w:val="1F4E79"/>
        </w:rPr>
        <w:t xml:space="preserve">Required action:  </w:t>
      </w:r>
      <w:r>
        <w:t>Require a unit-based estimate and sensitivity cases for 35/45/50 custodians, 1.2/1.5/1.8 TB, processed/hosted GB, users and months, productions/pages, review duration through trial, and contingency. Identify what is in/out of the $380,000, including document review and possible extra hosting. Lock rates and prohibit estimate/rate increases or work beyond approved assumptions without Pinnacle’s prior written approval. Reconcile vendor and HB&amp;C budget timelines.</w:t>
      </w:r>
    </w:p>
    <w:p>
      <w:pPr>
        <w:pStyle w:val="Heading2"/>
      </w:pPr>
      <w:r>
        <w:t>11. Vendor terms do not flow down Pinnacle security, confidentiality, incident, audit, or liability protections</w:t>
      </w:r>
    </w:p>
    <w:p>
      <w:pPr>
        <w:spacing w:after="60"/>
      </w:pPr>
      <w:r>
        <w:rPr>
          <w:b/>
          <w:color w:val="9C0006"/>
        </w:rPr>
        <w:t xml:space="preserve">HIGH  |  </w:t>
      </w:r>
      <w:r>
        <w:rPr>
          <w:b/>
          <w:color w:val="1F4E79"/>
        </w:rPr>
        <w:t xml:space="preserve">Documents: </w:t>
      </w:r>
      <w:r>
        <w:t>CrossPoint proposal §V; OCG §§I.2, X.1–2, XII.1</w:t>
      </w:r>
    </w:p>
    <w:p>
      <w:pPr>
        <w:spacing w:after="60"/>
      </w:pPr>
      <w:r>
        <w:rPr>
          <w:b/>
          <w:color w:val="1F4E79"/>
        </w:rPr>
        <w:t xml:space="preserve">Guideline:  </w:t>
      </w:r>
      <w:r>
        <w:t>Vendors must comply with applicable OCG provisions. Pinnacle requires encrypted communications, secure access-controlled sharing, need-to-know access, applicable HIPAA/HITECH compliance, written incident notice within 24 hours, and may require security questionnaires/assessments and audits.</w:t>
      </w:r>
    </w:p>
    <w:p>
      <w:pPr>
        <w:spacing w:after="60"/>
      </w:pPr>
      <w:r>
        <w:rPr>
          <w:b/>
          <w:color w:val="1F4E79"/>
        </w:rPr>
        <w:t xml:space="preserve">Assessment:  </w:t>
      </w:r>
      <w:r>
        <w:t>CrossPoint reports SOC 2 Type II, U.S. hosting, encryption at rest/in transit, MFA, and continuous monitoring, which is helpful but incomplete. It only offers a BAA “if required,” promises an NDA with HB&amp;C (not a direct Pinnacle agreement or express OCG flow-down), and does not provide a 24-hour incident notice, Pinnacle security assessment/audit rights, or express HIPAA/HITECH commitment. The liability cap is fees paid in the prior 12 months and excludes consequential damages including loss of data/business interruption; no indemnity is provided. A potential PHI/data breach may therefore leave Pinnacle with limited practical recourse.</w:t>
      </w:r>
    </w:p>
    <w:p>
      <w:pPr>
        <w:spacing w:after="60"/>
      </w:pPr>
      <w:r>
        <w:rPr>
          <w:b/>
          <w:color w:val="1F4E79"/>
        </w:rPr>
        <w:t xml:space="preserve">Required action:  </w:t>
      </w:r>
      <w:r>
        <w:t>Make Pinnacle’s prior written approval and a signed vendor addendum/BAA (as applicable) conditions to access. Flow down confidentiality, security, privacy/HIPAA-HITECH, 24-hour breach notice, cooperation, return/deletion, audit/assessment, subcontractor controls, and Pinnacle access to invoices/records. Obtain SOC 2 report and security materials. Negotiate a materially higher liability cap and carve-outs for confidentiality, privacy/security incidents, data loss, gross negligence/willful misconduct, and indemnity; confirm vendor insurance and responsibility. Align vendor payment and dispute terms so late charges or unapproved costs are not passed through. Address CrossPoint’s Virginia governing-law clause so it cannot impose a non-OCG forum or obligations on Pinnacle; require HB&amp;C to remain responsible for vendor compliance.</w:t>
      </w:r>
    </w:p>
    <w:p>
      <w:pPr>
        <w:pStyle w:val="Heading2"/>
      </w:pPr>
      <w:r>
        <w:t>12. Unilateral staffing discretion, contract attorneys, and staffing efficiency conflict with OCG</w:t>
      </w:r>
    </w:p>
    <w:p>
      <w:pPr>
        <w:spacing w:after="60"/>
      </w:pPr>
      <w:r>
        <w:rPr>
          <w:b/>
          <w:color w:val="9C0006"/>
        </w:rPr>
        <w:t xml:space="preserve">HIGH  |  </w:t>
      </w:r>
      <w:r>
        <w:rPr>
          <w:b/>
          <w:color w:val="1F4E79"/>
        </w:rPr>
        <w:t xml:space="preserve">Documents: </w:t>
      </w:r>
      <w:r>
        <w:t>Engagement letter §2; staffing plan §§3, 6; OCG §§VI.1–3</w:t>
      </w:r>
    </w:p>
    <w:p>
      <w:pPr>
        <w:spacing w:after="60"/>
      </w:pPr>
      <w:r>
        <w:rPr>
          <w:b/>
          <w:color w:val="1F4E79"/>
        </w:rPr>
        <w:t xml:space="preserve">Guideline:  </w:t>
      </w:r>
      <w:r>
        <w:t>Pinnacle approves partner/senior associate/specialist staffing changes after 14 days’ advance notice; junior/paralegal changes require contemporaneous notice. Contract/temporary attorneys require prior approval; document review is expected not to exceed $225/hour. No more than one partner attends routine depositions/hearings/strategy meetings absent prior approval.</w:t>
      </w:r>
    </w:p>
    <w:p>
      <w:pPr>
        <w:spacing w:after="60"/>
      </w:pPr>
      <w:r>
        <w:rPr>
          <w:b/>
          <w:color w:val="1F4E79"/>
        </w:rPr>
        <w:t xml:space="preserve">Assessment:  </w:t>
      </w:r>
      <w:r>
        <w:t>Both engagement documents reserve sole discretion to add, substitute, or remove timekeepers and use contract attorneys up to $350/hour. The staffing plan also contemplates adding attorneys from other offices. No contract-attorney names, qualifications, duration or scope are supplied. Two partners are assigned, with Alcott’s 120 hours described as oversight/client communications; the plan should prevent duplicate partner attendance and avoid billing for duplicative oversight.</w:t>
      </w:r>
    </w:p>
    <w:p>
      <w:pPr>
        <w:spacing w:after="60"/>
      </w:pPr>
      <w:r>
        <w:rPr>
          <w:b/>
          <w:color w:val="1F4E79"/>
        </w:rPr>
        <w:t xml:space="preserve">Required action:  </w:t>
      </w:r>
      <w:r>
        <w:t>Replace sole-discretion language with OCG notice/approval rules. Identify the contract-review team and request prior written approval with qualifications, task, rate, estimated hours and duration; apply $225/hour for document review. Require 14-day notice/approval for lead partner, partner, senior associate and specialist changes, and timely notice for junior/paralegal changes. State that one partner only attends routine events absent preapproval, and define Alcott’s nonduplicative role.</w:t>
      </w:r>
    </w:p>
    <w:p>
      <w:pPr>
        <w:pStyle w:val="Heading2"/>
      </w:pPr>
      <w:r>
        <w:t>13. Expense, travel, and disbursement terms conflict with OCG thresholds and prohibitions</w:t>
      </w:r>
    </w:p>
    <w:p>
      <w:pPr>
        <w:spacing w:after="60"/>
      </w:pPr>
      <w:r>
        <w:rPr>
          <w:b/>
          <w:color w:val="9C0006"/>
        </w:rPr>
        <w:t xml:space="preserve">HIGH  |  </w:t>
      </w:r>
      <w:r>
        <w:rPr>
          <w:b/>
          <w:color w:val="1F4E79"/>
        </w:rPr>
        <w:t xml:space="preserve">Documents: </w:t>
      </w:r>
      <w:r>
        <w:t>Engagement letter §6; CrossPoint proposal §IV; OCG §§V.1–5</w:t>
      </w:r>
    </w:p>
    <w:p>
      <w:pPr>
        <w:spacing w:after="60"/>
      </w:pPr>
      <w:r>
        <w:rPr>
          <w:b/>
          <w:color w:val="1F4E79"/>
        </w:rPr>
        <w:t xml:space="preserve">Guideline:  </w:t>
      </w:r>
      <w:r>
        <w:t>Prior written approval is required before any individual expense over $5,000; all travel must be pre-approved. Economy/coach only; travel, hotel, meals, mileage and local travel are subject to stated rules. Legal research subscriptions, local travel, internal copying under 500 pages, firm overhead, internal technology, routine meals and admin overtime are nonreimbursable. Receipts/support are required above $250.</w:t>
      </w:r>
    </w:p>
    <w:p>
      <w:pPr>
        <w:spacing w:after="60"/>
      </w:pPr>
      <w:r>
        <w:rPr>
          <w:b/>
          <w:color w:val="1F4E79"/>
        </w:rPr>
        <w:t xml:space="preserve">Assessment:  </w:t>
      </w:r>
      <w:r>
        <w:t>The letter allows expenses up to $15,000 per item without approval and allows partners business-class airfare for flights over two hours. It describes lodging as “standard business-class” but does not impose the OCG’s standard-room/government-rate and no-upgrade limits. It also permits research database charges, meals, copying/printing and broad “other” expenses. The draft does not require pre-approval for all travel, impose the $75/person/day meal limit, exclude local office travel or the OCG nonreimbursables, or require receipts over $250. CrossPoint’s $5,000 contingency rule is not a substitute for direct Pinnacle approval.</w:t>
      </w:r>
    </w:p>
    <w:p>
      <w:pPr>
        <w:spacing w:after="60"/>
      </w:pPr>
      <w:r>
        <w:rPr>
          <w:b/>
          <w:color w:val="1F4E79"/>
        </w:rPr>
        <w:t xml:space="preserve">Required action:  </w:t>
      </w:r>
      <w:r>
        <w:t>Replace the expense clause with the OCG. Prior written approval for any single expense over $5,000 and all travel (requests at least five business days ahead where practicable); economy only; standard room/government rate where available; meals capped and only when allowed; no local travel, research subscriptions (except a discrete project pre-approved by Pinnacle), overhead, internal tech, internal copying under 500 pages or other prohibited items. Require receipts/support over $250, itemized vendor bills, and expense approval before commitment.</w:t>
      </w:r>
    </w:p>
    <w:p>
      <w:pPr>
        <w:pStyle w:val="Heading2"/>
      </w:pPr>
      <w:r>
        <w:t>14. Work-product ownership and lien provisions contradict Pinnacle’s absolute ownership</w:t>
      </w:r>
    </w:p>
    <w:p>
      <w:pPr>
        <w:spacing w:after="60"/>
      </w:pPr>
      <w:r>
        <w:rPr>
          <w:b/>
          <w:color w:val="9C0006"/>
        </w:rPr>
        <w:t xml:space="preserve">HIGH  |  </w:t>
      </w:r>
      <w:r>
        <w:rPr>
          <w:b/>
          <w:color w:val="1F4E79"/>
        </w:rPr>
        <w:t xml:space="preserve">Documents: </w:t>
      </w:r>
      <w:r>
        <w:t>Engagement letter §15; §9 transition sentence; OCG §§VII.1–2, VIII.1</w:t>
      </w:r>
    </w:p>
    <w:p>
      <w:pPr>
        <w:spacing w:after="60"/>
      </w:pPr>
      <w:r>
        <w:rPr>
          <w:b/>
          <w:color w:val="1F4E79"/>
        </w:rPr>
        <w:t xml:space="preserve">Guideline:  </w:t>
      </w:r>
      <w:r>
        <w:t>Pinnacle owns all work product/files regardless of payment; no lien may be asserted; files must be promptly delivered upon request regardless of unpaid invoices or disputes.</w:t>
      </w:r>
    </w:p>
    <w:p>
      <w:pPr>
        <w:spacing w:after="60"/>
      </w:pPr>
      <w:r>
        <w:rPr>
          <w:b/>
          <w:color w:val="1F4E79"/>
        </w:rPr>
        <w:t xml:space="preserve">Assessment:  </w:t>
      </w:r>
      <w:r>
        <w:t>The letter makes ownership and delivery contingent on full payment and written request, and grants HB&amp;C a retaining lien on files/work product until all amounts are paid. Termination cooperation is expressly “subject to Section 15.” This is directly contrary to the OCG and could impair continuity or court deadlines during a billing dispute.</w:t>
      </w:r>
    </w:p>
    <w:p>
      <w:pPr>
        <w:spacing w:after="60"/>
      </w:pPr>
      <w:r>
        <w:rPr>
          <w:b/>
          <w:color w:val="1F4E79"/>
        </w:rPr>
        <w:t xml:space="preserve">Required action:  </w:t>
      </w:r>
      <w:r>
        <w:t>Delete all lien/ownership/payment conditions and waive any retaining, charging, possessory, or other lien. Confirm Pinnacle’s immediate and unconditional ownership and prompt delivery upon request/termination regardless of payment status; require transition cooperation and permit HB&amp;C to retain only copies subject to confidentiality.</w:t>
      </w:r>
    </w:p>
    <w:p>
      <w:pPr>
        <w:pStyle w:val="Heading2"/>
      </w:pPr>
      <w:r>
        <w:t>15. Client termination right and firm withdrawal notice are inconsistent</w:t>
      </w:r>
    </w:p>
    <w:p>
      <w:pPr>
        <w:spacing w:after="60"/>
      </w:pPr>
      <w:r>
        <w:rPr>
          <w:b/>
          <w:color w:val="9C0006"/>
        </w:rPr>
        <w:t xml:space="preserve">HIGH  |  </w:t>
      </w:r>
      <w:r>
        <w:rPr>
          <w:b/>
          <w:color w:val="1F4E79"/>
        </w:rPr>
        <w:t xml:space="preserve">Documents: </w:t>
      </w:r>
      <w:r>
        <w:t>Engagement letter §9; OCG §§VIII.1–2</w:t>
      </w:r>
    </w:p>
    <w:p>
      <w:pPr>
        <w:spacing w:after="60"/>
      </w:pPr>
      <w:r>
        <w:rPr>
          <w:b/>
          <w:color w:val="1F4E79"/>
        </w:rPr>
        <w:t xml:space="preserve">Guideline:  </w:t>
      </w:r>
      <w:r>
        <w:t>Pinnacle may terminate at any time for any/no reason; no termination penalty. The firm may not withdraw without 60 days’ advance notice and Pinnacle’s written consent, subject to professional-conduct/court requirements.</w:t>
      </w:r>
    </w:p>
    <w:p>
      <w:pPr>
        <w:spacing w:after="60"/>
      </w:pPr>
      <w:r>
        <w:rPr>
          <w:b/>
          <w:color w:val="1F4E79"/>
        </w:rPr>
        <w:t xml:space="preserve">Assessment:  </w:t>
      </w:r>
      <w:r>
        <w:t>The letter requires either party to give 30 days’ notice and imposes a 15% termination fee on Pinnacle. It does not require Pinnacle’s consent to firm withdrawal or the OCG transition plan. The ethical/court caveat does not cure the contractual conflict.</w:t>
      </w:r>
    </w:p>
    <w:p>
      <w:pPr>
        <w:spacing w:after="60"/>
      </w:pPr>
      <w:r>
        <w:rPr>
          <w:b/>
          <w:color w:val="1F4E79"/>
        </w:rPr>
        <w:t xml:space="preserve">Required action:  </w:t>
      </w:r>
      <w:r>
        <w:t>Give Pinnacle immediate termination rights by written notice, with only properly rendered fees and approved/properly incurred expenses through the effective date payable. Delete the 15% fee. Require 60 days’ notice and Pinnacle’s written consent for firm withdrawal (subject to law/court orders), with full staffing, deadline plan, file transfer and transition cooperation.</w:t>
      </w:r>
    </w:p>
    <w:p>
      <w:pPr>
        <w:pStyle w:val="Heading2"/>
      </w:pPr>
      <w:r>
        <w:t>16. Success fee is embedded, has no stated dollar cap, and lacks required separate approval</w:t>
      </w:r>
    </w:p>
    <w:p>
      <w:pPr>
        <w:spacing w:after="60"/>
      </w:pPr>
      <w:r>
        <w:rPr>
          <w:b/>
          <w:color w:val="9C0006"/>
        </w:rPr>
        <w:t xml:space="preserve">HIGH  |  </w:t>
      </w:r>
      <w:r>
        <w:rPr>
          <w:b/>
          <w:color w:val="1F4E79"/>
        </w:rPr>
        <w:t xml:space="preserve">Documents: </w:t>
      </w:r>
      <w:r>
        <w:t>Engagement letter §10; OCG §IX.2</w:t>
      </w:r>
    </w:p>
    <w:p>
      <w:pPr>
        <w:spacing w:after="60"/>
      </w:pPr>
      <w:r>
        <w:rPr>
          <w:b/>
          <w:color w:val="1F4E79"/>
        </w:rPr>
        <w:t xml:space="preserve">Guideline:  </w:t>
      </w:r>
      <w:r>
        <w:t>Any success/performance fee must be in a separate written agreement reviewed and approved by the GC before execution, with objective trigger, formula/examples, dollar cap, treatment of hourly fees/discounts, and termination/settlement/scope conditions.</w:t>
      </w:r>
    </w:p>
    <w:p>
      <w:pPr>
        <w:spacing w:after="60"/>
      </w:pPr>
      <w:r>
        <w:rPr>
          <w:b/>
          <w:color w:val="1F4E79"/>
        </w:rPr>
        <w:t xml:space="preserve">Assessment:  </w:t>
      </w:r>
      <w:r>
        <w:t>The letter embeds a success fee of 10% of $14.2m less resolution amount when resolution is below $7m, in addition to full hourly fees, with no express dollar cap or hourly discount. It gives only one example. If the matter resolves for $0, the formula yields $1.42m; at $4m it yields $1.02m; the fee drops to zero at $7m, creating a cliff just below the threshold. The term does not address termination, change in scope, or changes to claimed damages and is not proportionate by reference to discounted fees or a defined risk-sharing model.</w:t>
      </w:r>
    </w:p>
    <w:p>
      <w:pPr>
        <w:spacing w:after="60"/>
      </w:pPr>
      <w:r>
        <w:rPr>
          <w:b/>
          <w:color w:val="1F4E79"/>
        </w:rPr>
        <w:t xml:space="preserve">Required action:  </w:t>
      </w:r>
      <w:r>
        <w:t>Strike §10 from the engagement letter. If HB&amp;C wishes to propose an incentive, require a separate standalone proposal and GC approval before execution, including a specific cap, multiple examples across outcomes, treatment on termination and settlement, and explicit relationship to hourly rates. Do not treat signature of the current letter as approval.</w:t>
      </w:r>
    </w:p>
    <w:p>
      <w:pPr>
        <w:pStyle w:val="Heading2"/>
      </w:pPr>
      <w:r>
        <w:t>17. Marketing consent violates Pinnacle confidentiality restrictions</w:t>
      </w:r>
    </w:p>
    <w:p>
      <w:pPr>
        <w:spacing w:after="60"/>
      </w:pPr>
      <w:r>
        <w:rPr>
          <w:b/>
          <w:color w:val="9C0006"/>
        </w:rPr>
        <w:t xml:space="preserve">HIGH  |  </w:t>
      </w:r>
      <w:r>
        <w:rPr>
          <w:b/>
          <w:color w:val="1F4E79"/>
        </w:rPr>
        <w:t xml:space="preserve">Documents: </w:t>
      </w:r>
      <w:r>
        <w:t>Engagement letter §16; OCG §X.1</w:t>
      </w:r>
    </w:p>
    <w:p>
      <w:pPr>
        <w:spacing w:after="60"/>
      </w:pPr>
      <w:r>
        <w:rPr>
          <w:b/>
          <w:color w:val="1F4E79"/>
        </w:rPr>
        <w:t xml:space="preserve">Guideline:  </w:t>
      </w:r>
      <w:r>
        <w:t>The existence/nature of a Pinnacle engagement and Pinnacle’s name/logo may not be used for marketing, pitches, client lists, press, or business development absent prior written GC consent.</w:t>
      </w:r>
    </w:p>
    <w:p>
      <w:pPr>
        <w:spacing w:after="60"/>
      </w:pPr>
      <w:r>
        <w:rPr>
          <w:b/>
          <w:color w:val="1F4E79"/>
        </w:rPr>
        <w:t xml:space="preserve">Assessment:  </w:t>
      </w:r>
      <w:r>
        <w:t>The letter gives HB&amp;C continuing consent to identify Pinnacle and the general commercial-litigation engagement in website/client lists/pitches without case details, until revoked. This is a standing advance authorization, not prior written consent for a specific use. The clause also does not expressly require prompt GC notice and cooperation before a legally compelled disclosure, where notice is permissible. The engagement letter separately omits express firm commitments to the OCG’s encryption, secure-sharing, access-control, HIPAA/HITECH (as applicable), and 24-hour incident-notice requirements.</w:t>
      </w:r>
    </w:p>
    <w:p>
      <w:pPr>
        <w:spacing w:after="60"/>
      </w:pPr>
      <w:r>
        <w:rPr>
          <w:b/>
          <w:color w:val="1F4E79"/>
        </w:rPr>
        <w:t xml:space="preserve">Required action:  </w:t>
      </w:r>
      <w:r>
        <w:t>Delete the marketing carve-out. State that no use or disclosure of Pinnacle’s name, logo, relationship, or engagement is permitted absent separate, prior, written GC approval for the specific disclosure, during or after the engagement. Add express firm-level compliance with the OCG’s confidentiality, security and 24-hour incident-notice requirements, and prompt notice/cooperation for compelled disclosure where legally permissible.</w:t>
      </w:r>
    </w:p>
    <w:p>
      <w:pPr>
        <w:pStyle w:val="Heading2"/>
      </w:pPr>
      <w:r>
        <w:t>18. Client authority, reporting, diversity, and ongoing oversight requirements are missing</w:t>
      </w:r>
    </w:p>
    <w:p>
      <w:pPr>
        <w:spacing w:after="60"/>
      </w:pPr>
      <w:r>
        <w:rPr>
          <w:b/>
          <w:color w:val="9C0006"/>
        </w:rPr>
        <w:t xml:space="preserve">HIGH  |  </w:t>
      </w:r>
      <w:r>
        <w:rPr>
          <w:b/>
          <w:color w:val="1F4E79"/>
        </w:rPr>
        <w:t xml:space="preserve">Documents: </w:t>
      </w:r>
      <w:r>
        <w:t>Engagement letter §§1–2, 8; staffing plan §§2, 6; OCG §§VI.4, XI.1–3</w:t>
      </w:r>
    </w:p>
    <w:p>
      <w:pPr>
        <w:spacing w:after="60"/>
      </w:pPr>
      <w:r>
        <w:rPr>
          <w:b/>
          <w:color w:val="1F4E79"/>
        </w:rPr>
        <w:t xml:space="preserve">Guideline:  </w:t>
      </w:r>
      <w:r>
        <w:t>Ridley/designated lead is primary contact. Monthly status reports (within 10 business days after month-end), 24-hour significant-event notice, written approval for material strategy/experts/settlement/material costs, and quarterly diversity reports are required.</w:t>
      </w:r>
    </w:p>
    <w:p>
      <w:pPr>
        <w:spacing w:after="60"/>
      </w:pPr>
      <w:r>
        <w:rPr>
          <w:b/>
          <w:color w:val="1F4E79"/>
        </w:rPr>
        <w:t xml:space="preserve">Assessment:  </w:t>
      </w:r>
      <w:r>
        <w:t>The draft identifies Morrow as day-to-day contact and Alcott as relationship/billing partner, but does not establish Ridley as primary Pinnacle contact, require monthly reporting or 24-hour escalation, or reserve written client approval for strategy, experts, settlement and material risk/cost. Staffing plan describes diversity generally, but no quarterly reports or OCG-format commitment. Quarterly budget updates alone are insufficient.</w:t>
      </w:r>
    </w:p>
    <w:p>
      <w:pPr>
        <w:spacing w:after="60"/>
      </w:pPr>
      <w:r>
        <w:rPr>
          <w:b/>
          <w:color w:val="1F4E79"/>
        </w:rPr>
        <w:t xml:space="preserve">Required action:  </w:t>
      </w:r>
      <w:r>
        <w:t>Add Ridley as primary contact and incorporate the OCG cadence and approval rights. Require monthly status reports with developments, deadlines, risk/strategy, budget-to-actual and staffing; notify significant developments within 24 hours; obtain written approval before significant strategy, expert retention, settlement positions/authority or material expense. Include quarterly diversity reporting and effort commitments.</w:t>
      </w:r>
    </w:p>
    <w:p>
      <w:pPr>
        <w:pStyle w:val="Heading2"/>
      </w:pPr>
      <w:r>
        <w:t>19. D.C. arbitration and governing-law terms conflict with OCG dispute path</w:t>
      </w:r>
    </w:p>
    <w:p>
      <w:pPr>
        <w:spacing w:after="60"/>
      </w:pPr>
      <w:r>
        <w:rPr>
          <w:b/>
          <w:color w:val="9C0006"/>
        </w:rPr>
        <w:t xml:space="preserve">HIGH  |  </w:t>
      </w:r>
      <w:r>
        <w:rPr>
          <w:b/>
          <w:color w:val="1F4E79"/>
        </w:rPr>
        <w:t xml:space="preserve">Documents: </w:t>
      </w:r>
      <w:r>
        <w:t>Engagement letter §§17–18; OCG §§XIII, XIV.1</w:t>
      </w:r>
    </w:p>
    <w:p>
      <w:pPr>
        <w:spacing w:after="60"/>
      </w:pPr>
      <w:r>
        <w:rPr>
          <w:b/>
          <w:color w:val="1F4E79"/>
        </w:rPr>
        <w:t xml:space="preserve">Guideline:  </w:t>
      </w:r>
      <w:r>
        <w:t>Billing disputes follow the OCG negotiation process and timing; other disputes may be mediated in Charlotte, then pursued in state/federal courts in Mecklenburg County, North Carolina, under North Carolina law.</w:t>
      </w:r>
    </w:p>
    <w:p>
      <w:pPr>
        <w:spacing w:after="60"/>
      </w:pPr>
      <w:r>
        <w:rPr>
          <w:b/>
          <w:color w:val="1F4E79"/>
        </w:rPr>
        <w:t xml:space="preserve">Assessment:  </w:t>
      </w:r>
      <w:r>
        <w:t>The letter imposes exclusive AAA binding arbitration in Washington, D.C. for all disputes—including fee and malpractice claims—waives jury/class rights, and selects D.C. law and courts. These terms directly displace the OCG’s billing negotiation, Charlotte mediation, North Carolina court venue and North Carolina law.</w:t>
      </w:r>
    </w:p>
    <w:p>
      <w:pPr>
        <w:spacing w:after="60"/>
      </w:pPr>
      <w:r>
        <w:rPr>
          <w:b/>
          <w:color w:val="1F4E79"/>
        </w:rPr>
        <w:t xml:space="preserve">Required action:  </w:t>
      </w:r>
      <w:r>
        <w:t>Delete §§17–18 and use the OCG dispute and governing-law provisions, including the OCG’s fee-dispute timeline and Mecklenburg County venue. Do not accept the arbitration/jury waiver absent a separate, specific GC-approved exception after review.</w:t>
      </w:r>
    </w:p>
    <w:p>
      <w:pPr>
        <w:pStyle w:val="Heading2"/>
      </w:pPr>
      <w:r>
        <w:t>20. Liability cap and broad client indemnity are serious unaddressed risk transfers</w:t>
      </w:r>
    </w:p>
    <w:p>
      <w:pPr>
        <w:spacing w:after="60"/>
      </w:pPr>
      <w:r>
        <w:rPr>
          <w:b/>
          <w:color w:val="9C0006"/>
        </w:rPr>
        <w:t xml:space="preserve">HIGH  |  </w:t>
      </w:r>
      <w:r>
        <w:rPr>
          <w:b/>
          <w:color w:val="1F4E79"/>
        </w:rPr>
        <w:t xml:space="preserve">Documents: </w:t>
      </w:r>
      <w:r>
        <w:t>Engagement letter §§13–14; OCG §II.3</w:t>
      </w:r>
    </w:p>
    <w:p>
      <w:pPr>
        <w:spacing w:after="60"/>
      </w:pPr>
      <w:r>
        <w:rPr>
          <w:b/>
          <w:color w:val="1F4E79"/>
        </w:rPr>
        <w:t xml:space="preserve">Guideline:  </w:t>
      </w:r>
      <w:r>
        <w:t>The OCG sets mandatory insurance minimums and preserves Pinnacle’s audit/compliance rights; it does not authorize the proposed risk transfers. Professional-responsibility rules may also restrict prospective malpractice limitations.</w:t>
      </w:r>
    </w:p>
    <w:p>
      <w:pPr>
        <w:spacing w:after="60"/>
      </w:pPr>
      <w:r>
        <w:rPr>
          <w:b/>
          <w:color w:val="1F4E79"/>
        </w:rPr>
        <w:t xml:space="preserve">Assessment:  </w:t>
      </w:r>
      <w:r>
        <w:t>HB&amp;C limits all liability, including malpractice, to the lesser of $1m or fees actually paid (potentially very low early in the case) and excludes consequential damages. Pinnacle separately indemnifies the firm for essentially all engagement-related claims, including third-party claims, with an exception only for claims arising solely from willful misconduct. As written, the indemnity could cover the firm’s own negligence or malpractice and substantially undermine the protection expected from required insurance. These provisions are not required by the OCG and should not be accepted as routine boilerplate.</w:t>
      </w:r>
    </w:p>
    <w:p>
      <w:pPr>
        <w:spacing w:after="60"/>
      </w:pPr>
      <w:r>
        <w:rPr>
          <w:b/>
          <w:color w:val="1F4E79"/>
        </w:rPr>
        <w:t xml:space="preserve">Required action:  </w:t>
      </w:r>
      <w:r>
        <w:t>Delete the liability cap and client indemnity. At minimum, do not agree to indemnify HB&amp;C for its own negligence, malpractice, gross negligence, willful misconduct, breach of duties, confidentiality/security failures, or legal violations; require independent ethics/insurance review of any limitation and ensure it cannot reduce required policy protection. Do not characterize the $1m cap as satisfying the $25m/$50m insurance requirement.</w:t>
      </w:r>
    </w:p>
    <w:p>
      <w:pPr>
        <w:pStyle w:val="Heading2"/>
      </w:pPr>
      <w:r>
        <w:t>21. Cross-document facts, assumptions, and phase estimates are inconsistent</w:t>
      </w:r>
    </w:p>
    <w:p>
      <w:pPr>
        <w:spacing w:after="60"/>
      </w:pPr>
      <w:r>
        <w:rPr>
          <w:b/>
          <w:color w:val="9C0006"/>
        </w:rPr>
        <w:t xml:space="preserve">HIGH  |  </w:t>
      </w:r>
      <w:r>
        <w:rPr>
          <w:b/>
          <w:color w:val="1F4E79"/>
        </w:rPr>
        <w:t xml:space="preserve">Documents: </w:t>
      </w:r>
      <w:r>
        <w:t>Engagement letter and Exhibit B; staffing plan §§1, 4; CrossPoint proposal §§II–IV</w:t>
      </w:r>
    </w:p>
    <w:p>
      <w:pPr>
        <w:spacing w:after="60"/>
      </w:pPr>
      <w:r>
        <w:rPr>
          <w:b/>
          <w:color w:val="1F4E79"/>
        </w:rPr>
        <w:t xml:space="preserve">Guideline:  </w:t>
      </w:r>
      <w:r>
        <w:t>Engagement details and budget assumptions should be accurate, consistent, and auditable.</w:t>
      </w:r>
    </w:p>
    <w:p>
      <w:pPr>
        <w:spacing w:after="60"/>
      </w:pPr>
      <w:r>
        <w:rPr>
          <w:b/>
          <w:color w:val="1F4E79"/>
        </w:rPr>
        <w:t xml:space="preserve">Assessment:  </w:t>
      </w:r>
      <w:r>
        <w:t>The HB&amp;C Exhibit B estimates 15–20 fact depositions, while the staffing plan says 12–15 fact depositions. The staffing plan anticipates 3–4 experts per side, while the budget narrative refers to a damages expert and a technology/IT expert; clarify the number and type of experts and whether the $224,000 expert-cost estimate covers all. Phase 3 and 4 have $265,750 and $250,750, respectively, above the listed core-team fees, described only as costs/contingencies; Phase 1 has $168,000–$255,500 remaining after core fees and estimated contract reviewers, without itemization. CrossPoint identifies Judge “M.R. Desmond,” while the staffing plan identifies Judge Malcolm R. Drummond; the CrossPoint proposal lists HB&amp;C at 1200 West Morehead Street, whereas the engagement/staffing plan identify 301 South Tryon Street.</w:t>
      </w:r>
    </w:p>
    <w:p>
      <w:pPr>
        <w:spacing w:after="60"/>
      </w:pPr>
      <w:r>
        <w:rPr>
          <w:b/>
          <w:color w:val="1F4E79"/>
        </w:rPr>
        <w:t xml:space="preserve">Required action:  </w:t>
      </w:r>
      <w:r>
        <w:t>Correct the judge and firm address; reconcile deposition/expert assumptions and phase totals; identify expense and contingency categories and caps; and state exactly which costs are fees, expert/vendor expenses, or contingency. Require one consistent, version-controlled budget for approval. The CrossPoint proposal’s 60-day validity expires Dec. 4, 2025; confirm any authorized rate/term remains in force beyond then if needed, without allowing a unilateral price revision.</w:t>
      </w:r>
    </w:p>
    <w:p>
      <w:pPr>
        <w:pStyle w:val="Heading1"/>
      </w:pPr>
      <w:r>
        <w:t>Recommended negotiation / approval sequence</w:t>
      </w:r>
    </w:p>
    <w:p>
      <w:pPr>
        <w:pStyle w:val="ListNumber"/>
        <w:spacing w:after="60"/>
      </w:pPr>
      <w:r>
        <w:t>Hold the engagement and CrossPoint authorization. Route all substantive communications and any urgent deadline coverage through Ridley; preserve the Nov. 7, 2025 Answer deadline and Dec. 5, 2025 Rule 26(f) conference with approved counsel.</w:t>
      </w:r>
    </w:p>
    <w:p>
      <w:pPr>
        <w:pStyle w:val="ListNumber"/>
        <w:spacing w:after="60"/>
      </w:pPr>
      <w:r>
        <w:t>Resolve the MedBridge conflict first: obtain complete disclosure and formal clearance; determine whether a specific, informed GC consent is appropriate and ethically permissible. If not, decline HB&amp;C and use another firm.</w:t>
      </w:r>
    </w:p>
    <w:p>
      <w:pPr>
        <w:pStyle w:val="ListNumber"/>
        <w:spacing w:after="60"/>
      </w:pPr>
      <w:r>
        <w:t>Require compliant insurance proof and an OCG-compliant engagement letter with the matter number, express incorporation/acceptance of the OCG, and no inconsistent boilerplate.</w:t>
      </w:r>
    </w:p>
    <w:p>
      <w:pPr>
        <w:pStyle w:val="ListNumber"/>
        <w:spacing w:after="60"/>
      </w:pPr>
      <w:r>
        <w:t>Approve only OCG-capped rates (or specific written GC-approved exceptions); eliminate automatic escalation, non-refundable retainer, termination fee, embedded success fee, marketing consent, lien, D.C. arbitration, and D.C. law.</w:t>
      </w:r>
    </w:p>
    <w:p>
      <w:pPr>
        <w:pStyle w:val="ListNumber"/>
        <w:spacing w:after="60"/>
      </w:pPr>
      <w:r>
        <w:t>Obtain a complete all-in budget and live review; approve staffing and any contract attorneys; confirm expense approvals, reporting, diversity reports and client decision rights.</w:t>
      </w:r>
    </w:p>
    <w:p>
      <w:pPr>
        <w:pStyle w:val="ListNumber"/>
        <w:spacing w:after="60"/>
      </w:pPr>
      <w:r>
        <w:t>Run the required vendor approval/competitive-bid process; negotiate CrossPoint’s security, data/PHI, breach, audit, insurance, price, scope and liability terms; include approved vendor costs in the matter budget.</w:t>
      </w:r>
    </w:p>
    <w:p>
      <w:pPr>
        <w:spacing w:before="160"/>
      </w:pPr>
      <w:r>
        <w:rPr>
          <w:b/>
          <w:color w:val="1F4E79"/>
        </w:rPr>
        <w:t xml:space="preserve">Basis and limitation. </w:t>
      </w:r>
      <w:r>
        <w:t>This memorandum compares the six supplied documents against Pinnacle’s January 2024 Outside Counsel Guidelines and identifies contractual, operational, budget, and risk-allocation issues. It does not independently verify the case docket, insurance, conflicts database, vendor security certifications, or governing-law enforceability. The OCG’s conflict and insurance requirements should be applied before engagement approval; counsel should separately assess any professional-conduct implications.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Pinnacle Health Systems, Inc.  •  Internal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CONFIDENTIAL  |  OUTSIDE COUNSEL ENGAGEMENT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Outside Counsel Engagement Issues Memorandum — NovaTech v. Pinnacle</dc:title>
  <dc:subject>Review of proposed HB&amp;C engagement, staffing, e-discovery proposal and OCG compliance</dc:subject>
  <dc:creator>Internal legal review</dc:creator>
  <cp:keywords>Pinnacle, OCG, engagement letter, NovaTech, conflicts, budget</cp:keywords>
  <dc:description>generated by python-docx</dc:description>
  <cp:lastModifiedBy/>
  <cp:revision>1</cp:revision>
  <dcterms:created xsi:type="dcterms:W3CDTF">2013-12-23T23:15:00Z</dcterms:created>
  <dcterms:modified xsi:type="dcterms:W3CDTF">2013-12-23T23:15:00Z</dcterms:modified>
  <cp:category/>
</cp:coreProperties>
</file>