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PINNACLE HEALTH SYSTEMS, INC.</w:t>
        <w:br/>
        <w:t>OFFICE OF THE GENERAL COUNSEL</w:t>
      </w:r>
    </w:p>
    <w:p>
      <w:pPr>
        <w:jc w:val="center"/>
      </w:pPr>
      <w:r>
        <w:rPr>
          <w:b/>
          <w:color w:val="C00000"/>
          <w:sz w:val="18"/>
        </w:rPr>
        <w:t>PRIVILEGED &amp; CONFIDENTIAL — ATTORNEY-CLIENT COMMUNICATION / ATTORNEY WORK PRODUCT</w:t>
      </w:r>
    </w:p>
    <w:p>
      <w:pPr>
        <w:jc w:val="center"/>
      </w:pPr>
      <w:r>
        <w:rPr>
          <w:b/>
          <w:sz w:val="32"/>
        </w:rPr>
        <w:t>MEMORANDUM</w:t>
      </w:r>
    </w:p>
    <w:tbl>
      <w:tblPr>
        <w:tblStyle w:val="TableGrid"/>
        <w:tblW w:type="auto" w:w="0"/>
        <w:tblLook w:firstColumn="1" w:firstRow="1" w:lastColumn="0" w:lastRow="0" w:noHBand="0" w:noVBand="1" w:val="04A0"/>
      </w:tblPr>
      <w:tblGrid>
        <w:gridCol w:w="4680"/>
        <w:gridCol w:w="4680"/>
      </w:tblGrid>
      <w:tr>
        <w:tc>
          <w:tcPr>
            <w:tcW w:type="dxa" w:w="1296"/>
            <w:shd w:val="clear" w:color="auto" w:fill="1F3864"/>
          </w:tcPr>
          <w:p>
            <w:r/>
            <w:r>
              <w:rPr>
                <w:b/>
                <w:color w:val="FFFFFF"/>
                <w:sz w:val="19"/>
              </w:rPr>
            </w:r>
          </w:p>
        </w:tc>
        <w:tc>
          <w:tcPr>
            <w:tcW w:type="dxa" w:w="8064"/>
            <w:shd w:val="clear" w:color="auto" w:fill="1F3864"/>
          </w:tcPr>
          <w:p>
            <w:r/>
            <w:r>
              <w:rPr>
                <w:b/>
                <w:color w:val="FFFFFF"/>
                <w:sz w:val="19"/>
              </w:rPr>
            </w:r>
          </w:p>
        </w:tc>
      </w:tr>
      <w:tr>
        <w:tc>
          <w:tcPr>
            <w:tcW w:type="dxa" w:w="1296"/>
          </w:tcPr>
          <w:p>
            <w:r/>
            <w:r>
              <w:rPr>
                <w:sz w:val="19"/>
              </w:rPr>
              <w:t>TO:</w:t>
            </w:r>
          </w:p>
        </w:tc>
        <w:tc>
          <w:tcPr>
            <w:tcW w:type="dxa" w:w="8064"/>
          </w:tcPr>
          <w:p>
            <w:r/>
            <w:r>
              <w:rPr>
                <w:sz w:val="19"/>
              </w:rPr>
              <w:t>Margaret Yeun, General Counsel</w:t>
              <w:br/>
              <w:t>Thomas Ridley, Associate General Counsel — Litigation</w:t>
            </w:r>
          </w:p>
        </w:tc>
      </w:tr>
      <w:tr>
        <w:tc>
          <w:tcPr>
            <w:tcW w:type="dxa" w:w="1296"/>
          </w:tcPr>
          <w:p>
            <w:r/>
            <w:r>
              <w:rPr>
                <w:sz w:val="19"/>
              </w:rPr>
              <w:t>FROM:</w:t>
            </w:r>
          </w:p>
        </w:tc>
        <w:tc>
          <w:tcPr>
            <w:tcW w:type="dxa" w:w="8064"/>
          </w:tcPr>
          <w:p>
            <w:r/>
            <w:r>
              <w:rPr>
                <w:sz w:val="19"/>
              </w:rPr>
              <w:t>Office of the General Counsel — Outside Counsel Management</w:t>
            </w:r>
          </w:p>
        </w:tc>
      </w:tr>
      <w:tr>
        <w:tc>
          <w:tcPr>
            <w:tcW w:type="dxa" w:w="1296"/>
          </w:tcPr>
          <w:p>
            <w:r/>
            <w:r>
              <w:rPr>
                <w:sz w:val="19"/>
              </w:rPr>
              <w:t>DATE:</w:t>
            </w:r>
          </w:p>
        </w:tc>
        <w:tc>
          <w:tcPr>
            <w:tcW w:type="dxa" w:w="8064"/>
          </w:tcPr>
          <w:p>
            <w:r/>
            <w:r>
              <w:rPr>
                <w:sz w:val="19"/>
              </w:rPr>
              <w:t>[Insert date — review based on documents dated October 3–6, 2025]</w:t>
            </w:r>
          </w:p>
        </w:tc>
      </w:tr>
      <w:tr>
        <w:tc>
          <w:tcPr>
            <w:tcW w:type="dxa" w:w="1296"/>
          </w:tcPr>
          <w:p>
            <w:r/>
            <w:r>
              <w:rPr>
                <w:sz w:val="19"/>
              </w:rPr>
              <w:t>RE:</w:t>
            </w:r>
          </w:p>
        </w:tc>
        <w:tc>
          <w:tcPr>
            <w:tcW w:type="dxa" w:w="8064"/>
          </w:tcPr>
          <w:p>
            <w:r/>
            <w:r>
              <w:rPr>
                <w:sz w:val="19"/>
              </w:rPr>
              <w:t>Review of Proposed Hawthorne, Bellamy &amp; Cross LLP Engagement Letter (Oct. 6, 2025), Staffing Plan, CrossPoint Analytics E-Discovery Proposal, and Conflicts Correspondence — NovaTech Solutions, LLC v. Pinnacle Health Systems, Inc., No. 3:25-cv-01847-MRD (W.D.N.C.) — Compliance with Outside Counsel Guidelines (Jan. 2024 Rev.)</w:t>
            </w:r>
          </w:p>
        </w:tc>
      </w:tr>
    </w:tbl>
    <w:p/>
    <w:p>
      <w:pPr>
        <w:pStyle w:val="Heading1"/>
      </w:pPr>
      <w:r>
        <w:t>I. Executive Summary and Bottom Line</w:t>
      </w:r>
    </w:p>
    <w:p>
      <w:r>
        <w:rPr>
          <w:b/>
        </w:rPr>
        <w:t xml:space="preserve">Recommendation: Do not execute the engagement letter as drafted. </w:t>
      </w:r>
      <w:r>
        <w:t>The proposed engagement letter from Hawthorne, Bellamy &amp; Cross LLP ("HB&amp;C") conflicts with the Outside Counsel Guidelines ("OCG") in nearly every substantive area. We identified 40+ deviations, including several that are threshold barriers to engagement, not just negotiable terms. Under OCG §§ 1.1 and 2.1, conflicting terms are void unless the General Counsel waives them in a separate writing. Even so, signing a letter with these terms would invite disputes over which document controls. The letter's own integration clause (§ 19) purports to supersede everything else, and it never mentions the OCG.</w:t>
      </w:r>
    </w:p>
    <w:p>
      <w:r>
        <w:rPr>
          <w:b w:val="0"/>
          <w:i w:val="0"/>
        </w:rPr>
        <w:t>Three issues must be resolved before HB&amp;C can be engaged at all:</w:t>
      </w:r>
    </w:p>
    <w:p>
      <w:pPr>
        <w:pStyle w:val="ListBullet"/>
      </w:pPr>
      <w:r>
        <w:rPr>
          <w:b/>
        </w:rPr>
        <w:t xml:space="preserve">Undisclosed conflict / defective conflicts clearance (OCG § 2.2). </w:t>
      </w:r>
      <w:r>
        <w:t>HB&amp;C currently represents MedBridge Therapeutics, which holds about 8% of the equity in NovaTech, the adverse party. That exceeds the OCG's 5% "material financial interest" threshold. The concurrent representation is therefore prohibited unless HB&amp;C makes a detailed written disclosure and the General Counsel gives informed written consent. Ms. Morrow raised the issue informally with Mr. Ridley and called it a "non-issue." The firm's "formal" clearance email from Mr. Alcott (Oct. 4) says the check was run only against NovaTech, its principals and Prescott Lane, and does not mention MedBridge at all. Engagement letter § 11 states there are "no current conflicts." The letter also contains a blanket advance waiver, which the OCG prohibits.</w:t>
      </w:r>
    </w:p>
    <w:p>
      <w:pPr>
        <w:pStyle w:val="ListBullet"/>
      </w:pPr>
      <w:r>
        <w:rPr>
          <w:b/>
        </w:rPr>
        <w:t xml:space="preserve">Insurance below mandatory minimums (OCG § 2.3). </w:t>
      </w:r>
      <w:r>
        <w:t>HB&amp;C carries $10M per occurrence / $20M aggregate. The OCG requires $25M / $50M and states that Pinnacle "will not engage" a firm below these minimums. The $10M per-occurrence limit is also less than NovaTech's $14.2M damages claim.</w:t>
      </w:r>
    </w:p>
    <w:p>
      <w:pPr>
        <w:pStyle w:val="ListBullet"/>
      </w:pPr>
      <w:r>
        <w:rPr>
          <w:b/>
        </w:rPr>
        <w:t xml:space="preserve">Liability-shifting terms that are unacceptable and ethically questionable. </w:t>
      </w:r>
      <w:r>
        <w:t>Section 13 caps HB&amp;C's malpractice liability at the lesser of $1M or fees paid, which is $0 at signing. Section 14 requires Pinnacle to indemnify the firm for everything except "solely" willful misconduct, which would cover the firm's own negligence. Section 15 claims a retaining lien over Pinnacle's files, and § 9 imposes a 15% termination fee.</w:t>
      </w:r>
    </w:p>
    <w:p>
      <w:r>
        <w:rPr>
          <w:b/>
        </w:rPr>
        <w:t xml:space="preserve">Financial impact. </w:t>
      </w:r>
      <w:r>
        <w:t>If we accepted the terms as written, Pinnacle's realistic exposure would be well above the $2.4M "budget":</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F3864"/>
          </w:tcPr>
          <w:p>
            <w:r/>
            <w:r>
              <w:rPr>
                <w:b/>
                <w:color w:val="FFFFFF"/>
                <w:sz w:val="19"/>
              </w:rPr>
              <w:t>Component</w:t>
            </w:r>
          </w:p>
        </w:tc>
        <w:tc>
          <w:tcPr>
            <w:tcW w:type="dxa" w:w="2016"/>
            <w:shd w:val="clear" w:color="auto" w:fill="1F3864"/>
          </w:tcPr>
          <w:p>
            <w:r/>
            <w:r>
              <w:rPr>
                <w:b/>
                <w:color w:val="FFFFFF"/>
                <w:sz w:val="19"/>
              </w:rPr>
              <w:t>As Proposed</w:t>
            </w:r>
          </w:p>
        </w:tc>
        <w:tc>
          <w:tcPr>
            <w:tcW w:type="dxa" w:w="4176"/>
            <w:shd w:val="clear" w:color="auto" w:fill="1F3864"/>
          </w:tcPr>
          <w:p>
            <w:r/>
            <w:r>
              <w:rPr>
                <w:b/>
                <w:color w:val="FFFFFF"/>
                <w:sz w:val="19"/>
              </w:rPr>
              <w:t>Comment</w:t>
            </w:r>
          </w:p>
        </w:tc>
      </w:tr>
      <w:tr>
        <w:tc>
          <w:tcPr>
            <w:tcW w:type="dxa" w:w="3168"/>
          </w:tcPr>
          <w:p>
            <w:r/>
            <w:r>
              <w:rPr>
                <w:sz w:val="19"/>
              </w:rPr>
              <w:t>Litigation budget (fees + some costs)</w:t>
            </w:r>
          </w:p>
        </w:tc>
        <w:tc>
          <w:tcPr>
            <w:tcW w:type="dxa" w:w="2016"/>
          </w:tcPr>
          <w:p>
            <w:r/>
            <w:r>
              <w:rPr>
                <w:sz w:val="19"/>
              </w:rPr>
              <w:t>$2,400,000</w:t>
            </w:r>
          </w:p>
        </w:tc>
        <w:tc>
          <w:tcPr>
            <w:tcW w:type="dxa" w:w="4176"/>
          </w:tcPr>
          <w:p>
            <w:r/>
            <w:r>
              <w:rPr>
                <w:sz w:val="19"/>
              </w:rPr>
              <w:t>"Not a cap"; uses 2025 rates with no allowance for the automatic 5% annual increases</w:t>
            </w:r>
          </w:p>
        </w:tc>
      </w:tr>
      <w:tr>
        <w:tc>
          <w:tcPr>
            <w:tcW w:type="dxa" w:w="3168"/>
          </w:tcPr>
          <w:p>
            <w:r/>
            <w:r>
              <w:rPr>
                <w:sz w:val="19"/>
              </w:rPr>
              <w:t>CrossPoint e-discovery (outside budget)</w:t>
            </w:r>
          </w:p>
        </w:tc>
        <w:tc>
          <w:tcPr>
            <w:tcW w:type="dxa" w:w="2016"/>
          </w:tcPr>
          <w:p>
            <w:r/>
            <w:r>
              <w:rPr>
                <w:sz w:val="19"/>
              </w:rPr>
              <w:t>$380,000</w:t>
            </w:r>
          </w:p>
        </w:tc>
        <w:tc>
          <w:tcPr>
            <w:tcW w:type="dxa" w:w="4176"/>
          </w:tcPr>
          <w:p>
            <w:r/>
            <w:r>
              <w:rPr>
                <w:sz w:val="19"/>
              </w:rPr>
              <w:t>Firm-affiliated "strategic partner"; no competitive bid; contract reviewers excluded</w:t>
            </w:r>
          </w:p>
        </w:tc>
      </w:tr>
      <w:tr>
        <w:tc>
          <w:tcPr>
            <w:tcW w:type="dxa" w:w="3168"/>
          </w:tcPr>
          <w:p>
            <w:r/>
            <w:r>
              <w:rPr>
                <w:sz w:val="19"/>
              </w:rPr>
              <w:t>Success fee</w:t>
            </w:r>
          </w:p>
        </w:tc>
        <w:tc>
          <w:tcPr>
            <w:tcW w:type="dxa" w:w="2016"/>
          </w:tcPr>
          <w:p>
            <w:r/>
            <w:r>
              <w:rPr>
                <w:sz w:val="19"/>
              </w:rPr>
              <w:t>Up to $1,420,000</w:t>
            </w:r>
          </w:p>
        </w:tc>
        <w:tc>
          <w:tcPr>
            <w:tcW w:type="dxa" w:w="4176"/>
          </w:tcPr>
          <w:p>
            <w:r/>
            <w:r>
              <w:rPr>
                <w:sz w:val="19"/>
              </w:rPr>
              <w:t>If dismissed or $0 judgment: 10% × $14.2M. Embedded in the letter, no cap, cliff at $7M</w:t>
            </w:r>
          </w:p>
        </w:tc>
      </w:tr>
      <w:tr>
        <w:tc>
          <w:tcPr>
            <w:tcW w:type="dxa" w:w="3168"/>
          </w:tcPr>
          <w:p>
            <w:r/>
            <w:r>
              <w:rPr>
                <w:sz w:val="19"/>
              </w:rPr>
              <w:t>Termination fee</w:t>
            </w:r>
          </w:p>
        </w:tc>
        <w:tc>
          <w:tcPr>
            <w:tcW w:type="dxa" w:w="2016"/>
          </w:tcPr>
          <w:p>
            <w:r/>
            <w:r>
              <w:rPr>
                <w:sz w:val="19"/>
              </w:rPr>
              <w:t>15% of fees billed</w:t>
            </w:r>
          </w:p>
        </w:tc>
        <w:tc>
          <w:tcPr>
            <w:tcW w:type="dxa" w:w="4176"/>
          </w:tcPr>
          <w:p>
            <w:r/>
            <w:r>
              <w:rPr>
                <w:sz w:val="19"/>
              </w:rPr>
              <w:t>E.g., $150,000 if terminated after $1M billed</w:t>
            </w:r>
          </w:p>
        </w:tc>
      </w:tr>
      <w:tr>
        <w:tc>
          <w:tcPr>
            <w:tcW w:type="dxa" w:w="3168"/>
          </w:tcPr>
          <w:p>
            <w:r/>
            <w:r>
              <w:rPr>
                <w:sz w:val="19"/>
              </w:rPr>
              <w:t>Automatic 5%/yr escalation</w:t>
            </w:r>
          </w:p>
        </w:tc>
        <w:tc>
          <w:tcPr>
            <w:tcW w:type="dxa" w:w="2016"/>
          </w:tcPr>
          <w:p>
            <w:r/>
            <w:r>
              <w:rPr>
                <w:sz w:val="19"/>
              </w:rPr>
              <w:t>≈ $65,000+ on core-team fees alone</w:t>
            </w:r>
          </w:p>
        </w:tc>
        <w:tc>
          <w:tcPr>
            <w:tcW w:type="dxa" w:w="4176"/>
          </w:tcPr>
          <w:p>
            <w:r/>
            <w:r>
              <w:rPr>
                <w:sz w:val="19"/>
              </w:rPr>
              <w:t>Most work occurs in 2026–2027; not reflected in budget</w:t>
            </w:r>
          </w:p>
        </w:tc>
      </w:tr>
      <w:tr>
        <w:tc>
          <w:tcPr>
            <w:tcW w:type="dxa" w:w="3168"/>
          </w:tcPr>
          <w:p>
            <w:r/>
            <w:r>
              <w:rPr>
                <w:sz w:val="19"/>
              </w:rPr>
              <w:t>Non-refundable retainer</w:t>
            </w:r>
          </w:p>
        </w:tc>
        <w:tc>
          <w:tcPr>
            <w:tcW w:type="dxa" w:w="2016"/>
          </w:tcPr>
          <w:p>
            <w:r/>
            <w:r>
              <w:rPr>
                <w:sz w:val="19"/>
              </w:rPr>
              <w:t>$250,000 up front</w:t>
            </w:r>
          </w:p>
        </w:tc>
        <w:tc>
          <w:tcPr>
            <w:tcW w:type="dxa" w:w="4176"/>
          </w:tcPr>
          <w:p>
            <w:r/>
            <w:r>
              <w:rPr>
                <w:sz w:val="19"/>
              </w:rPr>
              <w:t>Goes to operating account; forfeited on early termination</w:t>
            </w:r>
          </w:p>
        </w:tc>
      </w:tr>
      <w:tr>
        <w:tc>
          <w:tcPr>
            <w:tcW w:type="dxa" w:w="3168"/>
          </w:tcPr>
          <w:p>
            <w:r/>
            <w:r>
              <w:rPr>
                <w:sz w:val="19"/>
              </w:rPr>
              <w:t>Total potential cost of the engagement</w:t>
            </w:r>
          </w:p>
        </w:tc>
        <w:tc>
          <w:tcPr>
            <w:tcW w:type="dxa" w:w="2016"/>
          </w:tcPr>
          <w:p>
            <w:r/>
            <w:r>
              <w:rPr>
                <w:sz w:val="19"/>
              </w:rPr>
              <w:t>≈ $4.2M+</w:t>
            </w:r>
          </w:p>
        </w:tc>
        <w:tc>
          <w:tcPr>
            <w:tcW w:type="dxa" w:w="4176"/>
          </w:tcPr>
          <w:p>
            <w:r/>
            <w:r>
              <w:rPr>
                <w:sz w:val="19"/>
              </w:rPr>
              <w:t>Compared with a $14.2M claim</w:t>
            </w:r>
          </w:p>
        </w:tc>
      </w:tr>
    </w:tbl>
    <w:p/>
    <w:p>
      <w:r>
        <w:rPr>
          <w:b/>
        </w:rPr>
        <w:t xml:space="preserve">Timing. </w:t>
      </w:r>
      <w:r>
        <w:t>HB&amp;C asks for the signed letter by October 18, 2025. The Answer is due November 7, 2025, and the Rule 26(f) conference is December 5, 2025. We recommend sending HB&amp;C a written list of required changes (Section VII) right away. If needed, we can authorize limited interim work on the Answer by a separate short letter that incorporates the OCG, but only after the MedBridge conflict has been properly disclosed and consented to or declined. We should also consider a parallel request to a backup panel firm in case HB&amp;C cannot meet the insurance and conflict requirements.</w:t>
      </w:r>
    </w:p>
    <w:p>
      <w:pPr>
        <w:pStyle w:val="Heading1"/>
      </w:pPr>
      <w:r>
        <w:t>II. Documents Reviewed</w:t>
      </w:r>
    </w:p>
    <w:tbl>
      <w:tblPr>
        <w:tblStyle w:val="TableGrid"/>
        <w:tblW w:type="auto" w:w="0"/>
        <w:tblLook w:firstColumn="1" w:firstRow="1" w:lastColumn="0" w:lastRow="0" w:noHBand="0" w:noVBand="1" w:val="04A0"/>
      </w:tblPr>
      <w:tblGrid>
        <w:gridCol w:w="3120"/>
        <w:gridCol w:w="3120"/>
        <w:gridCol w:w="3120"/>
      </w:tblGrid>
      <w:tr>
        <w:tc>
          <w:tcPr>
            <w:tcW w:type="dxa" w:w="5472"/>
            <w:shd w:val="clear" w:color="auto" w:fill="1F3864"/>
          </w:tcPr>
          <w:p>
            <w:r/>
            <w:r>
              <w:rPr>
                <w:b/>
                <w:color w:val="FFFFFF"/>
                <w:sz w:val="19"/>
              </w:rPr>
              <w:t>Document</w:t>
            </w:r>
          </w:p>
        </w:tc>
        <w:tc>
          <w:tcPr>
            <w:tcW w:type="dxa" w:w="1728"/>
            <w:shd w:val="clear" w:color="auto" w:fill="1F3864"/>
          </w:tcPr>
          <w:p>
            <w:r/>
            <w:r>
              <w:rPr>
                <w:b/>
                <w:color w:val="FFFFFF"/>
                <w:sz w:val="19"/>
              </w:rPr>
              <w:t>Date</w:t>
            </w:r>
          </w:p>
        </w:tc>
        <w:tc>
          <w:tcPr>
            <w:tcW w:type="dxa" w:w="2160"/>
            <w:shd w:val="clear" w:color="auto" w:fill="1F3864"/>
          </w:tcPr>
          <w:p>
            <w:r/>
            <w:r>
              <w:rPr>
                <w:b/>
                <w:color w:val="FFFFFF"/>
                <w:sz w:val="19"/>
              </w:rPr>
              <w:t>Author</w:t>
            </w:r>
          </w:p>
        </w:tc>
      </w:tr>
      <w:tr>
        <w:tc>
          <w:tcPr>
            <w:tcW w:type="dxa" w:w="5472"/>
          </w:tcPr>
          <w:p>
            <w:r/>
            <w:r>
              <w:rPr>
                <w:sz w:val="19"/>
              </w:rPr>
              <w:t>Pinnacle Outside Counsel Guidelines, January 2024 Revision (controlling)</w:t>
            </w:r>
          </w:p>
        </w:tc>
        <w:tc>
          <w:tcPr>
            <w:tcW w:type="dxa" w:w="1728"/>
          </w:tcPr>
          <w:p>
            <w:r/>
            <w:r>
              <w:rPr>
                <w:sz w:val="19"/>
              </w:rPr>
              <w:t>Eff. Jan. 1, 2024</w:t>
            </w:r>
          </w:p>
        </w:tc>
        <w:tc>
          <w:tcPr>
            <w:tcW w:type="dxa" w:w="2160"/>
          </w:tcPr>
          <w:p>
            <w:r/>
            <w:r>
              <w:rPr>
                <w:sz w:val="19"/>
              </w:rPr>
              <w:t>Pinnacle OGC</w:t>
            </w:r>
          </w:p>
        </w:tc>
      </w:tr>
      <w:tr>
        <w:tc>
          <w:tcPr>
            <w:tcW w:type="dxa" w:w="5472"/>
          </w:tcPr>
          <w:p>
            <w:r/>
            <w:r>
              <w:rPr>
                <w:sz w:val="19"/>
              </w:rPr>
              <w:t>Proposed Engagement Letter, with Exhibit A (Rate Schedule) and Exhibit B (Budget)</w:t>
            </w:r>
          </w:p>
        </w:tc>
        <w:tc>
          <w:tcPr>
            <w:tcW w:type="dxa" w:w="1728"/>
          </w:tcPr>
          <w:p>
            <w:r/>
            <w:r>
              <w:rPr>
                <w:sz w:val="19"/>
              </w:rPr>
              <w:t>Oct. 6, 2025</w:t>
            </w:r>
          </w:p>
        </w:tc>
        <w:tc>
          <w:tcPr>
            <w:tcW w:type="dxa" w:w="2160"/>
          </w:tcPr>
          <w:p>
            <w:r/>
            <w:r>
              <w:rPr>
                <w:sz w:val="19"/>
              </w:rPr>
              <w:t>S. Morrow, HB&amp;C</w:t>
            </w:r>
          </w:p>
        </w:tc>
      </w:tr>
      <w:tr>
        <w:tc>
          <w:tcPr>
            <w:tcW w:type="dxa" w:w="5472"/>
          </w:tcPr>
          <w:p>
            <w:r/>
            <w:r>
              <w:rPr>
                <w:sz w:val="19"/>
              </w:rPr>
              <w:t>Proposed Staffing Plan</w:t>
            </w:r>
          </w:p>
        </w:tc>
        <w:tc>
          <w:tcPr>
            <w:tcW w:type="dxa" w:w="1728"/>
          </w:tcPr>
          <w:p>
            <w:r/>
            <w:r>
              <w:rPr>
                <w:sz w:val="19"/>
              </w:rPr>
              <w:t>Oct. 6, 2025</w:t>
            </w:r>
          </w:p>
        </w:tc>
        <w:tc>
          <w:tcPr>
            <w:tcW w:type="dxa" w:w="2160"/>
          </w:tcPr>
          <w:p>
            <w:r/>
            <w:r>
              <w:rPr>
                <w:sz w:val="19"/>
              </w:rPr>
              <w:t>S. Morrow, HB&amp;C</w:t>
            </w:r>
          </w:p>
        </w:tc>
      </w:tr>
      <w:tr>
        <w:tc>
          <w:tcPr>
            <w:tcW w:type="dxa" w:w="5472"/>
          </w:tcPr>
          <w:p>
            <w:r/>
            <w:r>
              <w:rPr>
                <w:sz w:val="19"/>
              </w:rPr>
              <w:t>CrossPoint Analytics Proposal for E-Discovery Services</w:t>
            </w:r>
          </w:p>
        </w:tc>
        <w:tc>
          <w:tcPr>
            <w:tcW w:type="dxa" w:w="1728"/>
          </w:tcPr>
          <w:p>
            <w:r/>
            <w:r>
              <w:rPr>
                <w:sz w:val="19"/>
              </w:rPr>
              <w:t>Oct. 5, 2025</w:t>
            </w:r>
          </w:p>
        </w:tc>
        <w:tc>
          <w:tcPr>
            <w:tcW w:type="dxa" w:w="2160"/>
          </w:tcPr>
          <w:p>
            <w:r/>
            <w:r>
              <w:rPr>
                <w:sz w:val="19"/>
              </w:rPr>
              <w:t>N. Collier, CrossPoint</w:t>
            </w:r>
          </w:p>
        </w:tc>
      </w:tr>
      <w:tr>
        <w:tc>
          <w:tcPr>
            <w:tcW w:type="dxa" w:w="5472"/>
          </w:tcPr>
          <w:p>
            <w:r/>
            <w:r>
              <w:rPr>
                <w:sz w:val="19"/>
              </w:rPr>
              <w:t>Email: "Disclosure Regarding MedBridge Therapeutics"</w:t>
            </w:r>
          </w:p>
        </w:tc>
        <w:tc>
          <w:tcPr>
            <w:tcW w:type="dxa" w:w="1728"/>
          </w:tcPr>
          <w:p>
            <w:r/>
            <w:r>
              <w:rPr>
                <w:sz w:val="19"/>
              </w:rPr>
              <w:t>Oct. 3, 2025</w:t>
            </w:r>
          </w:p>
        </w:tc>
        <w:tc>
          <w:tcPr>
            <w:tcW w:type="dxa" w:w="2160"/>
          </w:tcPr>
          <w:p>
            <w:r/>
            <w:r>
              <w:rPr>
                <w:sz w:val="19"/>
              </w:rPr>
              <w:t>S. Morrow to T. Ridley</w:t>
            </w:r>
          </w:p>
        </w:tc>
      </w:tr>
      <w:tr>
        <w:tc>
          <w:tcPr>
            <w:tcW w:type="dxa" w:w="5472"/>
          </w:tcPr>
          <w:p>
            <w:r/>
            <w:r>
              <w:rPr>
                <w:sz w:val="19"/>
              </w:rPr>
              <w:t>Email: "RE: Conflicts Clearance"</w:t>
            </w:r>
          </w:p>
        </w:tc>
        <w:tc>
          <w:tcPr>
            <w:tcW w:type="dxa" w:w="1728"/>
          </w:tcPr>
          <w:p>
            <w:r/>
            <w:r>
              <w:rPr>
                <w:sz w:val="19"/>
              </w:rPr>
              <w:t>Oct. 4, 2025</w:t>
            </w:r>
          </w:p>
        </w:tc>
        <w:tc>
          <w:tcPr>
            <w:tcW w:type="dxa" w:w="2160"/>
          </w:tcPr>
          <w:p>
            <w:r/>
            <w:r>
              <w:rPr>
                <w:sz w:val="19"/>
              </w:rPr>
              <w:t>J. Alcott to T. Ridley</w:t>
            </w:r>
          </w:p>
        </w:tc>
      </w:tr>
    </w:tbl>
    <w:p/>
    <w:p>
      <w:pPr>
        <w:pStyle w:val="Heading1"/>
      </w:pPr>
      <w:r>
        <w:t>III. Issues Matrix</w:t>
      </w:r>
    </w:p>
    <w:p>
      <w:r>
        <w:rPr>
          <w:b w:val="0"/>
          <w:i/>
        </w:rPr>
        <w:t>Severity key: Critical = bars engagement or creates significant legal/ethical exposure; High = material financial or control deviation, must be corrected; Medium = must be corrected, low negotiation risk; Low = clean-up or clarification.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32"/>
            <w:shd w:val="clear" w:color="auto" w:fill="1F3864"/>
          </w:tcPr>
          <w:p>
            <w:r/>
            <w:r>
              <w:rPr>
                <w:b/>
                <w:color w:val="FFFFFF"/>
                <w:sz w:val="19"/>
              </w:rPr>
              <w:t>#</w:t>
            </w:r>
          </w:p>
        </w:tc>
        <w:tc>
          <w:tcPr>
            <w:tcW w:type="dxa" w:w="1440"/>
            <w:shd w:val="clear" w:color="auto" w:fill="1F3864"/>
          </w:tcPr>
          <w:p>
            <w:r/>
            <w:r>
              <w:rPr>
                <w:b/>
                <w:color w:val="FFFFFF"/>
                <w:sz w:val="19"/>
              </w:rPr>
              <w:t>Area</w:t>
            </w:r>
          </w:p>
        </w:tc>
        <w:tc>
          <w:tcPr>
            <w:tcW w:type="dxa" w:w="4752"/>
            <w:shd w:val="clear" w:color="auto" w:fill="1F3864"/>
          </w:tcPr>
          <w:p>
            <w:r/>
            <w:r>
              <w:rPr>
                <w:b/>
                <w:color w:val="FFFFFF"/>
                <w:sz w:val="19"/>
              </w:rPr>
              <w:t>Issue</w:t>
            </w:r>
          </w:p>
        </w:tc>
        <w:tc>
          <w:tcPr>
            <w:tcW w:type="dxa" w:w="1584"/>
            <w:shd w:val="clear" w:color="auto" w:fill="1F3864"/>
          </w:tcPr>
          <w:p>
            <w:r/>
            <w:r>
              <w:rPr>
                <w:b/>
                <w:color w:val="FFFFFF"/>
                <w:sz w:val="19"/>
              </w:rPr>
              <w:t>OCG / Authority</w:t>
            </w:r>
          </w:p>
        </w:tc>
        <w:tc>
          <w:tcPr>
            <w:tcW w:type="dxa" w:w="1152"/>
            <w:shd w:val="clear" w:color="auto" w:fill="1F3864"/>
          </w:tcPr>
          <w:p>
            <w:r/>
            <w:r>
              <w:rPr>
                <w:b/>
                <w:color w:val="FFFFFF"/>
                <w:sz w:val="19"/>
              </w:rPr>
              <w:t>Severity</w:t>
            </w:r>
          </w:p>
        </w:tc>
      </w:tr>
      <w:tr>
        <w:tc>
          <w:tcPr>
            <w:tcW w:type="dxa" w:w="432"/>
          </w:tcPr>
          <w:p>
            <w:r/>
            <w:r>
              <w:rPr>
                <w:sz w:val="19"/>
              </w:rPr>
              <w:t>1</w:t>
            </w:r>
          </w:p>
        </w:tc>
        <w:tc>
          <w:tcPr>
            <w:tcW w:type="dxa" w:w="1440"/>
          </w:tcPr>
          <w:p>
            <w:r/>
            <w:r>
              <w:rPr>
                <w:sz w:val="19"/>
              </w:rPr>
              <w:t>Conflicts</w:t>
            </w:r>
          </w:p>
        </w:tc>
        <w:tc>
          <w:tcPr>
            <w:tcW w:type="dxa" w:w="4752"/>
          </w:tcPr>
          <w:p>
            <w:r/>
            <w:r>
              <w:rPr>
                <w:sz w:val="19"/>
              </w:rPr>
              <w:t>Concurrent representation of MedBridge (8% NovaTech equity holder) without formal written disclosure or GC consent; the "clearance" does not mention it; EL § 11 says "no current conflicts"</w:t>
            </w:r>
          </w:p>
        </w:tc>
        <w:tc>
          <w:tcPr>
            <w:tcW w:type="dxa" w:w="1584"/>
          </w:tcPr>
          <w:p>
            <w:r/>
            <w:r>
              <w:rPr>
                <w:sz w:val="19"/>
              </w:rPr>
              <w:t>§ 2.2</w:t>
            </w:r>
          </w:p>
        </w:tc>
        <w:tc>
          <w:tcPr>
            <w:tcW w:type="dxa" w:w="1152"/>
            <w:shd w:val="clear" w:color="auto" w:fill="F4CCCC"/>
          </w:tcPr>
          <w:p>
            <w:r/>
            <w:r>
              <w:rPr>
                <w:b/>
                <w:sz w:val="19"/>
              </w:rPr>
              <w:t>Critical</w:t>
            </w:r>
          </w:p>
        </w:tc>
      </w:tr>
      <w:tr>
        <w:tc>
          <w:tcPr>
            <w:tcW w:type="dxa" w:w="432"/>
          </w:tcPr>
          <w:p>
            <w:r/>
            <w:r>
              <w:rPr>
                <w:sz w:val="19"/>
              </w:rPr>
              <w:t>2</w:t>
            </w:r>
          </w:p>
        </w:tc>
        <w:tc>
          <w:tcPr>
            <w:tcW w:type="dxa" w:w="1440"/>
          </w:tcPr>
          <w:p>
            <w:r/>
            <w:r>
              <w:rPr>
                <w:sz w:val="19"/>
              </w:rPr>
              <w:t>Conflicts</w:t>
            </w:r>
          </w:p>
        </w:tc>
        <w:tc>
          <w:tcPr>
            <w:tcW w:type="dxa" w:w="4752"/>
          </w:tcPr>
          <w:p>
            <w:r/>
            <w:r>
              <w:rPr>
                <w:sz w:val="19"/>
              </w:rPr>
              <w:t>Blanket advance waiver of future adverse representations with no notice required (EL § 11)</w:t>
            </w:r>
          </w:p>
        </w:tc>
        <w:tc>
          <w:tcPr>
            <w:tcW w:type="dxa" w:w="1584"/>
          </w:tcPr>
          <w:p>
            <w:r/>
            <w:r>
              <w:rPr>
                <w:sz w:val="19"/>
              </w:rPr>
              <w:t>§ 2.2</w:t>
            </w:r>
          </w:p>
        </w:tc>
        <w:tc>
          <w:tcPr>
            <w:tcW w:type="dxa" w:w="1152"/>
            <w:shd w:val="clear" w:color="auto" w:fill="F4CCCC"/>
          </w:tcPr>
          <w:p>
            <w:r/>
            <w:r>
              <w:rPr>
                <w:b/>
                <w:sz w:val="19"/>
              </w:rPr>
              <w:t>Critical</w:t>
            </w:r>
          </w:p>
        </w:tc>
      </w:tr>
      <w:tr>
        <w:tc>
          <w:tcPr>
            <w:tcW w:type="dxa" w:w="432"/>
          </w:tcPr>
          <w:p>
            <w:r/>
            <w:r>
              <w:rPr>
                <w:sz w:val="19"/>
              </w:rPr>
              <w:t>3</w:t>
            </w:r>
          </w:p>
        </w:tc>
        <w:tc>
          <w:tcPr>
            <w:tcW w:type="dxa" w:w="1440"/>
          </w:tcPr>
          <w:p>
            <w:r/>
            <w:r>
              <w:rPr>
                <w:sz w:val="19"/>
              </w:rPr>
              <w:t>Insurance</w:t>
            </w:r>
          </w:p>
        </w:tc>
        <w:tc>
          <w:tcPr>
            <w:tcW w:type="dxa" w:w="4752"/>
          </w:tcPr>
          <w:p>
            <w:r/>
            <w:r>
              <w:rPr>
                <w:sz w:val="19"/>
              </w:rPr>
              <w:t>$10M/$20M coverage vs. required $25M/$50M; "substantially equivalent" coverage language; no proof of insurance or A.M. Best rating provided</w:t>
            </w:r>
          </w:p>
        </w:tc>
        <w:tc>
          <w:tcPr>
            <w:tcW w:type="dxa" w:w="1584"/>
          </w:tcPr>
          <w:p>
            <w:r/>
            <w:r>
              <w:rPr>
                <w:sz w:val="19"/>
              </w:rPr>
              <w:t>§ 2.3</w:t>
            </w:r>
          </w:p>
        </w:tc>
        <w:tc>
          <w:tcPr>
            <w:tcW w:type="dxa" w:w="1152"/>
            <w:shd w:val="clear" w:color="auto" w:fill="F4CCCC"/>
          </w:tcPr>
          <w:p>
            <w:r/>
            <w:r>
              <w:rPr>
                <w:b/>
                <w:sz w:val="19"/>
              </w:rPr>
              <w:t>Critical</w:t>
            </w:r>
          </w:p>
        </w:tc>
      </w:tr>
      <w:tr>
        <w:tc>
          <w:tcPr>
            <w:tcW w:type="dxa" w:w="432"/>
          </w:tcPr>
          <w:p>
            <w:r/>
            <w:r>
              <w:rPr>
                <w:sz w:val="19"/>
              </w:rPr>
              <w:t>4</w:t>
            </w:r>
          </w:p>
        </w:tc>
        <w:tc>
          <w:tcPr>
            <w:tcW w:type="dxa" w:w="1440"/>
          </w:tcPr>
          <w:p>
            <w:r/>
            <w:r>
              <w:rPr>
                <w:sz w:val="19"/>
              </w:rPr>
              <w:t>Liability</w:t>
            </w:r>
          </w:p>
        </w:tc>
        <w:tc>
          <w:tcPr>
            <w:tcW w:type="dxa" w:w="4752"/>
          </w:tcPr>
          <w:p>
            <w:r/>
            <w:r>
              <w:rPr>
                <w:sz w:val="19"/>
              </w:rPr>
              <w:t>Liability cap at the lesser of $1M or fees paid (EL § 13)</w:t>
            </w:r>
          </w:p>
        </w:tc>
        <w:tc>
          <w:tcPr>
            <w:tcW w:type="dxa" w:w="1584"/>
          </w:tcPr>
          <w:p>
            <w:r/>
            <w:r>
              <w:rPr>
                <w:sz w:val="19"/>
              </w:rPr>
              <w:t>Not permitted; RPC 1.8(h)</w:t>
            </w:r>
          </w:p>
        </w:tc>
        <w:tc>
          <w:tcPr>
            <w:tcW w:type="dxa" w:w="1152"/>
            <w:shd w:val="clear" w:color="auto" w:fill="F4CCCC"/>
          </w:tcPr>
          <w:p>
            <w:r/>
            <w:r>
              <w:rPr>
                <w:b/>
                <w:sz w:val="19"/>
              </w:rPr>
              <w:t>Critical</w:t>
            </w:r>
          </w:p>
        </w:tc>
      </w:tr>
      <w:tr>
        <w:tc>
          <w:tcPr>
            <w:tcW w:type="dxa" w:w="432"/>
          </w:tcPr>
          <w:p>
            <w:r/>
            <w:r>
              <w:rPr>
                <w:sz w:val="19"/>
              </w:rPr>
              <w:t>5</w:t>
            </w:r>
          </w:p>
        </w:tc>
        <w:tc>
          <w:tcPr>
            <w:tcW w:type="dxa" w:w="1440"/>
          </w:tcPr>
          <w:p>
            <w:r/>
            <w:r>
              <w:rPr>
                <w:sz w:val="19"/>
              </w:rPr>
              <w:t>Liability</w:t>
            </w:r>
          </w:p>
        </w:tc>
        <w:tc>
          <w:tcPr>
            <w:tcW w:type="dxa" w:w="4752"/>
          </w:tcPr>
          <w:p>
            <w:r/>
            <w:r>
              <w:rPr>
                <w:sz w:val="19"/>
              </w:rPr>
              <w:t>Client indemnifies firm for everything except "solely" willful misconduct (EL § 14)</w:t>
            </w:r>
          </w:p>
        </w:tc>
        <w:tc>
          <w:tcPr>
            <w:tcW w:type="dxa" w:w="1584"/>
          </w:tcPr>
          <w:p>
            <w:r/>
            <w:r>
              <w:rPr>
                <w:sz w:val="19"/>
              </w:rPr>
              <w:t>Inconsistent with OCG framework</w:t>
            </w:r>
          </w:p>
        </w:tc>
        <w:tc>
          <w:tcPr>
            <w:tcW w:type="dxa" w:w="1152"/>
            <w:shd w:val="clear" w:color="auto" w:fill="F4CCCC"/>
          </w:tcPr>
          <w:p>
            <w:r/>
            <w:r>
              <w:rPr>
                <w:b/>
                <w:sz w:val="19"/>
              </w:rPr>
              <w:t>Critical</w:t>
            </w:r>
          </w:p>
        </w:tc>
      </w:tr>
      <w:tr>
        <w:tc>
          <w:tcPr>
            <w:tcW w:type="dxa" w:w="432"/>
          </w:tcPr>
          <w:p>
            <w:r/>
            <w:r>
              <w:rPr>
                <w:sz w:val="19"/>
              </w:rPr>
              <w:t>6</w:t>
            </w:r>
          </w:p>
        </w:tc>
        <w:tc>
          <w:tcPr>
            <w:tcW w:type="dxa" w:w="1440"/>
          </w:tcPr>
          <w:p>
            <w:r/>
            <w:r>
              <w:rPr>
                <w:sz w:val="19"/>
              </w:rPr>
              <w:t>Files</w:t>
            </w:r>
          </w:p>
        </w:tc>
        <w:tc>
          <w:tcPr>
            <w:tcW w:type="dxa" w:w="4752"/>
          </w:tcPr>
          <w:p>
            <w:r/>
            <w:r>
              <w:rPr>
                <w:sz w:val="19"/>
              </w:rPr>
              <w:t>Work product becomes Pinnacle's only on full payment; retaining lien (EL § 15)</w:t>
            </w:r>
          </w:p>
        </w:tc>
        <w:tc>
          <w:tcPr>
            <w:tcW w:type="dxa" w:w="1584"/>
          </w:tcPr>
          <w:p>
            <w:r/>
            <w:r>
              <w:rPr>
                <w:sz w:val="19"/>
              </w:rPr>
              <w:t>§§ 7.1, 7.2</w:t>
            </w:r>
          </w:p>
        </w:tc>
        <w:tc>
          <w:tcPr>
            <w:tcW w:type="dxa" w:w="1152"/>
            <w:shd w:val="clear" w:color="auto" w:fill="F4CCCC"/>
          </w:tcPr>
          <w:p>
            <w:r/>
            <w:r>
              <w:rPr>
                <w:b/>
                <w:sz w:val="19"/>
              </w:rPr>
              <w:t>Critical</w:t>
            </w:r>
          </w:p>
        </w:tc>
      </w:tr>
      <w:tr>
        <w:tc>
          <w:tcPr>
            <w:tcW w:type="dxa" w:w="432"/>
          </w:tcPr>
          <w:p>
            <w:r/>
            <w:r>
              <w:rPr>
                <w:sz w:val="19"/>
              </w:rPr>
              <w:t>7</w:t>
            </w:r>
          </w:p>
        </w:tc>
        <w:tc>
          <w:tcPr>
            <w:tcW w:type="dxa" w:w="1440"/>
          </w:tcPr>
          <w:p>
            <w:r/>
            <w:r>
              <w:rPr>
                <w:sz w:val="19"/>
              </w:rPr>
              <w:t>Termination</w:t>
            </w:r>
          </w:p>
        </w:tc>
        <w:tc>
          <w:tcPr>
            <w:tcW w:type="dxa" w:w="4752"/>
          </w:tcPr>
          <w:p>
            <w:r/>
            <w:r>
              <w:rPr>
                <w:sz w:val="19"/>
              </w:rPr>
              <w:t>15% termination fee on Client termination (EL § 9)</w:t>
            </w:r>
          </w:p>
        </w:tc>
        <w:tc>
          <w:tcPr>
            <w:tcW w:type="dxa" w:w="1584"/>
          </w:tcPr>
          <w:p>
            <w:r/>
            <w:r>
              <w:rPr>
                <w:sz w:val="19"/>
              </w:rPr>
              <w:t>§ 8.1</w:t>
            </w:r>
          </w:p>
        </w:tc>
        <w:tc>
          <w:tcPr>
            <w:tcW w:type="dxa" w:w="1152"/>
            <w:shd w:val="clear" w:color="auto" w:fill="F4CCCC"/>
          </w:tcPr>
          <w:p>
            <w:r/>
            <w:r>
              <w:rPr>
                <w:b/>
                <w:sz w:val="19"/>
              </w:rPr>
              <w:t>Critical</w:t>
            </w:r>
          </w:p>
        </w:tc>
      </w:tr>
      <w:tr>
        <w:tc>
          <w:tcPr>
            <w:tcW w:type="dxa" w:w="432"/>
          </w:tcPr>
          <w:p>
            <w:r/>
            <w:r>
              <w:rPr>
                <w:sz w:val="19"/>
              </w:rPr>
              <w:t>8</w:t>
            </w:r>
          </w:p>
        </w:tc>
        <w:tc>
          <w:tcPr>
            <w:tcW w:type="dxa" w:w="1440"/>
          </w:tcPr>
          <w:p>
            <w:r/>
            <w:r>
              <w:rPr>
                <w:sz w:val="19"/>
              </w:rPr>
              <w:t>Success fee</w:t>
            </w:r>
          </w:p>
        </w:tc>
        <w:tc>
          <w:tcPr>
            <w:tcW w:type="dxa" w:w="4752"/>
          </w:tcPr>
          <w:p>
            <w:r/>
            <w:r>
              <w:rPr>
                <w:sz w:val="19"/>
              </w:rPr>
              <w:t>Success fee embedded in the letter; no cap; cliff structure; not a separate GC-approved agreement (EL § 10)</w:t>
            </w:r>
          </w:p>
        </w:tc>
        <w:tc>
          <w:tcPr>
            <w:tcW w:type="dxa" w:w="1584"/>
          </w:tcPr>
          <w:p>
            <w:r/>
            <w:r>
              <w:rPr>
                <w:sz w:val="19"/>
              </w:rPr>
              <w:t>§ 9.2</w:t>
            </w:r>
          </w:p>
        </w:tc>
        <w:tc>
          <w:tcPr>
            <w:tcW w:type="dxa" w:w="1152"/>
            <w:shd w:val="clear" w:color="auto" w:fill="FCE5CD"/>
          </w:tcPr>
          <w:p>
            <w:r/>
            <w:r>
              <w:rPr>
                <w:b/>
                <w:sz w:val="19"/>
              </w:rPr>
              <w:t>High</w:t>
            </w:r>
          </w:p>
        </w:tc>
      </w:tr>
      <w:tr>
        <w:tc>
          <w:tcPr>
            <w:tcW w:type="dxa" w:w="432"/>
          </w:tcPr>
          <w:p>
            <w:r/>
            <w:r>
              <w:rPr>
                <w:sz w:val="19"/>
              </w:rPr>
              <w:t>9</w:t>
            </w:r>
          </w:p>
        </w:tc>
        <w:tc>
          <w:tcPr>
            <w:tcW w:type="dxa" w:w="1440"/>
          </w:tcPr>
          <w:p>
            <w:r/>
            <w:r>
              <w:rPr>
                <w:sz w:val="19"/>
              </w:rPr>
              <w:t>Retainer</w:t>
            </w:r>
          </w:p>
        </w:tc>
        <w:tc>
          <w:tcPr>
            <w:tcW w:type="dxa" w:w="4752"/>
          </w:tcPr>
          <w:p>
            <w:r/>
            <w:r>
              <w:rPr>
                <w:sz w:val="19"/>
              </w:rPr>
              <w:t>$250,000 non-refundable retainer paid into operating account (EL § 4)</w:t>
            </w:r>
          </w:p>
        </w:tc>
        <w:tc>
          <w:tcPr>
            <w:tcW w:type="dxa" w:w="1584"/>
          </w:tcPr>
          <w:p>
            <w:r/>
            <w:r>
              <w:rPr>
                <w:sz w:val="19"/>
              </w:rPr>
              <w:t>§ 3.6; RPC 1.15/1.5</w:t>
            </w:r>
          </w:p>
        </w:tc>
        <w:tc>
          <w:tcPr>
            <w:tcW w:type="dxa" w:w="1152"/>
            <w:shd w:val="clear" w:color="auto" w:fill="FCE5CD"/>
          </w:tcPr>
          <w:p>
            <w:r/>
            <w:r>
              <w:rPr>
                <w:b/>
                <w:sz w:val="19"/>
              </w:rPr>
              <w:t>High</w:t>
            </w:r>
          </w:p>
        </w:tc>
      </w:tr>
      <w:tr>
        <w:tc>
          <w:tcPr>
            <w:tcW w:type="dxa" w:w="432"/>
          </w:tcPr>
          <w:p>
            <w:r/>
            <w:r>
              <w:rPr>
                <w:sz w:val="19"/>
              </w:rPr>
              <w:t>10</w:t>
            </w:r>
          </w:p>
        </w:tc>
        <w:tc>
          <w:tcPr>
            <w:tcW w:type="dxa" w:w="1440"/>
          </w:tcPr>
          <w:p>
            <w:r/>
            <w:r>
              <w:rPr>
                <w:sz w:val="19"/>
              </w:rPr>
              <w:t>Rates</w:t>
            </w:r>
          </w:p>
        </w:tc>
        <w:tc>
          <w:tcPr>
            <w:tcW w:type="dxa" w:w="4752"/>
          </w:tcPr>
          <w:p>
            <w:r/>
            <w:r>
              <w:rPr>
                <w:sz w:val="19"/>
              </w:rPr>
              <w:t>Every timekeeper exceeds the rate caps (EL § 3.1, Ex. A)</w:t>
            </w:r>
          </w:p>
        </w:tc>
        <w:tc>
          <w:tcPr>
            <w:tcW w:type="dxa" w:w="1584"/>
          </w:tcPr>
          <w:p>
            <w:r/>
            <w:r>
              <w:rPr>
                <w:sz w:val="19"/>
              </w:rPr>
              <w:t>§ 3.1</w:t>
            </w:r>
          </w:p>
        </w:tc>
        <w:tc>
          <w:tcPr>
            <w:tcW w:type="dxa" w:w="1152"/>
            <w:shd w:val="clear" w:color="auto" w:fill="FCE5CD"/>
          </w:tcPr>
          <w:p>
            <w:r/>
            <w:r>
              <w:rPr>
                <w:b/>
                <w:sz w:val="19"/>
              </w:rPr>
              <w:t>High</w:t>
            </w:r>
          </w:p>
        </w:tc>
      </w:tr>
      <w:tr>
        <w:tc>
          <w:tcPr>
            <w:tcW w:type="dxa" w:w="432"/>
          </w:tcPr>
          <w:p>
            <w:r/>
            <w:r>
              <w:rPr>
                <w:sz w:val="19"/>
              </w:rPr>
              <w:t>11</w:t>
            </w:r>
          </w:p>
        </w:tc>
        <w:tc>
          <w:tcPr>
            <w:tcW w:type="dxa" w:w="1440"/>
          </w:tcPr>
          <w:p>
            <w:r/>
            <w:r>
              <w:rPr>
                <w:sz w:val="19"/>
              </w:rPr>
              <w:t>Rates</w:t>
            </w:r>
          </w:p>
        </w:tc>
        <w:tc>
          <w:tcPr>
            <w:tcW w:type="dxa" w:w="4752"/>
          </w:tcPr>
          <w:p>
            <w:r/>
            <w:r>
              <w:rPr>
                <w:sz w:val="19"/>
              </w:rPr>
              <w:t>Automatic 5% annual escalation with no notice or approval (EL § 3.3)</w:t>
            </w:r>
          </w:p>
        </w:tc>
        <w:tc>
          <w:tcPr>
            <w:tcW w:type="dxa" w:w="1584"/>
          </w:tcPr>
          <w:p>
            <w:r/>
            <w:r>
              <w:rPr>
                <w:sz w:val="19"/>
              </w:rPr>
              <w:t>§ 3.2</w:t>
            </w:r>
          </w:p>
        </w:tc>
        <w:tc>
          <w:tcPr>
            <w:tcW w:type="dxa" w:w="1152"/>
            <w:shd w:val="clear" w:color="auto" w:fill="FCE5CD"/>
          </w:tcPr>
          <w:p>
            <w:r/>
            <w:r>
              <w:rPr>
                <w:b/>
                <w:sz w:val="19"/>
              </w:rPr>
              <w:t>High</w:t>
            </w:r>
          </w:p>
        </w:tc>
      </w:tr>
      <w:tr>
        <w:tc>
          <w:tcPr>
            <w:tcW w:type="dxa" w:w="432"/>
          </w:tcPr>
          <w:p>
            <w:r/>
            <w:r>
              <w:rPr>
                <w:sz w:val="19"/>
              </w:rPr>
              <w:t>12</w:t>
            </w:r>
          </w:p>
        </w:tc>
        <w:tc>
          <w:tcPr>
            <w:tcW w:type="dxa" w:w="1440"/>
          </w:tcPr>
          <w:p>
            <w:r/>
            <w:r>
              <w:rPr>
                <w:sz w:val="19"/>
              </w:rPr>
              <w:t>Rates</w:t>
            </w:r>
          </w:p>
        </w:tc>
        <w:tc>
          <w:tcPr>
            <w:tcW w:type="dxa" w:w="4752"/>
          </w:tcPr>
          <w:p>
            <w:r/>
            <w:r>
              <w:rPr>
                <w:sz w:val="19"/>
              </w:rPr>
              <w:t>Blended rate of $685 vs. $625 cap; costs more than the standard rates</w:t>
            </w:r>
          </w:p>
        </w:tc>
        <w:tc>
          <w:tcPr>
            <w:tcW w:type="dxa" w:w="1584"/>
          </w:tcPr>
          <w:p>
            <w:r/>
            <w:r>
              <w:rPr>
                <w:sz w:val="19"/>
              </w:rPr>
              <w:t>§§ 3.3, 9.3</w:t>
            </w:r>
          </w:p>
        </w:tc>
        <w:tc>
          <w:tcPr>
            <w:tcW w:type="dxa" w:w="1152"/>
            <w:shd w:val="clear" w:color="auto" w:fill="FCE5CD"/>
          </w:tcPr>
          <w:p>
            <w:r/>
            <w:r>
              <w:rPr>
                <w:b/>
                <w:sz w:val="19"/>
              </w:rPr>
              <w:t>High</w:t>
            </w:r>
          </w:p>
        </w:tc>
      </w:tr>
      <w:tr>
        <w:tc>
          <w:tcPr>
            <w:tcW w:type="dxa" w:w="432"/>
          </w:tcPr>
          <w:p>
            <w:r/>
            <w:r>
              <w:rPr>
                <w:sz w:val="19"/>
              </w:rPr>
              <w:t>13</w:t>
            </w:r>
          </w:p>
        </w:tc>
        <w:tc>
          <w:tcPr>
            <w:tcW w:type="dxa" w:w="1440"/>
          </w:tcPr>
          <w:p>
            <w:r/>
            <w:r>
              <w:rPr>
                <w:sz w:val="19"/>
              </w:rPr>
              <w:t>Staffing</w:t>
            </w:r>
          </w:p>
        </w:tc>
        <w:tc>
          <w:tcPr>
            <w:tcW w:type="dxa" w:w="4752"/>
          </w:tcPr>
          <w:p>
            <w:r/>
            <w:r>
              <w:rPr>
                <w:sz w:val="19"/>
              </w:rPr>
              <w:t>Firm has "sole discretion" over staffing; can add attorneys from other offices</w:t>
            </w:r>
          </w:p>
        </w:tc>
        <w:tc>
          <w:tcPr>
            <w:tcW w:type="dxa" w:w="1584"/>
          </w:tcPr>
          <w:p>
            <w:r/>
            <w:r>
              <w:rPr>
                <w:sz w:val="19"/>
              </w:rPr>
              <w:t>§§ 6.1, 6.2</w:t>
            </w:r>
          </w:p>
        </w:tc>
        <w:tc>
          <w:tcPr>
            <w:tcW w:type="dxa" w:w="1152"/>
            <w:shd w:val="clear" w:color="auto" w:fill="FCE5CD"/>
          </w:tcPr>
          <w:p>
            <w:r/>
            <w:r>
              <w:rPr>
                <w:b/>
                <w:sz w:val="19"/>
              </w:rPr>
              <w:t>High</w:t>
            </w:r>
          </w:p>
        </w:tc>
      </w:tr>
      <w:tr>
        <w:tc>
          <w:tcPr>
            <w:tcW w:type="dxa" w:w="432"/>
          </w:tcPr>
          <w:p>
            <w:r/>
            <w:r>
              <w:rPr>
                <w:sz w:val="19"/>
              </w:rPr>
              <w:t>14</w:t>
            </w:r>
          </w:p>
        </w:tc>
        <w:tc>
          <w:tcPr>
            <w:tcW w:type="dxa" w:w="1440"/>
          </w:tcPr>
          <w:p>
            <w:r/>
            <w:r>
              <w:rPr>
                <w:sz w:val="19"/>
              </w:rPr>
              <w:t>Staffing</w:t>
            </w:r>
          </w:p>
        </w:tc>
        <w:tc>
          <w:tcPr>
            <w:tcW w:type="dxa" w:w="4752"/>
          </w:tcPr>
          <w:p>
            <w:r/>
            <w:r>
              <w:rPr>
                <w:sz w:val="19"/>
              </w:rPr>
              <w:t>Contract attorneys at up to $350/hr without prior approval</w:t>
            </w:r>
          </w:p>
        </w:tc>
        <w:tc>
          <w:tcPr>
            <w:tcW w:type="dxa" w:w="1584"/>
          </w:tcPr>
          <w:p>
            <w:r/>
            <w:r>
              <w:rPr>
                <w:sz w:val="19"/>
              </w:rPr>
              <w:t>§ 6.3</w:t>
            </w:r>
          </w:p>
        </w:tc>
        <w:tc>
          <w:tcPr>
            <w:tcW w:type="dxa" w:w="1152"/>
            <w:shd w:val="clear" w:color="auto" w:fill="FCE5CD"/>
          </w:tcPr>
          <w:p>
            <w:r/>
            <w:r>
              <w:rPr>
                <w:b/>
                <w:sz w:val="19"/>
              </w:rPr>
              <w:t>High</w:t>
            </w:r>
          </w:p>
        </w:tc>
      </w:tr>
      <w:tr>
        <w:tc>
          <w:tcPr>
            <w:tcW w:type="dxa" w:w="432"/>
          </w:tcPr>
          <w:p>
            <w:r/>
            <w:r>
              <w:rPr>
                <w:sz w:val="19"/>
              </w:rPr>
              <w:t>15</w:t>
            </w:r>
          </w:p>
        </w:tc>
        <w:tc>
          <w:tcPr>
            <w:tcW w:type="dxa" w:w="1440"/>
          </w:tcPr>
          <w:p>
            <w:r/>
            <w:r>
              <w:rPr>
                <w:sz w:val="19"/>
              </w:rPr>
              <w:t>Vendor</w:t>
            </w:r>
          </w:p>
        </w:tc>
        <w:tc>
          <w:tcPr>
            <w:tcW w:type="dxa" w:w="4752"/>
          </w:tcPr>
          <w:p>
            <w:r/>
            <w:r>
              <w:rPr>
                <w:sz w:val="19"/>
              </w:rPr>
              <w:t>CrossPoint is a firm "strategic partner"; possible financial interest not disclosed; no Pinnacle approval or bid process</w:t>
            </w:r>
          </w:p>
        </w:tc>
        <w:tc>
          <w:tcPr>
            <w:tcW w:type="dxa" w:w="1584"/>
          </w:tcPr>
          <w:p>
            <w:r/>
            <w:r>
              <w:rPr>
                <w:sz w:val="19"/>
              </w:rPr>
              <w:t>§ 1.2</w:t>
            </w:r>
          </w:p>
        </w:tc>
        <w:tc>
          <w:tcPr>
            <w:tcW w:type="dxa" w:w="1152"/>
            <w:shd w:val="clear" w:color="auto" w:fill="FCE5CD"/>
          </w:tcPr>
          <w:p>
            <w:r/>
            <w:r>
              <w:rPr>
                <w:b/>
                <w:sz w:val="19"/>
              </w:rPr>
              <w:t>High</w:t>
            </w:r>
          </w:p>
        </w:tc>
      </w:tr>
      <w:tr>
        <w:tc>
          <w:tcPr>
            <w:tcW w:type="dxa" w:w="432"/>
          </w:tcPr>
          <w:p>
            <w:r/>
            <w:r>
              <w:rPr>
                <w:sz w:val="19"/>
              </w:rPr>
              <w:t>16</w:t>
            </w:r>
          </w:p>
        </w:tc>
        <w:tc>
          <w:tcPr>
            <w:tcW w:type="dxa" w:w="1440"/>
          </w:tcPr>
          <w:p>
            <w:r/>
            <w:r>
              <w:rPr>
                <w:sz w:val="19"/>
              </w:rPr>
              <w:t>Budget</w:t>
            </w:r>
          </w:p>
        </w:tc>
        <w:tc>
          <w:tcPr>
            <w:tcW w:type="dxa" w:w="4752"/>
          </w:tcPr>
          <w:p>
            <w:r/>
            <w:r>
              <w:rPr>
                <w:sz w:val="19"/>
              </w:rPr>
              <w:t>E-discovery ($380K), success fee and "extraordinary" costs excluded; budget "not a cap"; phases do not match OCG</w:t>
            </w:r>
          </w:p>
        </w:tc>
        <w:tc>
          <w:tcPr>
            <w:tcW w:type="dxa" w:w="1584"/>
          </w:tcPr>
          <w:p>
            <w:r/>
            <w:r>
              <w:rPr>
                <w:sz w:val="19"/>
              </w:rPr>
              <w:t>§§ 4.1, 4.3</w:t>
            </w:r>
          </w:p>
        </w:tc>
        <w:tc>
          <w:tcPr>
            <w:tcW w:type="dxa" w:w="1152"/>
            <w:shd w:val="clear" w:color="auto" w:fill="FCE5CD"/>
          </w:tcPr>
          <w:p>
            <w:r/>
            <w:r>
              <w:rPr>
                <w:b/>
                <w:sz w:val="19"/>
              </w:rPr>
              <w:t>High</w:t>
            </w:r>
          </w:p>
        </w:tc>
      </w:tr>
      <w:tr>
        <w:tc>
          <w:tcPr>
            <w:tcW w:type="dxa" w:w="432"/>
          </w:tcPr>
          <w:p>
            <w:r/>
            <w:r>
              <w:rPr>
                <w:sz w:val="19"/>
              </w:rPr>
              <w:t>17</w:t>
            </w:r>
          </w:p>
        </w:tc>
        <w:tc>
          <w:tcPr>
            <w:tcW w:type="dxa" w:w="1440"/>
          </w:tcPr>
          <w:p>
            <w:r/>
            <w:r>
              <w:rPr>
                <w:sz w:val="19"/>
              </w:rPr>
              <w:t>Dispute res.</w:t>
            </w:r>
          </w:p>
        </w:tc>
        <w:tc>
          <w:tcPr>
            <w:tcW w:type="dxa" w:w="4752"/>
          </w:tcPr>
          <w:p>
            <w:r/>
            <w:r>
              <w:rPr>
                <w:sz w:val="19"/>
              </w:rPr>
              <w:t>Binding AAA arbitration in Washington, D.C. (including malpractice); D.C. law and courts</w:t>
            </w:r>
          </w:p>
        </w:tc>
        <w:tc>
          <w:tcPr>
            <w:tcW w:type="dxa" w:w="1584"/>
          </w:tcPr>
          <w:p>
            <w:r/>
            <w:r>
              <w:rPr>
                <w:sz w:val="19"/>
              </w:rPr>
              <w:t>§§ 13.2, 14.1</w:t>
            </w:r>
          </w:p>
        </w:tc>
        <w:tc>
          <w:tcPr>
            <w:tcW w:type="dxa" w:w="1152"/>
            <w:shd w:val="clear" w:color="auto" w:fill="FCE5CD"/>
          </w:tcPr>
          <w:p>
            <w:r/>
            <w:r>
              <w:rPr>
                <w:b/>
                <w:sz w:val="19"/>
              </w:rPr>
              <w:t>High</w:t>
            </w:r>
          </w:p>
        </w:tc>
      </w:tr>
      <w:tr>
        <w:tc>
          <w:tcPr>
            <w:tcW w:type="dxa" w:w="432"/>
          </w:tcPr>
          <w:p>
            <w:r/>
            <w:r>
              <w:rPr>
                <w:sz w:val="19"/>
              </w:rPr>
              <w:t>18</w:t>
            </w:r>
          </w:p>
        </w:tc>
        <w:tc>
          <w:tcPr>
            <w:tcW w:type="dxa" w:w="1440"/>
          </w:tcPr>
          <w:p>
            <w:r/>
            <w:r>
              <w:rPr>
                <w:sz w:val="19"/>
              </w:rPr>
              <w:t>Confidentiality</w:t>
            </w:r>
          </w:p>
        </w:tc>
        <w:tc>
          <w:tcPr>
            <w:tcW w:type="dxa" w:w="4752"/>
          </w:tcPr>
          <w:p>
            <w:r/>
            <w:r>
              <w:rPr>
                <w:sz w:val="19"/>
              </w:rPr>
              <w:t>Standing consent to use Pinnacle's name in marketing and pitches (EL § 16)</w:t>
            </w:r>
          </w:p>
        </w:tc>
        <w:tc>
          <w:tcPr>
            <w:tcW w:type="dxa" w:w="1584"/>
          </w:tcPr>
          <w:p>
            <w:r/>
            <w:r>
              <w:rPr>
                <w:sz w:val="19"/>
              </w:rPr>
              <w:t>§ 10.1</w:t>
            </w:r>
          </w:p>
        </w:tc>
        <w:tc>
          <w:tcPr>
            <w:tcW w:type="dxa" w:w="1152"/>
            <w:shd w:val="clear" w:color="auto" w:fill="FCE5CD"/>
          </w:tcPr>
          <w:p>
            <w:r/>
            <w:r>
              <w:rPr>
                <w:b/>
                <w:sz w:val="19"/>
              </w:rPr>
              <w:t>High</w:t>
            </w:r>
          </w:p>
        </w:tc>
      </w:tr>
      <w:tr>
        <w:tc>
          <w:tcPr>
            <w:tcW w:type="dxa" w:w="432"/>
          </w:tcPr>
          <w:p>
            <w:r/>
            <w:r>
              <w:rPr>
                <w:sz w:val="19"/>
              </w:rPr>
              <w:t>19</w:t>
            </w:r>
          </w:p>
        </w:tc>
        <w:tc>
          <w:tcPr>
            <w:tcW w:type="dxa" w:w="1440"/>
          </w:tcPr>
          <w:p>
            <w:r/>
            <w:r>
              <w:rPr>
                <w:sz w:val="19"/>
              </w:rPr>
              <w:t>Data security / HIPAA</w:t>
            </w:r>
          </w:p>
        </w:tc>
        <w:tc>
          <w:tcPr>
            <w:tcW w:type="dxa" w:w="4752"/>
          </w:tcPr>
          <w:p>
            <w:r/>
            <w:r>
              <w:rPr>
                <w:sz w:val="19"/>
              </w:rPr>
              <w:t>No HIPAA/HITECH, encryption or 24-hour breach-notice terms; no BAA with firm; vendor BAA only "if required"</w:t>
            </w:r>
          </w:p>
        </w:tc>
        <w:tc>
          <w:tcPr>
            <w:tcW w:type="dxa" w:w="1584"/>
          </w:tcPr>
          <w:p>
            <w:r/>
            <w:r>
              <w:rPr>
                <w:sz w:val="19"/>
              </w:rPr>
              <w:t>§ 10.2</w:t>
            </w:r>
          </w:p>
        </w:tc>
        <w:tc>
          <w:tcPr>
            <w:tcW w:type="dxa" w:w="1152"/>
            <w:shd w:val="clear" w:color="auto" w:fill="FCE5CD"/>
          </w:tcPr>
          <w:p>
            <w:r/>
            <w:r>
              <w:rPr>
                <w:b/>
                <w:sz w:val="19"/>
              </w:rPr>
              <w:t>High</w:t>
            </w:r>
          </w:p>
        </w:tc>
      </w:tr>
      <w:tr>
        <w:tc>
          <w:tcPr>
            <w:tcW w:type="dxa" w:w="432"/>
          </w:tcPr>
          <w:p>
            <w:r/>
            <w:r>
              <w:rPr>
                <w:sz w:val="19"/>
              </w:rPr>
              <w:t>20</w:t>
            </w:r>
          </w:p>
        </w:tc>
        <w:tc>
          <w:tcPr>
            <w:tcW w:type="dxa" w:w="1440"/>
          </w:tcPr>
          <w:p>
            <w:r/>
            <w:r>
              <w:rPr>
                <w:sz w:val="19"/>
              </w:rPr>
              <w:t>Expenses</w:t>
            </w:r>
          </w:p>
        </w:tc>
        <w:tc>
          <w:tcPr>
            <w:tcW w:type="dxa" w:w="4752"/>
          </w:tcPr>
          <w:p>
            <w:r/>
            <w:r>
              <w:rPr>
                <w:sz w:val="19"/>
              </w:rPr>
              <w:t>$15,000 pre-approval threshold vs. $5,000</w:t>
            </w:r>
          </w:p>
        </w:tc>
        <w:tc>
          <w:tcPr>
            <w:tcW w:type="dxa" w:w="1584"/>
          </w:tcPr>
          <w:p>
            <w:r/>
            <w:r>
              <w:rPr>
                <w:sz w:val="19"/>
              </w:rPr>
              <w:t>§ 5.2</w:t>
            </w:r>
          </w:p>
        </w:tc>
        <w:tc>
          <w:tcPr>
            <w:tcW w:type="dxa" w:w="1152"/>
            <w:shd w:val="clear" w:color="auto" w:fill="FCE5CD"/>
          </w:tcPr>
          <w:p>
            <w:r/>
            <w:r>
              <w:rPr>
                <w:b/>
                <w:sz w:val="19"/>
              </w:rPr>
              <w:t>High</w:t>
            </w:r>
          </w:p>
        </w:tc>
      </w:tr>
      <w:tr>
        <w:tc>
          <w:tcPr>
            <w:tcW w:type="dxa" w:w="432"/>
          </w:tcPr>
          <w:p>
            <w:r/>
            <w:r>
              <w:rPr>
                <w:sz w:val="19"/>
              </w:rPr>
              <w:t>21</w:t>
            </w:r>
          </w:p>
        </w:tc>
        <w:tc>
          <w:tcPr>
            <w:tcW w:type="dxa" w:w="1440"/>
          </w:tcPr>
          <w:p>
            <w:r/>
            <w:r>
              <w:rPr>
                <w:sz w:val="19"/>
              </w:rPr>
              <w:t>Expenses</w:t>
            </w:r>
          </w:p>
        </w:tc>
        <w:tc>
          <w:tcPr>
            <w:tcW w:type="dxa" w:w="4752"/>
          </w:tcPr>
          <w:p>
            <w:r/>
            <w:r>
              <w:rPr>
                <w:sz w:val="19"/>
              </w:rPr>
              <w:t>Business-class air for partners; "business-class" hotels; no travel pre-approval</w:t>
            </w:r>
          </w:p>
        </w:tc>
        <w:tc>
          <w:tcPr>
            <w:tcW w:type="dxa" w:w="1584"/>
          </w:tcPr>
          <w:p>
            <w:r/>
            <w:r>
              <w:rPr>
                <w:sz w:val="19"/>
              </w:rPr>
              <w:t>§ 5.3</w:t>
            </w:r>
          </w:p>
        </w:tc>
        <w:tc>
          <w:tcPr>
            <w:tcW w:type="dxa" w:w="1152"/>
            <w:shd w:val="clear" w:color="auto" w:fill="FFF2CC"/>
          </w:tcPr>
          <w:p>
            <w:r/>
            <w:r>
              <w:rPr>
                <w:b/>
                <w:sz w:val="19"/>
              </w:rPr>
              <w:t>Medium</w:t>
            </w:r>
          </w:p>
        </w:tc>
      </w:tr>
      <w:tr>
        <w:tc>
          <w:tcPr>
            <w:tcW w:type="dxa" w:w="432"/>
          </w:tcPr>
          <w:p>
            <w:r/>
            <w:r>
              <w:rPr>
                <w:sz w:val="19"/>
              </w:rPr>
              <w:t>22</w:t>
            </w:r>
          </w:p>
        </w:tc>
        <w:tc>
          <w:tcPr>
            <w:tcW w:type="dxa" w:w="1440"/>
          </w:tcPr>
          <w:p>
            <w:r/>
            <w:r>
              <w:rPr>
                <w:sz w:val="19"/>
              </w:rPr>
              <w:t>Expenses</w:t>
            </w:r>
          </w:p>
        </w:tc>
        <w:tc>
          <w:tcPr>
            <w:tcW w:type="dxa" w:w="4752"/>
          </w:tcPr>
          <w:p>
            <w:r/>
            <w:r>
              <w:rPr>
                <w:sz w:val="19"/>
              </w:rPr>
              <w:t>Legal research databases, copying and meals listed as reimbursable</w:t>
            </w:r>
          </w:p>
        </w:tc>
        <w:tc>
          <w:tcPr>
            <w:tcW w:type="dxa" w:w="1584"/>
          </w:tcPr>
          <w:p>
            <w:r/>
            <w:r>
              <w:rPr>
                <w:sz w:val="19"/>
              </w:rPr>
              <w:t>§ 5.4</w:t>
            </w:r>
          </w:p>
        </w:tc>
        <w:tc>
          <w:tcPr>
            <w:tcW w:type="dxa" w:w="1152"/>
            <w:shd w:val="clear" w:color="auto" w:fill="FFF2CC"/>
          </w:tcPr>
          <w:p>
            <w:r/>
            <w:r>
              <w:rPr>
                <w:b/>
                <w:sz w:val="19"/>
              </w:rPr>
              <w:t>Medium</w:t>
            </w:r>
          </w:p>
        </w:tc>
      </w:tr>
      <w:tr>
        <w:tc>
          <w:tcPr>
            <w:tcW w:type="dxa" w:w="432"/>
          </w:tcPr>
          <w:p>
            <w:r/>
            <w:r>
              <w:rPr>
                <w:sz w:val="19"/>
              </w:rPr>
              <w:t>23</w:t>
            </w:r>
          </w:p>
        </w:tc>
        <w:tc>
          <w:tcPr>
            <w:tcW w:type="dxa" w:w="1440"/>
          </w:tcPr>
          <w:p>
            <w:r/>
            <w:r>
              <w:rPr>
                <w:sz w:val="19"/>
              </w:rPr>
              <w:t>Billing</w:t>
            </w:r>
          </w:p>
        </w:tc>
        <w:tc>
          <w:tcPr>
            <w:tcW w:type="dxa" w:w="4752"/>
          </w:tcPr>
          <w:p>
            <w:r/>
            <w:r>
              <w:rPr>
                <w:sz w:val="19"/>
              </w:rPr>
              <w:t>Invoices within 60 days vs. 45; no LEDES 1998B or e-billing; missing required invoice content (no block-billing ban, budget-to-actual)</w:t>
            </w:r>
          </w:p>
        </w:tc>
        <w:tc>
          <w:tcPr>
            <w:tcW w:type="dxa" w:w="1584"/>
          </w:tcPr>
          <w:p>
            <w:r/>
            <w:r>
              <w:rPr>
                <w:sz w:val="19"/>
              </w:rPr>
              <w:t>§ 3.4</w:t>
            </w:r>
          </w:p>
        </w:tc>
        <w:tc>
          <w:tcPr>
            <w:tcW w:type="dxa" w:w="1152"/>
            <w:shd w:val="clear" w:color="auto" w:fill="FFF2CC"/>
          </w:tcPr>
          <w:p>
            <w:r/>
            <w:r>
              <w:rPr>
                <w:b/>
                <w:sz w:val="19"/>
              </w:rPr>
              <w:t>Medium</w:t>
            </w:r>
          </w:p>
        </w:tc>
      </w:tr>
      <w:tr>
        <w:tc>
          <w:tcPr>
            <w:tcW w:type="dxa" w:w="432"/>
          </w:tcPr>
          <w:p>
            <w:r/>
            <w:r>
              <w:rPr>
                <w:sz w:val="19"/>
              </w:rPr>
              <w:t>24</w:t>
            </w:r>
          </w:p>
        </w:tc>
        <w:tc>
          <w:tcPr>
            <w:tcW w:type="dxa" w:w="1440"/>
          </w:tcPr>
          <w:p>
            <w:r/>
            <w:r>
              <w:rPr>
                <w:sz w:val="19"/>
              </w:rPr>
              <w:t>Payment</w:t>
            </w:r>
          </w:p>
        </w:tc>
        <w:tc>
          <w:tcPr>
            <w:tcW w:type="dxa" w:w="4752"/>
          </w:tcPr>
          <w:p>
            <w:r/>
            <w:r>
              <w:rPr>
                <w:sz w:val="19"/>
              </w:rPr>
              <w:t>Payment due 30 days from invoice date (not from receipt and approval); 18% interest; right to suspend work; 30-day objection window</w:t>
            </w:r>
          </w:p>
        </w:tc>
        <w:tc>
          <w:tcPr>
            <w:tcW w:type="dxa" w:w="1584"/>
          </w:tcPr>
          <w:p>
            <w:r/>
            <w:r>
              <w:rPr>
                <w:sz w:val="19"/>
              </w:rPr>
              <w:t>§§ 3.5, 13.1</w:t>
            </w:r>
          </w:p>
        </w:tc>
        <w:tc>
          <w:tcPr>
            <w:tcW w:type="dxa" w:w="1152"/>
            <w:shd w:val="clear" w:color="auto" w:fill="FFF2CC"/>
          </w:tcPr>
          <w:p>
            <w:r/>
            <w:r>
              <w:rPr>
                <w:b/>
                <w:sz w:val="19"/>
              </w:rPr>
              <w:t>Medium</w:t>
            </w:r>
          </w:p>
        </w:tc>
      </w:tr>
      <w:tr>
        <w:tc>
          <w:tcPr>
            <w:tcW w:type="dxa" w:w="432"/>
          </w:tcPr>
          <w:p>
            <w:r/>
            <w:r>
              <w:rPr>
                <w:sz w:val="19"/>
              </w:rPr>
              <w:t>25</w:t>
            </w:r>
          </w:p>
        </w:tc>
        <w:tc>
          <w:tcPr>
            <w:tcW w:type="dxa" w:w="1440"/>
          </w:tcPr>
          <w:p>
            <w:r/>
            <w:r>
              <w:rPr>
                <w:sz w:val="19"/>
              </w:rPr>
              <w:t>Termination</w:t>
            </w:r>
          </w:p>
        </w:tc>
        <w:tc>
          <w:tcPr>
            <w:tcW w:type="dxa" w:w="4752"/>
          </w:tcPr>
          <w:p>
            <w:r/>
            <w:r>
              <w:rPr>
                <w:sz w:val="19"/>
              </w:rPr>
              <w:t>Firm may withdraw on 30 days' notice without consent</w:t>
            </w:r>
          </w:p>
        </w:tc>
        <w:tc>
          <w:tcPr>
            <w:tcW w:type="dxa" w:w="1584"/>
          </w:tcPr>
          <w:p>
            <w:r/>
            <w:r>
              <w:rPr>
                <w:sz w:val="19"/>
              </w:rPr>
              <w:t>§ 8.2</w:t>
            </w:r>
          </w:p>
        </w:tc>
        <w:tc>
          <w:tcPr>
            <w:tcW w:type="dxa" w:w="1152"/>
            <w:shd w:val="clear" w:color="auto" w:fill="FFF2CC"/>
          </w:tcPr>
          <w:p>
            <w:r/>
            <w:r>
              <w:rPr>
                <w:b/>
                <w:sz w:val="19"/>
              </w:rPr>
              <w:t>Medium</w:t>
            </w:r>
          </w:p>
        </w:tc>
      </w:tr>
      <w:tr>
        <w:tc>
          <w:tcPr>
            <w:tcW w:type="dxa" w:w="432"/>
          </w:tcPr>
          <w:p>
            <w:r/>
            <w:r>
              <w:rPr>
                <w:sz w:val="19"/>
              </w:rPr>
              <w:t>26</w:t>
            </w:r>
          </w:p>
        </w:tc>
        <w:tc>
          <w:tcPr>
            <w:tcW w:type="dxa" w:w="1440"/>
          </w:tcPr>
          <w:p>
            <w:r/>
            <w:r>
              <w:rPr>
                <w:sz w:val="19"/>
              </w:rPr>
              <w:t>Engagement letter form</w:t>
            </w:r>
          </w:p>
        </w:tc>
        <w:tc>
          <w:tcPr>
            <w:tcW w:type="dxa" w:w="4752"/>
          </w:tcPr>
          <w:p>
            <w:r/>
            <w:r>
              <w:rPr>
                <w:sz w:val="19"/>
              </w:rPr>
              <w:t>No OCG incorporation or compliance statement; no Pinnacle matter number; integration clause supersedes the OCG</w:t>
            </w:r>
          </w:p>
        </w:tc>
        <w:tc>
          <w:tcPr>
            <w:tcW w:type="dxa" w:w="1584"/>
          </w:tcPr>
          <w:p>
            <w:r/>
            <w:r>
              <w:rPr>
                <w:sz w:val="19"/>
              </w:rPr>
              <w:t>§§ 2.1(a),(h), 14.2</w:t>
            </w:r>
          </w:p>
        </w:tc>
        <w:tc>
          <w:tcPr>
            <w:tcW w:type="dxa" w:w="1152"/>
            <w:shd w:val="clear" w:color="auto" w:fill="FFF2CC"/>
          </w:tcPr>
          <w:p>
            <w:r/>
            <w:r>
              <w:rPr>
                <w:b/>
                <w:sz w:val="19"/>
              </w:rPr>
              <w:t>Medium</w:t>
            </w:r>
          </w:p>
        </w:tc>
      </w:tr>
      <w:tr>
        <w:tc>
          <w:tcPr>
            <w:tcW w:type="dxa" w:w="432"/>
          </w:tcPr>
          <w:p>
            <w:r/>
            <w:r>
              <w:rPr>
                <w:sz w:val="19"/>
              </w:rPr>
              <w:t>27</w:t>
            </w:r>
          </w:p>
        </w:tc>
        <w:tc>
          <w:tcPr>
            <w:tcW w:type="dxa" w:w="1440"/>
          </w:tcPr>
          <w:p>
            <w:r/>
            <w:r>
              <w:rPr>
                <w:sz w:val="19"/>
              </w:rPr>
              <w:t>Pre-engagement work</w:t>
            </w:r>
          </w:p>
        </w:tc>
        <w:tc>
          <w:tcPr>
            <w:tcW w:type="dxa" w:w="4752"/>
          </w:tcPr>
          <w:p>
            <w:r/>
            <w:r>
              <w:rPr>
                <w:sz w:val="19"/>
              </w:rPr>
              <w:t>Firm is "already doing preliminary research" before the letter is signed and conflicts are cleared</w:t>
            </w:r>
          </w:p>
        </w:tc>
        <w:tc>
          <w:tcPr>
            <w:tcW w:type="dxa" w:w="1584"/>
          </w:tcPr>
          <w:p>
            <w:r/>
            <w:r>
              <w:rPr>
                <w:sz w:val="19"/>
              </w:rPr>
              <w:t>§§ 2.1, 2.2</w:t>
            </w:r>
          </w:p>
        </w:tc>
        <w:tc>
          <w:tcPr>
            <w:tcW w:type="dxa" w:w="1152"/>
            <w:shd w:val="clear" w:color="auto" w:fill="FFF2CC"/>
          </w:tcPr>
          <w:p>
            <w:r/>
            <w:r>
              <w:rPr>
                <w:b/>
                <w:sz w:val="19"/>
              </w:rPr>
              <w:t>Medium</w:t>
            </w:r>
          </w:p>
        </w:tc>
      </w:tr>
      <w:tr>
        <w:tc>
          <w:tcPr>
            <w:tcW w:type="dxa" w:w="432"/>
          </w:tcPr>
          <w:p>
            <w:r/>
            <w:r>
              <w:rPr>
                <w:sz w:val="19"/>
              </w:rPr>
              <w:t>28</w:t>
            </w:r>
          </w:p>
        </w:tc>
        <w:tc>
          <w:tcPr>
            <w:tcW w:type="dxa" w:w="1440"/>
          </w:tcPr>
          <w:p>
            <w:r/>
            <w:r>
              <w:rPr>
                <w:sz w:val="19"/>
              </w:rPr>
              <w:t>Reporting</w:t>
            </w:r>
          </w:p>
        </w:tc>
        <w:tc>
          <w:tcPr>
            <w:tcW w:type="dxa" w:w="4752"/>
          </w:tcPr>
          <w:p>
            <w:r/>
            <w:r>
              <w:rPr>
                <w:sz w:val="19"/>
              </w:rPr>
              <w:t>No monthly status reports, 24-hour notice of significant developments, quarterly diversity reports, or 10% budget-variance notice</w:t>
            </w:r>
          </w:p>
        </w:tc>
        <w:tc>
          <w:tcPr>
            <w:tcW w:type="dxa" w:w="1584"/>
          </w:tcPr>
          <w:p>
            <w:r/>
            <w:r>
              <w:rPr>
                <w:sz w:val="19"/>
              </w:rPr>
              <w:t>§§ 4.2, 6.4, 11.1, 11.2</w:t>
            </w:r>
          </w:p>
        </w:tc>
        <w:tc>
          <w:tcPr>
            <w:tcW w:type="dxa" w:w="1152"/>
            <w:shd w:val="clear" w:color="auto" w:fill="FFF2CC"/>
          </w:tcPr>
          <w:p>
            <w:r/>
            <w:r>
              <w:rPr>
                <w:b/>
                <w:sz w:val="19"/>
              </w:rPr>
              <w:t>Medium</w:t>
            </w:r>
          </w:p>
        </w:tc>
      </w:tr>
      <w:tr>
        <w:tc>
          <w:tcPr>
            <w:tcW w:type="dxa" w:w="432"/>
          </w:tcPr>
          <w:p>
            <w:r/>
            <w:r>
              <w:rPr>
                <w:sz w:val="19"/>
              </w:rPr>
              <w:t>29</w:t>
            </w:r>
          </w:p>
        </w:tc>
        <w:tc>
          <w:tcPr>
            <w:tcW w:type="dxa" w:w="1440"/>
          </w:tcPr>
          <w:p>
            <w:r/>
            <w:r>
              <w:rPr>
                <w:sz w:val="19"/>
              </w:rPr>
              <w:t>Staffing</w:t>
            </w:r>
          </w:p>
        </w:tc>
        <w:tc>
          <w:tcPr>
            <w:tcW w:type="dxa" w:w="4752"/>
          </w:tcPr>
          <w:p>
            <w:r/>
            <w:r>
              <w:rPr>
                <w:sz w:val="19"/>
              </w:rPr>
              <w:t>Two equity partners; 120 hrs of relationship/billing partner time, part of it for administrative billing work</w:t>
            </w:r>
          </w:p>
        </w:tc>
        <w:tc>
          <w:tcPr>
            <w:tcW w:type="dxa" w:w="1584"/>
          </w:tcPr>
          <w:p>
            <w:r/>
            <w:r>
              <w:rPr>
                <w:sz w:val="19"/>
              </w:rPr>
              <w:t>§ 6.1</w:t>
            </w:r>
          </w:p>
        </w:tc>
        <w:tc>
          <w:tcPr>
            <w:tcW w:type="dxa" w:w="1152"/>
            <w:shd w:val="clear" w:color="auto" w:fill="FFF2CC"/>
          </w:tcPr>
          <w:p>
            <w:r/>
            <w:r>
              <w:rPr>
                <w:b/>
                <w:sz w:val="19"/>
              </w:rPr>
              <w:t>Medium</w:t>
            </w:r>
          </w:p>
        </w:tc>
      </w:tr>
      <w:tr>
        <w:tc>
          <w:tcPr>
            <w:tcW w:type="dxa" w:w="432"/>
          </w:tcPr>
          <w:p>
            <w:r/>
            <w:r>
              <w:rPr>
                <w:sz w:val="19"/>
              </w:rPr>
              <w:t>30</w:t>
            </w:r>
          </w:p>
        </w:tc>
        <w:tc>
          <w:tcPr>
            <w:tcW w:type="dxa" w:w="1440"/>
          </w:tcPr>
          <w:p>
            <w:r/>
            <w:r>
              <w:rPr>
                <w:sz w:val="19"/>
              </w:rPr>
              <w:t>Budget</w:t>
            </w:r>
          </w:p>
        </w:tc>
        <w:tc>
          <w:tcPr>
            <w:tcW w:type="dxa" w:w="4752"/>
          </w:tcPr>
          <w:p>
            <w:r/>
            <w:r>
              <w:rPr>
                <w:sz w:val="19"/>
              </w:rPr>
              <w:t>Budget over $500K (≈$2.78M with e-discovery) requires in-person/video presentation to the GC</w:t>
            </w:r>
          </w:p>
        </w:tc>
        <w:tc>
          <w:tcPr>
            <w:tcW w:type="dxa" w:w="1584"/>
          </w:tcPr>
          <w:p>
            <w:r/>
            <w:r>
              <w:rPr>
                <w:sz w:val="19"/>
              </w:rPr>
              <w:t>§ 4.1</w:t>
            </w:r>
          </w:p>
        </w:tc>
        <w:tc>
          <w:tcPr>
            <w:tcW w:type="dxa" w:w="1152"/>
            <w:shd w:val="clear" w:color="auto" w:fill="FFF2CC"/>
          </w:tcPr>
          <w:p>
            <w:r/>
            <w:r>
              <w:rPr>
                <w:b/>
                <w:sz w:val="19"/>
              </w:rPr>
              <w:t>Medium</w:t>
            </w:r>
          </w:p>
        </w:tc>
      </w:tr>
      <w:tr>
        <w:tc>
          <w:tcPr>
            <w:tcW w:type="dxa" w:w="432"/>
          </w:tcPr>
          <w:p>
            <w:r/>
            <w:r>
              <w:rPr>
                <w:sz w:val="19"/>
              </w:rPr>
              <w:t>31</w:t>
            </w:r>
          </w:p>
        </w:tc>
        <w:tc>
          <w:tcPr>
            <w:tcW w:type="dxa" w:w="1440"/>
          </w:tcPr>
          <w:p>
            <w:r/>
            <w:r>
              <w:rPr>
                <w:sz w:val="19"/>
              </w:rPr>
              <w:t>Internal consistency</w:t>
            </w:r>
          </w:p>
        </w:tc>
        <w:tc>
          <w:tcPr>
            <w:tcW w:type="dxa" w:w="4752"/>
          </w:tcPr>
          <w:p>
            <w:r/>
            <w:r>
              <w:rPr>
                <w:sz w:val="19"/>
              </w:rPr>
              <w:t>Mismatches in judge name, firm address, deposition count, attorney office/phone; budget amounts not explained (Section VI)</w:t>
            </w:r>
          </w:p>
        </w:tc>
        <w:tc>
          <w:tcPr>
            <w:tcW w:type="dxa" w:w="1584"/>
          </w:tcPr>
          <w:p>
            <w:r/>
            <w:r>
              <w:rPr>
                <w:sz w:val="19"/>
              </w:rPr>
              <w:t>—</w:t>
            </w:r>
          </w:p>
        </w:tc>
        <w:tc>
          <w:tcPr>
            <w:tcW w:type="dxa" w:w="1152"/>
            <w:shd w:val="clear" w:color="auto" w:fill="D9EAD3"/>
          </w:tcPr>
          <w:p>
            <w:r/>
            <w:r>
              <w:rPr>
                <w:b/>
                <w:sz w:val="19"/>
              </w:rPr>
              <w:t>Low</w:t>
            </w:r>
          </w:p>
        </w:tc>
      </w:tr>
    </w:tbl>
    <w:p/>
    <w:p>
      <w:pPr>
        <w:pStyle w:val="Heading1"/>
      </w:pPr>
      <w:r>
        <w:t>IV. Detailed Analysis</w:t>
      </w:r>
    </w:p>
    <w:p>
      <w:pPr>
        <w:pStyle w:val="Heading2"/>
      </w:pPr>
      <w:r>
        <w:t>A. Threshold Issues</w:t>
      </w:r>
    </w:p>
    <w:p>
      <w:pPr>
        <w:pStyle w:val="Heading3"/>
      </w:pPr>
      <w:r>
        <w:t>1. Conflicts of Interest — MedBridge Therapeutics (Critical)</w:t>
      </w:r>
    </w:p>
    <w:p>
      <w:r>
        <w:rPr>
          <w:b/>
        </w:rPr>
        <w:t xml:space="preserve">Facts. </w:t>
      </w:r>
      <w:r>
        <w:t>In her October 3 email to Mr. Ridley, Ms. Morrow disclosed that HB&amp;C currently represents MedBridge Therapeutics in a reimbursement dispute against BlueLine Insurance, and that MedBridge holds about 8% of the equity in NovaTech. She described this as a "passive" investment and a "non-issue," and said Mr. Alcott would send "a confirmation from our conflicts team." Mr. Alcott's October 4 email says the check covered "NovaTech Solutions, LLC, its known principals, and opposing counsel Prescott Lane LLP" and found "no issues." It does not mention MedBridge. Engagement letter § 11 states the firm "has no current conflicts of interest."</w:t>
      </w:r>
    </w:p>
    <w:p>
      <w:r>
        <w:rPr>
          <w:b/>
        </w:rPr>
        <w:t>OCG analysis.</w:t>
      </w:r>
      <w:r/>
    </w:p>
    <w:p>
      <w:pPr>
        <w:pStyle w:val="ListBullet"/>
      </w:pPr>
      <w:r>
        <w:t>OCG § 2.2(b) requires disclosure of any current or former representation of an entity with a "material financial interest" in an adverse party, defined as a 5% or greater equity stake. MedBridge's 8% stake qualifies. Whether the stake is passive, or the subject matter unrelated, does not matter under the OCG definition.</w:t>
      </w:r>
    </w:p>
    <w:p>
      <w:pPr>
        <w:pStyle w:val="ListBullet"/>
      </w:pPr>
      <w:r>
        <w:t>OCG § 2.2 bars HB&amp;C from accepting the engagement while it concurrently represents such an entity, "unless a detailed written disclosure is provided and informed written consent is obtained from the General Counsel." An informal email to the Associate General Counsel is not a detailed written disclosure. No consent from the General Counsel has been requested or given.</w:t>
      </w:r>
    </w:p>
    <w:p>
      <w:pPr>
        <w:pStyle w:val="ListBullet"/>
      </w:pPr>
      <w:r>
        <w:t>The clearance does not meet § 2.2(a)–(d). It is an informal email, not a clearance letter. It was run against only three names (it did not search NovaTech's equity holders or affiliates). It omits the known MedBridge relationship. It does not address personal relationships with the judge, witnesses or others. It was not delivered to the General Counsel with the insurance certification (§§ 2.1(f)–(g), 2.3).</w:t>
      </w:r>
    </w:p>
    <w:p>
      <w:pPr>
        <w:pStyle w:val="ListBullet"/>
      </w:pPr>
      <w:r>
        <w:t>Engagement letter § 11's statement that there are "no current conflicts" contradicts what the firm itself disclosed in writing the day before. This is a candor concern as well as a compliance defect.</w:t>
      </w:r>
    </w:p>
    <w:p>
      <w:r>
        <w:rPr>
          <w:b/>
        </w:rPr>
        <w:t xml:space="preserve">Substantive risk. </w:t>
      </w:r>
      <w:r>
        <w:t>A lawyer for an 8% owner of NovaTech would be working to defeat a $14.2M claim that directly affects the value of that owner's investment. This raises a material-limitation question under N.C. RPC 1.7(a)(2), and possible disqualification or relationship risk if MedBridge objects. We also need to know whether any HB&amp;C timekeeper on this team works on the MedBridge matter, whether HB&amp;C has advised MedBridge about its NovaTech investment, and whether MedBridge has information rights or influence at NovaTech. Ms. Morrow's statement that MedBridge has "no involvement" is "from what we understand" and has not been verified.</w:t>
      </w:r>
    </w:p>
    <w:p>
      <w:r>
        <w:rPr>
          <w:b/>
        </w:rPr>
        <w:t xml:space="preserve">Advance waiver. </w:t>
      </w:r>
      <w:r>
        <w:t>Section 11 asks Pinnacle to consent in advance to any unrelated adverse representation, specifically including "other healthcare companies, healthcare litigation, and related regulatory matters," with no notice. OCG § 2.2 states: "Blanket or advance waivers of future conflicts are not acceptable." Morrow's email describes this as the firm's "customary provision." It must be deleted.</w:t>
      </w:r>
    </w:p>
    <w:p>
      <w:r>
        <w:rPr>
          <w:b/>
        </w:rPr>
        <w:t xml:space="preserve">Required action: </w:t>
      </w:r>
      <w:r>
        <w:t>(i) Require a formal conflicts clearance letter that addresses every item in § 2.2(a)–(d), including a search of NovaTech's equity holders, lenders, affiliates and key revenue relationships. (ii) Require a detailed written disclosure of the MedBridge relationship: team overlap, ethical screens, MedBridge's rights in NovaTech, and whether HB&amp;C has told MedBridge about the proposed engagement or obtained its consent. (iii) The General Counsel should then decide whether to consent in a separate signed writing or decline the engagement. (iv) Delete the advance waiver. (v) Correct § 11.</w:t>
      </w:r>
    </w:p>
    <w:p>
      <w:pPr>
        <w:pStyle w:val="Heading3"/>
      </w:pPr>
      <w:r>
        <w:t>2. Professional Liability Insurance (Critical)</w:t>
      </w:r>
    </w:p>
    <w:p>
      <w:r>
        <w:rPr>
          <w:b w:val="0"/>
          <w:i w:val="0"/>
        </w:rPr>
        <w:t>Engagement letter § 12 discloses $10M per occurrence / $20M aggregate. That is 40% of each OCG minimum ($25M / $50M). OCG § 2.3 makes these "firm requirements … regardless of firm size" and states Pinnacle "will not engage" a firm below them. The firm's promise to maintain "substantially equivalent" coverage would also allow reductions. No certificate of insurance, carrier A.M. Best rating, or exclusion disclosure has been provided. With $14.2M at stake, the per-occurrence limit would not cover a malpractice loss equal to the full claim.</w:t>
      </w:r>
    </w:p>
    <w:p>
      <w:r>
        <w:rPr>
          <w:b/>
        </w:rPr>
        <w:t xml:space="preserve">Required action: </w:t>
      </w:r>
      <w:r>
        <w:t>HB&amp;C must provide proof that it has bound coverage meeting the minimums (for example, through excess coverage), with an A- or better carrier, before the engagement begins. Otherwise the engagement cannot proceed unless the General Counsel signs a separate written waiver, which we do not recommend.</w:t>
      </w:r>
    </w:p>
    <w:p>
      <w:pPr>
        <w:pStyle w:val="Heading3"/>
      </w:pPr>
      <w:r>
        <w:t>3. Limitation of Liability and Indemnification (Critical)</w:t>
      </w:r>
    </w:p>
    <w:p>
      <w:pPr>
        <w:pStyle w:val="ListBullet"/>
      </w:pPr>
      <w:r>
        <w:rPr>
          <w:b/>
        </w:rPr>
        <w:t xml:space="preserve">§ 13 Liability Cap. </w:t>
      </w:r>
      <w:r>
        <w:t>The cap is the lesser of $1M or fees actually paid. At signing, that is effectively $0, and it covers negligence and malpractice. N.C. RPC 1.8(h)(1) and D.C. RPC 1.8(g)(1) prohibit agreements that prospectively limit a lawyer's malpractice liability unless the client is independently represented in making the agreement. The acknowledgment in § 20(b) that Pinnacle had the "opportunity to consult with independent counsel" appears designed to address this, but it is not enough. Separately, the claim that fees "would be materially higher" without the cap is hard to credit when every rate already exceeds our caps. Delete in full.</w:t>
      </w:r>
    </w:p>
    <w:p>
      <w:pPr>
        <w:pStyle w:val="ListBullet"/>
      </w:pPr>
      <w:r>
        <w:rPr>
          <w:b/>
        </w:rPr>
        <w:t xml:space="preserve">§ 14 Indemnification. </w:t>
      </w:r>
      <w:r>
        <w:t>Pinnacle would indemnify and defend the firm against all claims "arising out of or relating to the engagement," except those arising "solely" from willful misconduct. That would cover the firm's own negligence and malpractice claims. Together with § 13, it would shift essentially all professional risk to Pinnacle. Delete in full.</w:t>
      </w:r>
    </w:p>
    <w:p>
      <w:pPr>
        <w:pStyle w:val="Heading2"/>
      </w:pPr>
      <w:r>
        <w:t>B. Fees, Rates and Alternative Fee Arrangements</w:t>
      </w:r>
    </w:p>
    <w:p>
      <w:pPr>
        <w:pStyle w:val="Heading3"/>
      </w:pPr>
      <w:r>
        <w:t>4. Hourly Rates Exceed OCG Caps (High)</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728"/>
            <w:shd w:val="clear" w:color="auto" w:fill="1F3864"/>
          </w:tcPr>
          <w:p>
            <w:r/>
            <w:r>
              <w:rPr>
                <w:b/>
                <w:color w:val="FFFFFF"/>
                <w:sz w:val="19"/>
              </w:rPr>
              <w:t>Timekeeper</w:t>
            </w:r>
          </w:p>
        </w:tc>
        <w:tc>
          <w:tcPr>
            <w:tcW w:type="dxa" w:w="1584"/>
            <w:shd w:val="clear" w:color="auto" w:fill="1F3864"/>
          </w:tcPr>
          <w:p>
            <w:r/>
            <w:r>
              <w:rPr>
                <w:b/>
                <w:color w:val="FFFFFF"/>
                <w:sz w:val="19"/>
              </w:rPr>
              <w:t>Category (OCG)</w:t>
            </w:r>
          </w:p>
        </w:tc>
        <w:tc>
          <w:tcPr>
            <w:tcW w:type="dxa" w:w="576"/>
            <w:shd w:val="clear" w:color="auto" w:fill="1F3864"/>
          </w:tcPr>
          <w:p>
            <w:r/>
            <w:r>
              <w:rPr>
                <w:b/>
                <w:color w:val="FFFFFF"/>
                <w:sz w:val="19"/>
              </w:rPr>
              <w:t>Yrs</w:t>
            </w:r>
          </w:p>
        </w:tc>
        <w:tc>
          <w:tcPr>
            <w:tcW w:type="dxa" w:w="1008"/>
            <w:shd w:val="clear" w:color="auto" w:fill="1F3864"/>
          </w:tcPr>
          <w:p>
            <w:r/>
            <w:r>
              <w:rPr>
                <w:b/>
                <w:color w:val="FFFFFF"/>
                <w:sz w:val="19"/>
              </w:rPr>
              <w:t>Proposed</w:t>
            </w:r>
          </w:p>
        </w:tc>
        <w:tc>
          <w:tcPr>
            <w:tcW w:type="dxa" w:w="864"/>
            <w:shd w:val="clear" w:color="auto" w:fill="1F3864"/>
          </w:tcPr>
          <w:p>
            <w:r/>
            <w:r>
              <w:rPr>
                <w:b/>
                <w:color w:val="FFFFFF"/>
                <w:sz w:val="19"/>
              </w:rPr>
              <w:t>OCG Cap</w:t>
            </w:r>
          </w:p>
        </w:tc>
        <w:tc>
          <w:tcPr>
            <w:tcW w:type="dxa" w:w="1296"/>
            <w:shd w:val="clear" w:color="auto" w:fill="1F3864"/>
          </w:tcPr>
          <w:p>
            <w:r/>
            <w:r>
              <w:rPr>
                <w:b/>
                <w:color w:val="FFFFFF"/>
                <w:sz w:val="19"/>
              </w:rPr>
              <w:t>Excess</w:t>
            </w:r>
          </w:p>
        </w:tc>
        <w:tc>
          <w:tcPr>
            <w:tcW w:type="dxa" w:w="864"/>
            <w:shd w:val="clear" w:color="auto" w:fill="1F3864"/>
          </w:tcPr>
          <w:p>
            <w:r/>
            <w:r>
              <w:rPr>
                <w:b/>
                <w:color w:val="FFFFFF"/>
                <w:sz w:val="19"/>
              </w:rPr>
              <w:t>Est. Hrs</w:t>
            </w:r>
          </w:p>
        </w:tc>
        <w:tc>
          <w:tcPr>
            <w:tcW w:type="dxa" w:w="1440"/>
            <w:shd w:val="clear" w:color="auto" w:fill="1F3864"/>
          </w:tcPr>
          <w:p>
            <w:r/>
            <w:r>
              <w:rPr>
                <w:b/>
                <w:color w:val="FFFFFF"/>
                <w:sz w:val="19"/>
              </w:rPr>
              <w:t>Excess $</w:t>
            </w:r>
          </w:p>
        </w:tc>
      </w:tr>
      <w:tr>
        <w:tc>
          <w:tcPr>
            <w:tcW w:type="dxa" w:w="1728"/>
          </w:tcPr>
          <w:p>
            <w:r/>
            <w:r>
              <w:rPr>
                <w:sz w:val="19"/>
              </w:rPr>
              <w:t>Sandra K. Morrow</w:t>
            </w:r>
          </w:p>
        </w:tc>
        <w:tc>
          <w:tcPr>
            <w:tcW w:type="dxa" w:w="1584"/>
          </w:tcPr>
          <w:p>
            <w:r/>
            <w:r>
              <w:rPr>
                <w:sz w:val="19"/>
              </w:rPr>
              <w:t>Equity Partner</w:t>
            </w:r>
          </w:p>
        </w:tc>
        <w:tc>
          <w:tcPr>
            <w:tcW w:type="dxa" w:w="576"/>
          </w:tcPr>
          <w:p>
            <w:r/>
            <w:r>
              <w:rPr>
                <w:sz w:val="19"/>
              </w:rPr>
              <w:t>24</w:t>
            </w:r>
          </w:p>
        </w:tc>
        <w:tc>
          <w:tcPr>
            <w:tcW w:type="dxa" w:w="1008"/>
          </w:tcPr>
          <w:p>
            <w:r/>
            <w:r>
              <w:rPr>
                <w:sz w:val="19"/>
              </w:rPr>
              <w:t>$1,050</w:t>
            </w:r>
          </w:p>
        </w:tc>
        <w:tc>
          <w:tcPr>
            <w:tcW w:type="dxa" w:w="864"/>
          </w:tcPr>
          <w:p>
            <w:r/>
            <w:r>
              <w:rPr>
                <w:sz w:val="19"/>
              </w:rPr>
              <w:t>$850</w:t>
            </w:r>
          </w:p>
        </w:tc>
        <w:tc>
          <w:tcPr>
            <w:tcW w:type="dxa" w:w="1296"/>
          </w:tcPr>
          <w:p>
            <w:r/>
            <w:r>
              <w:rPr>
                <w:sz w:val="19"/>
              </w:rPr>
              <w:t>$200 (23.5%)</w:t>
            </w:r>
          </w:p>
        </w:tc>
        <w:tc>
          <w:tcPr>
            <w:tcW w:type="dxa" w:w="864"/>
          </w:tcPr>
          <w:p>
            <w:r/>
            <w:r>
              <w:rPr>
                <w:sz w:val="19"/>
              </w:rPr>
              <w:t>280</w:t>
            </w:r>
          </w:p>
        </w:tc>
        <w:tc>
          <w:tcPr>
            <w:tcW w:type="dxa" w:w="1440"/>
          </w:tcPr>
          <w:p>
            <w:r/>
            <w:r>
              <w:rPr>
                <w:sz w:val="19"/>
              </w:rPr>
              <w:t>$56,000</w:t>
            </w:r>
          </w:p>
        </w:tc>
      </w:tr>
      <w:tr>
        <w:tc>
          <w:tcPr>
            <w:tcW w:type="dxa" w:w="1728"/>
          </w:tcPr>
          <w:p>
            <w:r/>
            <w:r>
              <w:rPr>
                <w:sz w:val="19"/>
              </w:rPr>
              <w:t>James Alcott</w:t>
            </w:r>
          </w:p>
        </w:tc>
        <w:tc>
          <w:tcPr>
            <w:tcW w:type="dxa" w:w="1584"/>
          </w:tcPr>
          <w:p>
            <w:r/>
            <w:r>
              <w:rPr>
                <w:sz w:val="19"/>
              </w:rPr>
              <w:t>Equity Partner</w:t>
            </w:r>
          </w:p>
        </w:tc>
        <w:tc>
          <w:tcPr>
            <w:tcW w:type="dxa" w:w="576"/>
          </w:tcPr>
          <w:p>
            <w:r/>
            <w:r>
              <w:rPr>
                <w:sz w:val="19"/>
              </w:rPr>
              <w:t>19</w:t>
            </w:r>
          </w:p>
        </w:tc>
        <w:tc>
          <w:tcPr>
            <w:tcW w:type="dxa" w:w="1008"/>
          </w:tcPr>
          <w:p>
            <w:r/>
            <w:r>
              <w:rPr>
                <w:sz w:val="19"/>
              </w:rPr>
              <w:t>$975</w:t>
            </w:r>
          </w:p>
        </w:tc>
        <w:tc>
          <w:tcPr>
            <w:tcW w:type="dxa" w:w="864"/>
          </w:tcPr>
          <w:p>
            <w:r/>
            <w:r>
              <w:rPr>
                <w:sz w:val="19"/>
              </w:rPr>
              <w:t>$850</w:t>
            </w:r>
          </w:p>
        </w:tc>
        <w:tc>
          <w:tcPr>
            <w:tcW w:type="dxa" w:w="1296"/>
          </w:tcPr>
          <w:p>
            <w:r/>
            <w:r>
              <w:rPr>
                <w:sz w:val="19"/>
              </w:rPr>
              <w:t>$125 (14.7%)</w:t>
            </w:r>
          </w:p>
        </w:tc>
        <w:tc>
          <w:tcPr>
            <w:tcW w:type="dxa" w:w="864"/>
          </w:tcPr>
          <w:p>
            <w:r/>
            <w:r>
              <w:rPr>
                <w:sz w:val="19"/>
              </w:rPr>
              <w:t>120</w:t>
            </w:r>
          </w:p>
        </w:tc>
        <w:tc>
          <w:tcPr>
            <w:tcW w:type="dxa" w:w="1440"/>
          </w:tcPr>
          <w:p>
            <w:r/>
            <w:r>
              <w:rPr>
                <w:sz w:val="19"/>
              </w:rPr>
              <w:t>$15,000</w:t>
            </w:r>
          </w:p>
        </w:tc>
      </w:tr>
      <w:tr>
        <w:tc>
          <w:tcPr>
            <w:tcW w:type="dxa" w:w="1728"/>
          </w:tcPr>
          <w:p>
            <w:r/>
            <w:r>
              <w:rPr>
                <w:sz w:val="19"/>
              </w:rPr>
              <w:t>Priya Dasgupta</w:t>
            </w:r>
          </w:p>
        </w:tc>
        <w:tc>
          <w:tcPr>
            <w:tcW w:type="dxa" w:w="1584"/>
          </w:tcPr>
          <w:p>
            <w:r/>
            <w:r>
              <w:rPr>
                <w:sz w:val="19"/>
              </w:rPr>
              <w:t>Senior Associate (5+)</w:t>
            </w:r>
          </w:p>
        </w:tc>
        <w:tc>
          <w:tcPr>
            <w:tcW w:type="dxa" w:w="576"/>
          </w:tcPr>
          <w:p>
            <w:r/>
            <w:r>
              <w:rPr>
                <w:sz w:val="19"/>
              </w:rPr>
              <w:t>7</w:t>
            </w:r>
          </w:p>
        </w:tc>
        <w:tc>
          <w:tcPr>
            <w:tcW w:type="dxa" w:w="1008"/>
          </w:tcPr>
          <w:p>
            <w:r/>
            <w:r>
              <w:rPr>
                <w:sz w:val="19"/>
              </w:rPr>
              <w:t>$625</w:t>
            </w:r>
          </w:p>
        </w:tc>
        <w:tc>
          <w:tcPr>
            <w:tcW w:type="dxa" w:w="864"/>
          </w:tcPr>
          <w:p>
            <w:r/>
            <w:r>
              <w:rPr>
                <w:sz w:val="19"/>
              </w:rPr>
              <w:t>$575</w:t>
            </w:r>
          </w:p>
        </w:tc>
        <w:tc>
          <w:tcPr>
            <w:tcW w:type="dxa" w:w="1296"/>
          </w:tcPr>
          <w:p>
            <w:r/>
            <w:r>
              <w:rPr>
                <w:sz w:val="19"/>
              </w:rPr>
              <w:t>$50 (8.7%)</w:t>
            </w:r>
          </w:p>
        </w:tc>
        <w:tc>
          <w:tcPr>
            <w:tcW w:type="dxa" w:w="864"/>
          </w:tcPr>
          <w:p>
            <w:r/>
            <w:r>
              <w:rPr>
                <w:sz w:val="19"/>
              </w:rPr>
              <w:t>650</w:t>
            </w:r>
          </w:p>
        </w:tc>
        <w:tc>
          <w:tcPr>
            <w:tcW w:type="dxa" w:w="1440"/>
          </w:tcPr>
          <w:p>
            <w:r/>
            <w:r>
              <w:rPr>
                <w:sz w:val="19"/>
              </w:rPr>
              <w:t>$32,500</w:t>
            </w:r>
          </w:p>
        </w:tc>
      </w:tr>
      <w:tr>
        <w:tc>
          <w:tcPr>
            <w:tcW w:type="dxa" w:w="1728"/>
          </w:tcPr>
          <w:p>
            <w:r/>
            <w:r>
              <w:rPr>
                <w:sz w:val="19"/>
              </w:rPr>
              <w:t>Kevin Marsh</w:t>
            </w:r>
          </w:p>
        </w:tc>
        <w:tc>
          <w:tcPr>
            <w:tcW w:type="dxa" w:w="1584"/>
          </w:tcPr>
          <w:p>
            <w:r/>
            <w:r>
              <w:rPr>
                <w:sz w:val="19"/>
              </w:rPr>
              <w:t>Junior Associate (&lt;5)</w:t>
            </w:r>
          </w:p>
        </w:tc>
        <w:tc>
          <w:tcPr>
            <w:tcW w:type="dxa" w:w="576"/>
          </w:tcPr>
          <w:p>
            <w:r/>
            <w:r>
              <w:rPr>
                <w:sz w:val="19"/>
              </w:rPr>
              <w:t>3</w:t>
            </w:r>
          </w:p>
        </w:tc>
        <w:tc>
          <w:tcPr>
            <w:tcW w:type="dxa" w:w="1008"/>
          </w:tcPr>
          <w:p>
            <w:r/>
            <w:r>
              <w:rPr>
                <w:sz w:val="19"/>
              </w:rPr>
              <w:t>$475</w:t>
            </w:r>
          </w:p>
        </w:tc>
        <w:tc>
          <w:tcPr>
            <w:tcW w:type="dxa" w:w="864"/>
          </w:tcPr>
          <w:p>
            <w:r/>
            <w:r>
              <w:rPr>
                <w:sz w:val="19"/>
              </w:rPr>
              <w:t>$425</w:t>
            </w:r>
          </w:p>
        </w:tc>
        <w:tc>
          <w:tcPr>
            <w:tcW w:type="dxa" w:w="1296"/>
          </w:tcPr>
          <w:p>
            <w:r/>
            <w:r>
              <w:rPr>
                <w:sz w:val="19"/>
              </w:rPr>
              <w:t>$50 (11.8%)</w:t>
            </w:r>
          </w:p>
        </w:tc>
        <w:tc>
          <w:tcPr>
            <w:tcW w:type="dxa" w:w="864"/>
          </w:tcPr>
          <w:p>
            <w:r/>
            <w:r>
              <w:rPr>
                <w:sz w:val="19"/>
              </w:rPr>
              <w:t>480</w:t>
            </w:r>
          </w:p>
        </w:tc>
        <w:tc>
          <w:tcPr>
            <w:tcW w:type="dxa" w:w="1440"/>
          </w:tcPr>
          <w:p>
            <w:r/>
            <w:r>
              <w:rPr>
                <w:sz w:val="19"/>
              </w:rPr>
              <w:t>$24,000</w:t>
            </w:r>
          </w:p>
        </w:tc>
      </w:tr>
      <w:tr>
        <w:tc>
          <w:tcPr>
            <w:tcW w:type="dxa" w:w="1728"/>
          </w:tcPr>
          <w:p>
            <w:r/>
            <w:r>
              <w:rPr>
                <w:sz w:val="19"/>
              </w:rPr>
              <w:t>Rita Solano</w:t>
            </w:r>
          </w:p>
        </w:tc>
        <w:tc>
          <w:tcPr>
            <w:tcW w:type="dxa" w:w="1584"/>
          </w:tcPr>
          <w:p>
            <w:r/>
            <w:r>
              <w:rPr>
                <w:sz w:val="19"/>
              </w:rPr>
              <w:t>Paralegal</w:t>
            </w:r>
          </w:p>
        </w:tc>
        <w:tc>
          <w:tcPr>
            <w:tcW w:type="dxa" w:w="576"/>
          </w:tcPr>
          <w:p>
            <w:r/>
            <w:r>
              <w:rPr>
                <w:sz w:val="19"/>
              </w:rPr>
              <w:t>12</w:t>
            </w:r>
          </w:p>
        </w:tc>
        <w:tc>
          <w:tcPr>
            <w:tcW w:type="dxa" w:w="1008"/>
          </w:tcPr>
          <w:p>
            <w:r/>
            <w:r>
              <w:rPr>
                <w:sz w:val="19"/>
              </w:rPr>
              <w:t>$275</w:t>
            </w:r>
          </w:p>
        </w:tc>
        <w:tc>
          <w:tcPr>
            <w:tcW w:type="dxa" w:w="864"/>
          </w:tcPr>
          <w:p>
            <w:r/>
            <w:r>
              <w:rPr>
                <w:sz w:val="19"/>
              </w:rPr>
              <w:t>$225</w:t>
            </w:r>
          </w:p>
        </w:tc>
        <w:tc>
          <w:tcPr>
            <w:tcW w:type="dxa" w:w="1296"/>
          </w:tcPr>
          <w:p>
            <w:r/>
            <w:r>
              <w:rPr>
                <w:sz w:val="19"/>
              </w:rPr>
              <w:t>$50 (22.2%)</w:t>
            </w:r>
          </w:p>
        </w:tc>
        <w:tc>
          <w:tcPr>
            <w:tcW w:type="dxa" w:w="864"/>
          </w:tcPr>
          <w:p>
            <w:r/>
            <w:r>
              <w:rPr>
                <w:sz w:val="19"/>
              </w:rPr>
              <w:t>350</w:t>
            </w:r>
          </w:p>
        </w:tc>
        <w:tc>
          <w:tcPr>
            <w:tcW w:type="dxa" w:w="1440"/>
          </w:tcPr>
          <w:p>
            <w:r/>
            <w:r>
              <w:rPr>
                <w:sz w:val="19"/>
              </w:rPr>
              <w:t>$17,500</w:t>
            </w:r>
          </w:p>
        </w:tc>
      </w:tr>
      <w:tr>
        <w:tc>
          <w:tcPr>
            <w:tcW w:type="dxa" w:w="1728"/>
          </w:tcPr>
          <w:p>
            <w:r/>
            <w:r>
              <w:rPr>
                <w:sz w:val="19"/>
              </w:rPr>
              <w:t>Contract attorneys (doc review)</w:t>
            </w:r>
          </w:p>
        </w:tc>
        <w:tc>
          <w:tcPr>
            <w:tcW w:type="dxa" w:w="1584"/>
          </w:tcPr>
          <w:p>
            <w:r/>
            <w:r>
              <w:rPr>
                <w:sz w:val="19"/>
              </w:rPr>
              <w:t>Contract (non-substantive)</w:t>
            </w:r>
          </w:p>
        </w:tc>
        <w:tc>
          <w:tcPr>
            <w:tcW w:type="dxa" w:w="576"/>
          </w:tcPr>
          <w:p>
            <w:r/>
            <w:r>
              <w:rPr>
                <w:sz w:val="19"/>
              </w:rPr>
              <w:t>—</w:t>
            </w:r>
          </w:p>
        </w:tc>
        <w:tc>
          <w:tcPr>
            <w:tcW w:type="dxa" w:w="1008"/>
          </w:tcPr>
          <w:p>
            <w:r/>
            <w:r>
              <w:rPr>
                <w:sz w:val="19"/>
              </w:rPr>
              <w:t>up to $350</w:t>
            </w:r>
          </w:p>
        </w:tc>
        <w:tc>
          <w:tcPr>
            <w:tcW w:type="dxa" w:w="864"/>
          </w:tcPr>
          <w:p>
            <w:r/>
            <w:r>
              <w:rPr>
                <w:sz w:val="19"/>
              </w:rPr>
              <w:t>$225</w:t>
            </w:r>
          </w:p>
        </w:tc>
        <w:tc>
          <w:tcPr>
            <w:tcW w:type="dxa" w:w="1296"/>
          </w:tcPr>
          <w:p>
            <w:r/>
            <w:r>
              <w:rPr>
                <w:sz w:val="19"/>
              </w:rPr>
              <w:t>$125 (55.6%)</w:t>
            </w:r>
          </w:p>
        </w:tc>
        <w:tc>
          <w:tcPr>
            <w:tcW w:type="dxa" w:w="864"/>
          </w:tcPr>
          <w:p>
            <w:r/>
            <w:r>
              <w:rPr>
                <w:sz w:val="19"/>
              </w:rPr>
              <w:t>750–1,000</w:t>
            </w:r>
          </w:p>
        </w:tc>
        <w:tc>
          <w:tcPr>
            <w:tcW w:type="dxa" w:w="1440"/>
          </w:tcPr>
          <w:p>
            <w:r/>
            <w:r>
              <w:rPr>
                <w:sz w:val="19"/>
              </w:rPr>
              <w:t>$93,750–$125,000</w:t>
            </w:r>
          </w:p>
        </w:tc>
      </w:tr>
      <w:tr>
        <w:tc>
          <w:tcPr>
            <w:tcW w:type="dxa" w:w="1728"/>
          </w:tcPr>
          <w:p>
            <w:r/>
            <w:r>
              <w:rPr>
                <w:sz w:val="19"/>
              </w:rPr>
              <w:t>Total</w:t>
            </w:r>
          </w:p>
        </w:tc>
        <w:tc>
          <w:tcPr>
            <w:tcW w:type="dxa" w:w="1584"/>
          </w:tcPr>
          <w:p>
            <w:r/>
            <w:r>
              <w:rPr>
                <w:sz w:val="19"/>
              </w:rPr>
            </w:r>
          </w:p>
        </w:tc>
        <w:tc>
          <w:tcPr>
            <w:tcW w:type="dxa" w:w="576"/>
          </w:tcPr>
          <w:p>
            <w:r/>
            <w:r>
              <w:rPr>
                <w:sz w:val="19"/>
              </w:rPr>
            </w:r>
          </w:p>
        </w:tc>
        <w:tc>
          <w:tcPr>
            <w:tcW w:type="dxa" w:w="1008"/>
          </w:tcPr>
          <w:p>
            <w:r/>
            <w:r>
              <w:rPr>
                <w:sz w:val="19"/>
              </w:rPr>
            </w:r>
          </w:p>
        </w:tc>
        <w:tc>
          <w:tcPr>
            <w:tcW w:type="dxa" w:w="864"/>
          </w:tcPr>
          <w:p>
            <w:r/>
            <w:r>
              <w:rPr>
                <w:sz w:val="19"/>
              </w:rPr>
            </w:r>
          </w:p>
        </w:tc>
        <w:tc>
          <w:tcPr>
            <w:tcW w:type="dxa" w:w="1296"/>
          </w:tcPr>
          <w:p>
            <w:r/>
            <w:r>
              <w:rPr>
                <w:sz w:val="19"/>
              </w:rPr>
            </w:r>
          </w:p>
        </w:tc>
        <w:tc>
          <w:tcPr>
            <w:tcW w:type="dxa" w:w="864"/>
          </w:tcPr>
          <w:p>
            <w:r/>
            <w:r>
              <w:rPr>
                <w:sz w:val="19"/>
              </w:rPr>
            </w:r>
          </w:p>
        </w:tc>
        <w:tc>
          <w:tcPr>
            <w:tcW w:type="dxa" w:w="1440"/>
          </w:tcPr>
          <w:p>
            <w:r/>
            <w:r>
              <w:rPr>
                <w:sz w:val="19"/>
              </w:rPr>
              <w:t>$238,750–$270,000</w:t>
            </w:r>
          </w:p>
        </w:tc>
      </w:tr>
    </w:tbl>
    <w:p/>
    <w:p>
      <w:r>
        <w:rPr>
          <w:b w:val="0"/>
          <w:i w:val="0"/>
        </w:rPr>
        <w:t>Core-team fees at the proposed rates total $1,141,500 (1,880 hours). At the OCG caps they would total $996,500, a saving of $145,000 before escalation. Under OCG § 3.1, invoices above the caps would be cut to the cap anyway. The letter should still show capped rates so there is no dispute later. Before accepting the associate categories, confirm each associate's bar admission date, since "years of practice" runs from first admission.</w:t>
      </w:r>
    </w:p>
    <w:p>
      <w:pPr>
        <w:pStyle w:val="Heading3"/>
      </w:pPr>
      <w:r>
        <w:t>5. Automatic 5% Annual Rate Escalation (High)</w:t>
      </w:r>
    </w:p>
    <w:p>
      <w:r>
        <w:rPr>
          <w:b w:val="0"/>
          <w:i w:val="0"/>
        </w:rPr>
        <w:t>Engagement letter § 3.3, Exhibit A and Staffing Plan § 5 impose a 5% increase every January 1, starting in 2026, "automatically" and "without prior notice to or approval by the Client." OCG § 3.2 fixes rates for the calendar year the engagement starts, requires written proposals by November 1, and gives automatic escalation clauses "no force or effect" even if a Pinnacle representative signs the letter. Nearly all of the work (November 2025–March 2027) would fall in 2026–2027, when rates would be 5% and 10.25% higher. The $2.4M budget is priced at 2025 rates and does not account for this. Our rough estimate is about $65,000 or more in added core-team fees. Delete the clause.</w:t>
      </w:r>
    </w:p>
    <w:p>
      <w:pPr>
        <w:pStyle w:val="Heading3"/>
      </w:pPr>
      <w:r>
        <w:t>6. Blended Rate Alternative (High)</w:t>
      </w:r>
    </w:p>
    <w:p>
      <w:r>
        <w:rPr>
          <w:b w:val="0"/>
          <w:i w:val="0"/>
        </w:rPr>
        <w:t>The $685/hour blended rate exceeds the $625 cap in OCG §§ 3.3 and 9.3. It is also a worse deal than the firm's own standard rates. Using the staffing plan's hours, the effective blended rate at standard rates is $607/hour ($1,141,500 ÷ 1,880). At OCG caps it is about $530/hour ($996,500 ÷ 1,880). Billing 1,880 hours at $685 would cost $1,287,800: $146,300 more than standard rates and $291,300 more than capped rates. The $685 rate would also apply to paralegal time (350 hours at $685 instead of $225) and, apparently, to contract reviewers. The proposal also lacks the per-timekeeper hours breakdown required by § 3.3, and it would lock in the election at signing even though § 3.3 lets Pinnacle switch to hourly billing at any time. Reject it. If HB&amp;C wants a blended rate, it should propose one at or below the effective capped rate, excluding paralegals and contract reviewers.</w:t>
      </w:r>
    </w:p>
    <w:p>
      <w:pPr>
        <w:pStyle w:val="Heading3"/>
      </w:pPr>
      <w:r>
        <w:t>7. Success Fee (High)</w:t>
      </w:r>
    </w:p>
    <w:p>
      <w:r>
        <w:rPr>
          <w:b w:val="0"/>
          <w:i w:val="0"/>
        </w:rPr>
        <w:t>Engagement letter § 10 puts a success bonus into the letter itself. OCG § 9.2 prohibits this: success fees must be in a separate written agreement approved by the General Counsel before execution. It also says a success-fee provision in an engagement letter does not bind Pinnacle. The proposal also lacks several required elements:</w:t>
      </w:r>
    </w:p>
    <w:p>
      <w:pPr>
        <w:pStyle w:val="ListBullet"/>
      </w:pPr>
      <w:r>
        <w:rPr>
          <w:b/>
        </w:rPr>
        <w:t xml:space="preserve">No dollar cap (§ 9.2(c)). </w:t>
      </w:r>
      <w:r>
        <w:t>The fee is 10% × ($14.2M − resolution amount), so the maximum is $1,420,000 if Pinnacle pays nothing.</w:t>
      </w:r>
    </w:p>
    <w:p>
      <w:pPr>
        <w:pStyle w:val="ListBullet"/>
      </w:pPr>
      <w:r>
        <w:rPr>
          <w:b/>
        </w:rPr>
        <w:t xml:space="preserve">Cliff and perverse incentives (§ 9.2(a), (e)). </w:t>
      </w:r>
      <w:r>
        <w:t>Nothing is payable at $7.0M or more, but $720,000 is payable at $6.99M. A $10,000 difference in outcome swings the fee by $720,000, and the firm has a strong incentive around that settlement threshold.</w:t>
      </w:r>
    </w:p>
    <w:p>
      <w:pPr>
        <w:pStyle w:val="ListBullet"/>
      </w:pPr>
      <w:r>
        <w:rPr>
          <w:b/>
        </w:rPr>
        <w:t xml:space="preserve">Measured against NovaTech's demand. </w:t>
      </w:r>
      <w:r>
        <w:t>The fee is benchmarked to the plaintiff's $14.2M claim, not to a realistic case valuation. Any ordinary defense result would earn a large fee. For example, the $4M illustration pays $1,020,000.</w:t>
      </w:r>
    </w:p>
    <w:p>
      <w:pPr>
        <w:pStyle w:val="ListBullet"/>
      </w:pPr>
      <w:r>
        <w:rPr>
          <w:b/>
        </w:rPr>
        <w:t xml:space="preserve">No offsetting hourly discount (§ 9.2(d)). </w:t>
      </w:r>
      <w:r>
        <w:t>The fee is "in addition to all hourly fees," which are already above the caps.</w:t>
      </w:r>
    </w:p>
    <w:p>
      <w:pPr>
        <w:pStyle w:val="ListBullet"/>
      </w:pPr>
      <w:r>
        <w:rPr>
          <w:b/>
        </w:rPr>
        <w:t xml:space="preserve">Termination and scope (§ 9.2(e)). </w:t>
      </w:r>
      <w:r>
        <w:t>The letter does not say how the fee is treated on termination, on a change of counsel, or if the case settles after HB&amp;C withdraws. "Resolution amount" includes court-awarded costs, which is ambiguous.</w:t>
      </w:r>
    </w:p>
    <w:p>
      <w:r>
        <w:rPr>
          <w:b/>
        </w:rPr>
        <w:t xml:space="preserve">Required action: </w:t>
      </w:r>
      <w:r>
        <w:t>Delete § 10. HB&amp;C may propose a separate AFA that complies with § 9.2, for example: an objective success trigger tied to an agreed case valuation, a hard dollar cap, a hourly discount or holdback during the case, and no cliff.</w:t>
      </w:r>
    </w:p>
    <w:p>
      <w:pPr>
        <w:pStyle w:val="Heading3"/>
      </w:pPr>
      <w:r>
        <w:t>8. Non-Refundable Engagement Retainer (High)</w:t>
      </w:r>
    </w:p>
    <w:p>
      <w:r>
        <w:rPr>
          <w:b w:val="0"/>
          <w:i w:val="0"/>
        </w:rPr>
        <w:t>Engagement letter § 4 requires a $250,000 retainer that is "non-refundable" and "earned upon receipt," deposited into the firm's operating account and forfeited on early termination. OCG § 3.6 states that Pinnacle does not normally pay retainers, and any retainer must be held in trust, refundable, and applied only to final invoices. Non-refundable retainers require extraordinary circumstances and a detailed justification. None is offered. Under N.C. RPC 1.5 and 1.16(d), and the parallel D.C. rules, a fee labeled "non-refundable" must still be reasonable and any unearned part refunded. Combined with the termination fee, this provision would impose a heavy penalty on Pinnacle for changing counsel. It is also unclear how it relates to the budget: Exhibit B lists the retainer as "not included," yet § 4 says it will be credited against final invoices. Delete it, or at most replace it with a refundable trust-account deposit if the General Counsel agrees.</w:t>
      </w:r>
    </w:p>
    <w:p>
      <w:pPr>
        <w:pStyle w:val="Heading2"/>
      </w:pPr>
      <w:r>
        <w:t>C. Billing, Payment and Expenses</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1F3864"/>
          </w:tcPr>
          <w:p>
            <w:r/>
            <w:r>
              <w:rPr>
                <w:b/>
                <w:color w:val="FFFFFF"/>
                <w:sz w:val="19"/>
              </w:rPr>
              <w:t>Term</w:t>
            </w:r>
          </w:p>
        </w:tc>
        <w:tc>
          <w:tcPr>
            <w:tcW w:type="dxa" w:w="2592"/>
            <w:shd w:val="clear" w:color="auto" w:fill="1F3864"/>
          </w:tcPr>
          <w:p>
            <w:r/>
            <w:r>
              <w:rPr>
                <w:b/>
                <w:color w:val="FFFFFF"/>
                <w:sz w:val="19"/>
              </w:rPr>
              <w:t>Engagement Letter</w:t>
            </w:r>
          </w:p>
        </w:tc>
        <w:tc>
          <w:tcPr>
            <w:tcW w:type="dxa" w:w="3744"/>
            <w:shd w:val="clear" w:color="auto" w:fill="1F3864"/>
          </w:tcPr>
          <w:p>
            <w:r/>
            <w:r>
              <w:rPr>
                <w:b/>
                <w:color w:val="FFFFFF"/>
                <w:sz w:val="19"/>
              </w:rPr>
              <w:t>OCG Requirement</w:t>
            </w:r>
          </w:p>
        </w:tc>
        <w:tc>
          <w:tcPr>
            <w:tcW w:type="dxa" w:w="1296"/>
            <w:shd w:val="clear" w:color="auto" w:fill="1F3864"/>
          </w:tcPr>
          <w:p>
            <w:r/>
            <w:r>
              <w:rPr>
                <w:b/>
                <w:color w:val="FFFFFF"/>
                <w:sz w:val="19"/>
              </w:rPr>
              <w:t>Section</w:t>
            </w:r>
          </w:p>
        </w:tc>
      </w:tr>
      <w:tr>
        <w:tc>
          <w:tcPr>
            <w:tcW w:type="dxa" w:w="1728"/>
          </w:tcPr>
          <w:p>
            <w:r/>
            <w:r>
              <w:rPr>
                <w:sz w:val="19"/>
              </w:rPr>
              <w:t>Invoice submission</w:t>
            </w:r>
          </w:p>
        </w:tc>
        <w:tc>
          <w:tcPr>
            <w:tcW w:type="dxa" w:w="2592"/>
          </w:tcPr>
          <w:p>
            <w:r/>
            <w:r>
              <w:rPr>
                <w:sz w:val="19"/>
              </w:rPr>
              <w:t>Within 60 days of month-end</w:t>
            </w:r>
          </w:p>
        </w:tc>
        <w:tc>
          <w:tcPr>
            <w:tcW w:type="dxa" w:w="3744"/>
          </w:tcPr>
          <w:p>
            <w:r/>
            <w:r>
              <w:rPr>
                <w:sz w:val="19"/>
              </w:rPr>
              <w:t>Within 45 days; &gt;45 may be reduced; &gt;90 not paid</w:t>
            </w:r>
          </w:p>
        </w:tc>
        <w:tc>
          <w:tcPr>
            <w:tcW w:type="dxa" w:w="1296"/>
          </w:tcPr>
          <w:p>
            <w:r/>
            <w:r>
              <w:rPr>
                <w:sz w:val="19"/>
              </w:rPr>
              <w:t>§ 3.4</w:t>
            </w:r>
          </w:p>
        </w:tc>
      </w:tr>
      <w:tr>
        <w:tc>
          <w:tcPr>
            <w:tcW w:type="dxa" w:w="1728"/>
          </w:tcPr>
          <w:p>
            <w:r/>
            <w:r>
              <w:rPr>
                <w:sz w:val="19"/>
              </w:rPr>
              <w:t>Format</w:t>
            </w:r>
          </w:p>
        </w:tc>
        <w:tc>
          <w:tcPr>
            <w:tcW w:type="dxa" w:w="2592"/>
          </w:tcPr>
          <w:p>
            <w:r/>
            <w:r>
              <w:rPr>
                <w:sz w:val="19"/>
              </w:rPr>
              <w:t>Electronic, to billing contact</w:t>
            </w:r>
          </w:p>
        </w:tc>
        <w:tc>
          <w:tcPr>
            <w:tcW w:type="dxa" w:w="3744"/>
          </w:tcPr>
          <w:p>
            <w:r/>
            <w:r>
              <w:rPr>
                <w:sz w:val="19"/>
              </w:rPr>
              <w:t>LEDES 1998B via Pinnacle e-billing platform</w:t>
            </w:r>
          </w:p>
        </w:tc>
        <w:tc>
          <w:tcPr>
            <w:tcW w:type="dxa" w:w="1296"/>
          </w:tcPr>
          <w:p>
            <w:r/>
            <w:r>
              <w:rPr>
                <w:sz w:val="19"/>
              </w:rPr>
              <w:t>§ 3.4</w:t>
            </w:r>
          </w:p>
        </w:tc>
      </w:tr>
      <w:tr>
        <w:tc>
          <w:tcPr>
            <w:tcW w:type="dxa" w:w="1728"/>
          </w:tcPr>
          <w:p>
            <w:r/>
            <w:r>
              <w:rPr>
                <w:sz w:val="19"/>
              </w:rPr>
              <w:t>Invoice content</w:t>
            </w:r>
          </w:p>
        </w:tc>
        <w:tc>
          <w:tcPr>
            <w:tcW w:type="dxa" w:w="2592"/>
          </w:tcPr>
          <w:p>
            <w:r/>
            <w:r>
              <w:rPr>
                <w:sz w:val="19"/>
              </w:rPr>
              <w:t>Description, timekeeper, hours, rate, disbursement summary</w:t>
            </w:r>
          </w:p>
        </w:tc>
        <w:tc>
          <w:tcPr>
            <w:tcW w:type="dxa" w:w="3744"/>
          </w:tcPr>
          <w:p>
            <w:r/>
            <w:r>
              <w:rPr>
                <w:sz w:val="19"/>
              </w:rPr>
              <w:t>Also: matter no., ≥6-word entries, no block billing, receipts &gt;$250, cumulative budget-to-actual</w:t>
            </w:r>
          </w:p>
        </w:tc>
        <w:tc>
          <w:tcPr>
            <w:tcW w:type="dxa" w:w="1296"/>
          </w:tcPr>
          <w:p>
            <w:r/>
            <w:r>
              <w:rPr>
                <w:sz w:val="19"/>
              </w:rPr>
              <w:t>§ 3.4(a)–(f)</w:t>
            </w:r>
          </w:p>
        </w:tc>
      </w:tr>
      <w:tr>
        <w:tc>
          <w:tcPr>
            <w:tcW w:type="dxa" w:w="1728"/>
          </w:tcPr>
          <w:p>
            <w:r/>
            <w:r>
              <w:rPr>
                <w:sz w:val="19"/>
              </w:rPr>
              <w:t>Payment due</w:t>
            </w:r>
          </w:p>
        </w:tc>
        <w:tc>
          <w:tcPr>
            <w:tcW w:type="dxa" w:w="2592"/>
          </w:tcPr>
          <w:p>
            <w:r/>
            <w:r>
              <w:rPr>
                <w:sz w:val="19"/>
              </w:rPr>
              <w:t>30 days from invoice date</w:t>
            </w:r>
          </w:p>
        </w:tc>
        <w:tc>
          <w:tcPr>
            <w:tcW w:type="dxa" w:w="3744"/>
          </w:tcPr>
          <w:p>
            <w:r/>
            <w:r>
              <w:rPr>
                <w:sz w:val="19"/>
              </w:rPr>
              <w:t>30 days from receipt and approval of a compliant invoice; right to withhold disputed items</w:t>
            </w:r>
          </w:p>
        </w:tc>
        <w:tc>
          <w:tcPr>
            <w:tcW w:type="dxa" w:w="1296"/>
          </w:tcPr>
          <w:p>
            <w:r/>
            <w:r>
              <w:rPr>
                <w:sz w:val="19"/>
              </w:rPr>
              <w:t>§ 3.5</w:t>
            </w:r>
          </w:p>
        </w:tc>
      </w:tr>
      <w:tr>
        <w:tc>
          <w:tcPr>
            <w:tcW w:type="dxa" w:w="1728"/>
          </w:tcPr>
          <w:p>
            <w:r/>
            <w:r>
              <w:rPr>
                <w:sz w:val="19"/>
              </w:rPr>
              <w:t>Late payment</w:t>
            </w:r>
          </w:p>
        </w:tc>
        <w:tc>
          <w:tcPr>
            <w:tcW w:type="dxa" w:w="2592"/>
          </w:tcPr>
          <w:p>
            <w:r/>
            <w:r>
              <w:rPr>
                <w:sz w:val="19"/>
              </w:rPr>
              <w:t>1.5%/month (18%/yr) interest; right to suspend work</w:t>
            </w:r>
          </w:p>
        </w:tc>
        <w:tc>
          <w:tcPr>
            <w:tcW w:type="dxa" w:w="3744"/>
          </w:tcPr>
          <w:p>
            <w:r/>
            <w:r>
              <w:rPr>
                <w:sz w:val="19"/>
              </w:rPr>
              <w:t>No interest provision; disputes follow § XIII</w:t>
            </w:r>
          </w:p>
        </w:tc>
        <w:tc>
          <w:tcPr>
            <w:tcW w:type="dxa" w:w="1296"/>
          </w:tcPr>
          <w:p>
            <w:r/>
            <w:r>
              <w:rPr>
                <w:sz w:val="19"/>
              </w:rPr>
              <w:t>§§ 3.5, 13</w:t>
            </w:r>
          </w:p>
        </w:tc>
      </w:tr>
      <w:tr>
        <w:tc>
          <w:tcPr>
            <w:tcW w:type="dxa" w:w="1728"/>
          </w:tcPr>
          <w:p>
            <w:r/>
            <w:r>
              <w:rPr>
                <w:sz w:val="19"/>
              </w:rPr>
              <w:t>Billing objections</w:t>
            </w:r>
          </w:p>
        </w:tc>
        <w:tc>
          <w:tcPr>
            <w:tcW w:type="dxa" w:w="2592"/>
          </w:tcPr>
          <w:p>
            <w:r/>
            <w:r>
              <w:rPr>
                <w:sz w:val="19"/>
              </w:rPr>
              <w:t>Within 30-day payment period</w:t>
            </w:r>
          </w:p>
        </w:tc>
        <w:tc>
          <w:tcPr>
            <w:tcW w:type="dxa" w:w="3744"/>
          </w:tcPr>
          <w:p>
            <w:r/>
            <w:r>
              <w:rPr>
                <w:sz w:val="19"/>
              </w:rPr>
              <w:t>60 days from invoice date; negotiation then escalation</w:t>
            </w:r>
          </w:p>
        </w:tc>
        <w:tc>
          <w:tcPr>
            <w:tcW w:type="dxa" w:w="1296"/>
          </w:tcPr>
          <w:p>
            <w:r/>
            <w:r>
              <w:rPr>
                <w:sz w:val="19"/>
              </w:rPr>
              <w:t>§ 13.1</w:t>
            </w:r>
          </w:p>
        </w:tc>
      </w:tr>
      <w:tr>
        <w:tc>
          <w:tcPr>
            <w:tcW w:type="dxa" w:w="1728"/>
          </w:tcPr>
          <w:p>
            <w:r/>
            <w:r>
              <w:rPr>
                <w:sz w:val="19"/>
              </w:rPr>
              <w:t>Expense pre-approval</w:t>
            </w:r>
          </w:p>
        </w:tc>
        <w:tc>
          <w:tcPr>
            <w:tcW w:type="dxa" w:w="2592"/>
          </w:tcPr>
          <w:p>
            <w:r/>
            <w:r>
              <w:rPr>
                <w:sz w:val="19"/>
              </w:rPr>
              <w:t>Only above $15,000 per item</w:t>
            </w:r>
          </w:p>
        </w:tc>
        <w:tc>
          <w:tcPr>
            <w:tcW w:type="dxa" w:w="3744"/>
          </w:tcPr>
          <w:p>
            <w:r/>
            <w:r>
              <w:rPr>
                <w:sz w:val="19"/>
              </w:rPr>
              <w:t>Any single expense above $5,000, all categories</w:t>
            </w:r>
          </w:p>
        </w:tc>
        <w:tc>
          <w:tcPr>
            <w:tcW w:type="dxa" w:w="1296"/>
          </w:tcPr>
          <w:p>
            <w:r/>
            <w:r>
              <w:rPr>
                <w:sz w:val="19"/>
              </w:rPr>
              <w:t>§ 5.2</w:t>
            </w:r>
          </w:p>
        </w:tc>
      </w:tr>
      <w:tr>
        <w:tc>
          <w:tcPr>
            <w:tcW w:type="dxa" w:w="1728"/>
          </w:tcPr>
          <w:p>
            <w:r/>
            <w:r>
              <w:rPr>
                <w:sz w:val="19"/>
              </w:rPr>
              <w:t>Airfare</w:t>
            </w:r>
          </w:p>
        </w:tc>
        <w:tc>
          <w:tcPr>
            <w:tcW w:type="dxa" w:w="2592"/>
          </w:tcPr>
          <w:p>
            <w:r/>
            <w:r>
              <w:rPr>
                <w:sz w:val="19"/>
              </w:rPr>
              <w:t>Business class for partners on flights &gt;2 hrs</w:t>
            </w:r>
          </w:p>
        </w:tc>
        <w:tc>
          <w:tcPr>
            <w:tcW w:type="dxa" w:w="3744"/>
          </w:tcPr>
          <w:p>
            <w:r/>
            <w:r>
              <w:rPr>
                <w:sz w:val="19"/>
              </w:rPr>
              <w:t>Economy only, "under any circumstances"</w:t>
            </w:r>
          </w:p>
        </w:tc>
        <w:tc>
          <w:tcPr>
            <w:tcW w:type="dxa" w:w="1296"/>
          </w:tcPr>
          <w:p>
            <w:r/>
            <w:r>
              <w:rPr>
                <w:sz w:val="19"/>
              </w:rPr>
              <w:t>§ 5.3</w:t>
            </w:r>
          </w:p>
        </w:tc>
      </w:tr>
      <w:tr>
        <w:tc>
          <w:tcPr>
            <w:tcW w:type="dxa" w:w="1728"/>
          </w:tcPr>
          <w:p>
            <w:r/>
            <w:r>
              <w:rPr>
                <w:sz w:val="19"/>
              </w:rPr>
              <w:t>Hotels</w:t>
            </w:r>
          </w:p>
        </w:tc>
        <w:tc>
          <w:tcPr>
            <w:tcW w:type="dxa" w:w="2592"/>
          </w:tcPr>
          <w:p>
            <w:r/>
            <w:r>
              <w:rPr>
                <w:sz w:val="19"/>
              </w:rPr>
              <w:t>"Standard business-class hotels"</w:t>
            </w:r>
          </w:p>
        </w:tc>
        <w:tc>
          <w:tcPr>
            <w:tcW w:type="dxa" w:w="3744"/>
          </w:tcPr>
          <w:p>
            <w:r/>
            <w:r>
              <w:rPr>
                <w:sz w:val="19"/>
              </w:rPr>
              <w:t>Standard room rate; government rate where available</w:t>
            </w:r>
          </w:p>
        </w:tc>
        <w:tc>
          <w:tcPr>
            <w:tcW w:type="dxa" w:w="1296"/>
          </w:tcPr>
          <w:p>
            <w:r/>
            <w:r>
              <w:rPr>
                <w:sz w:val="19"/>
              </w:rPr>
              <w:t>§ 5.3</w:t>
            </w:r>
          </w:p>
        </w:tc>
      </w:tr>
      <w:tr>
        <w:tc>
          <w:tcPr>
            <w:tcW w:type="dxa" w:w="1728"/>
          </w:tcPr>
          <w:p>
            <w:r/>
            <w:r>
              <w:rPr>
                <w:sz w:val="19"/>
              </w:rPr>
              <w:t>Travel approval</w:t>
            </w:r>
          </w:p>
        </w:tc>
        <w:tc>
          <w:tcPr>
            <w:tcW w:type="dxa" w:w="2592"/>
          </w:tcPr>
          <w:p>
            <w:r/>
            <w:r>
              <w:rPr>
                <w:sz w:val="19"/>
              </w:rPr>
              <w:t>None</w:t>
            </w:r>
          </w:p>
        </w:tc>
        <w:tc>
          <w:tcPr>
            <w:tcW w:type="dxa" w:w="3744"/>
          </w:tcPr>
          <w:p>
            <w:r/>
            <w:r>
              <w:rPr>
                <w:sz w:val="19"/>
              </w:rPr>
              <w:t>All travel pre-approved; 5 business days' notice</w:t>
            </w:r>
          </w:p>
        </w:tc>
        <w:tc>
          <w:tcPr>
            <w:tcW w:type="dxa" w:w="1296"/>
          </w:tcPr>
          <w:p>
            <w:r/>
            <w:r>
              <w:rPr>
                <w:sz w:val="19"/>
              </w:rPr>
              <w:t>§ 5.3</w:t>
            </w:r>
          </w:p>
        </w:tc>
      </w:tr>
      <w:tr>
        <w:tc>
          <w:tcPr>
            <w:tcW w:type="dxa" w:w="1728"/>
          </w:tcPr>
          <w:p>
            <w:r/>
            <w:r>
              <w:rPr>
                <w:sz w:val="19"/>
              </w:rPr>
              <w:t>Meals</w:t>
            </w:r>
          </w:p>
        </w:tc>
        <w:tc>
          <w:tcPr>
            <w:tcW w:type="dxa" w:w="2592"/>
          </w:tcPr>
          <w:p>
            <w:r/>
            <w:r>
              <w:rPr>
                <w:sz w:val="19"/>
              </w:rPr>
              <w:t>Reimbursable</w:t>
            </w:r>
          </w:p>
        </w:tc>
        <w:tc>
          <w:tcPr>
            <w:tcW w:type="dxa" w:w="3744"/>
          </w:tcPr>
          <w:p>
            <w:r/>
            <w:r>
              <w:rPr>
                <w:sz w:val="19"/>
              </w:rPr>
              <w:t>Only during approved travel (≤$75/day) or approved trial meals</w:t>
            </w:r>
          </w:p>
        </w:tc>
        <w:tc>
          <w:tcPr>
            <w:tcW w:type="dxa" w:w="1296"/>
          </w:tcPr>
          <w:p>
            <w:r/>
            <w:r>
              <w:rPr>
                <w:sz w:val="19"/>
              </w:rPr>
              <w:t>§§ 5.3, 5.4(g)</w:t>
            </w:r>
          </w:p>
        </w:tc>
      </w:tr>
      <w:tr>
        <w:tc>
          <w:tcPr>
            <w:tcW w:type="dxa" w:w="1728"/>
          </w:tcPr>
          <w:p>
            <w:r/>
            <w:r>
              <w:rPr>
                <w:sz w:val="19"/>
              </w:rPr>
              <w:t>Legal research</w:t>
            </w:r>
          </w:p>
        </w:tc>
        <w:tc>
          <w:tcPr>
            <w:tcW w:type="dxa" w:w="2592"/>
          </w:tcPr>
          <w:p>
            <w:r/>
            <w:r>
              <w:rPr>
                <w:sz w:val="19"/>
              </w:rPr>
              <w:t>Reimbursable</w:t>
            </w:r>
          </w:p>
        </w:tc>
        <w:tc>
          <w:tcPr>
            <w:tcW w:type="dxa" w:w="3744"/>
          </w:tcPr>
          <w:p>
            <w:r/>
            <w:r>
              <w:rPr>
                <w:sz w:val="19"/>
              </w:rPr>
              <w:t>Not reimbursable unless a discrete project is pre-approved</w:t>
            </w:r>
          </w:p>
        </w:tc>
        <w:tc>
          <w:tcPr>
            <w:tcW w:type="dxa" w:w="1296"/>
          </w:tcPr>
          <w:p>
            <w:r/>
            <w:r>
              <w:rPr>
                <w:sz w:val="19"/>
              </w:rPr>
              <w:t>§ 5.4(b)</w:t>
            </w:r>
          </w:p>
        </w:tc>
      </w:tr>
      <w:tr>
        <w:tc>
          <w:tcPr>
            <w:tcW w:type="dxa" w:w="1728"/>
          </w:tcPr>
          <w:p>
            <w:r/>
            <w:r>
              <w:rPr>
                <w:sz w:val="19"/>
              </w:rPr>
              <w:t>Copying/printing</w:t>
            </w:r>
          </w:p>
        </w:tc>
        <w:tc>
          <w:tcPr>
            <w:tcW w:type="dxa" w:w="2592"/>
          </w:tcPr>
          <w:p>
            <w:r/>
            <w:r>
              <w:rPr>
                <w:sz w:val="19"/>
              </w:rPr>
              <w:t>Reimbursable</w:t>
            </w:r>
          </w:p>
        </w:tc>
        <w:tc>
          <w:tcPr>
            <w:tcW w:type="dxa" w:w="3744"/>
          </w:tcPr>
          <w:p>
            <w:r/>
            <w:r>
              <w:rPr>
                <w:sz w:val="19"/>
              </w:rPr>
              <w:t>Internal copying under 500 pages is overhead</w:t>
            </w:r>
          </w:p>
        </w:tc>
        <w:tc>
          <w:tcPr>
            <w:tcW w:type="dxa" w:w="1296"/>
          </w:tcPr>
          <w:p>
            <w:r/>
            <w:r>
              <w:rPr>
                <w:sz w:val="19"/>
              </w:rPr>
              <w:t>§ 5.4(d)</w:t>
            </w:r>
          </w:p>
        </w:tc>
      </w:tr>
    </w:tbl>
    <w:p/>
    <w:p>
      <w:r>
        <w:rPr>
          <w:b w:val="0"/>
          <w:i w:val="0"/>
        </w:rPr>
        <w:t>Additional points: (i) Mr. Alcott is based in D.C. while the case and most of the team are in Charlotte. His travel should not be billed, or should require pre-approval, and his estimated 120 hours should be reviewed (see Section D). (ii) The 18% interest and right to suspend work would give the firm leverage while payment is being withheld under OCG § 3.5. (iii) Phase 2 and other phases will involve individual expert and vendor charges well above $5,000, each of which needs pre-approval.</w:t>
      </w:r>
    </w:p>
    <w:p>
      <w:pPr>
        <w:pStyle w:val="Heading2"/>
      </w:pPr>
      <w:r>
        <w:t>D. Staffing</w:t>
      </w:r>
    </w:p>
    <w:p>
      <w:pPr>
        <w:pStyle w:val="ListBullet"/>
      </w:pPr>
      <w:r>
        <w:rPr>
          <w:b/>
        </w:rPr>
        <w:t xml:space="preserve">Sole discretion over staffing (EL § 2; Staffing Plan §§ 3, 6). </w:t>
      </w:r>
      <w:r>
        <w:t>This contradicts OCG § 6.2, which states outside counsel "does not have unilateral discretion." Changes at the senior associate level or above require 14 days' written notice and Pinnacle's approval, and Pinnacle's approval right covers all partners. The plan's reservation to bring in associates from Atlanta, New York and D.C. "as workload requires" at standard rates must be subject to this process.</w:t>
      </w:r>
    </w:p>
    <w:p>
      <w:pPr>
        <w:pStyle w:val="ListBullet"/>
      </w:pPr>
      <w:r>
        <w:rPr>
          <w:b/>
        </w:rPr>
        <w:t xml:space="preserve">Contract attorneys (EL § 2; Ex. A; Staffing Plan § 3). </w:t>
      </w:r>
      <w:r>
        <w:t>They need prior written approval with qualifications, scope and duration (§ 6.3). Rates are capped at $225 for document review and $425 for substantive work, and may not exceed comparable firm associates. The estimated 750–1,000 hours at $350 ($262,500–$350,000) would be $168,750–$225,000 at the cap. Also require a technology-assisted review (TAR) workflow, since CrossPoint is pricing TAR, to reduce contract review hours.</w:t>
      </w:r>
    </w:p>
    <w:p>
      <w:pPr>
        <w:pStyle w:val="ListBullet"/>
      </w:pPr>
      <w:r>
        <w:rPr>
          <w:b/>
        </w:rPr>
        <w:t xml:space="preserve">Two equity partners. </w:t>
      </w:r>
      <w:r>
        <w:t>Mr. Alcott is budgeted for 120 hours ($117,000) for "strategic oversight, budget reviews, … billing review, and engagement compliance." Billing review and invoice preparation are firm administrative costs and are not billable. OCG § 6.1 also bars paying for more than one partner at routine depositions, hearings or strategy meetings without approval. The staffing plan budgets both partners in every phase, including 25 Alcott hours at trial. We should require a justification, or limit Mr. Alcott's billable time to specific pre-approved tasks.</w:t>
      </w:r>
    </w:p>
    <w:p>
      <w:pPr>
        <w:pStyle w:val="ListBullet"/>
      </w:pPr>
      <w:r>
        <w:rPr>
          <w:b/>
        </w:rPr>
        <w:t xml:space="preserve">Diversity (§ 6.4). </w:t>
      </w:r>
      <w:r>
        <w:t>The letter and staffing plan do not address diverse staffing or the quarterly diversity reports. Add the commitment.</w:t>
      </w:r>
    </w:p>
    <w:p>
      <w:pPr>
        <w:pStyle w:val="Heading2"/>
      </w:pPr>
      <w:r>
        <w:t>E. E-Discovery Vendor — CrossPoint Analytics</w:t>
      </w:r>
    </w:p>
    <w:p>
      <w:pPr>
        <w:pStyle w:val="ListBullet"/>
      </w:pPr>
      <w:r>
        <w:rPr>
          <w:b/>
        </w:rPr>
        <w:t xml:space="preserve">Firm relationship / possible financial interest (§ 1.2). </w:t>
      </w:r>
      <w:r>
        <w:t>The letter calls CrossPoint "a strategic partner of the Firm." CrossPoint says it has handled more than 40 HB&amp;C engagements in five years, with "preferred rates available exclusively to" HB&amp;C. OCG § 1.2 prohibits using vendors in which the firm or its attorneys hold a financial interest unless disclosed and approved. HB&amp;C must certify in writing whether it or any attorney has any ownership, revenue-share, referral, rebate or other financial arrangement with CrossPoint.</w:t>
      </w:r>
    </w:p>
    <w:p>
      <w:pPr>
        <w:pStyle w:val="ListBullet"/>
      </w:pPr>
      <w:r>
        <w:rPr>
          <w:b/>
        </w:rPr>
        <w:t xml:space="preserve">Approval and competitive bidding (§ 1.2). </w:t>
      </w:r>
      <w:r>
        <w:t>At $380,000, the engagement is far above the $25,000 prior-approval threshold and the $50,000 threshold at which Pinnacle may require competitive bids. The OCG also lets Pinnacle direct the use of a Pinnacle-preferred vendor. We recommend competitive bids, including any Pinnacle-preferred e-discovery vendor. The claimed 15–20% discount should be tested against the market.</w:t>
      </w:r>
    </w:p>
    <w:p>
      <w:pPr>
        <w:pStyle w:val="ListBullet"/>
      </w:pPr>
      <w:r>
        <w:rPr>
          <w:b/>
        </w:rPr>
        <w:t xml:space="preserve">Contracting structure. </w:t>
      </w:r>
      <w:r>
        <w:t>CrossPoint's contract would be with HB&amp;C only. It would be HB&amp;C that authorizes the start of work, approves contingency spending over $5,000, and signs the NDA. CrossPoint's confidentiality notice even forbids disclosing the proposal to "third parties," which would include Pinnacle. Pinnacle would have no direct privity, audit rights or approval rights, yet would pay a 1.5%/month late charge passed through by HB&amp;C, under Virginia law. CrossPoint's liability is capped at 12 months of fees, with consequential and data-loss damages excluded, which is a concern given that PHI is involved. Under § 1.2, HB&amp;C must ensure CrossPoint complies with the OCG, including § X. Pinnacle must be a party to, or a named third-party beneficiary of, the vendor terms, and all approvals must come from Pinnacle.</w:t>
      </w:r>
    </w:p>
    <w:p>
      <w:pPr>
        <w:pStyle w:val="ListBullet"/>
      </w:pPr>
      <w:r>
        <w:rPr>
          <w:b/>
        </w:rPr>
        <w:t xml:space="preserve">HIPAA / PHI (§ 10.2). </w:t>
      </w:r>
      <w:r>
        <w:t>This case concerns EHR data-integrity failures that "compromised patient record accuracy." Collections from EHR integration platforms and system logs will almost certainly contain PHI. A Business Associate Agreement (BAA) is required, not optional "if required," both with CrossPoint and (as a downstream arrangement) with HB&amp;C. The proposal does not include the 24-hour breach notice to the General Counsel, encryption of communications, need-to-know access limits, or Pinnacle's right to conduct security assessments.</w:t>
      </w:r>
    </w:p>
    <w:p>
      <w:pPr>
        <w:pStyle w:val="ListBullet"/>
      </w:pPr>
      <w:r>
        <w:rPr>
          <w:b/>
        </w:rPr>
        <w:t xml:space="preserve">Budget and pricing. </w:t>
      </w:r>
      <w:r>
        <w:t>E-discovery is excluded from the litigation budget, contrary to § 4.1(c), which specifically requires e-discovery processing and hosting to be budgeted. The estimate checks arithmetically ($380,000 total; for example, 1,500 GB × $35 = $52,500 and 12 × $8,500 = $102,000), but: (i) CrossPoint charges both an $8,500/month project management flat fee and a $275/hour Senior Project Manager rate, which risks double billing; (ii) rates are "subject to annual review and adjustment" on notice to HB&amp;C only; (iii) hosting assumes 12 months, while the schedule runs through trial in March 2027 (about 17 months), so hosting will likely be understated; (iv) collections of 45 custodians and three productions are assumptions only. Monthly hosting should be covered by a blanket recurring-charge approval under § 5.2.</w:t>
      </w:r>
    </w:p>
    <w:p>
      <w:pPr>
        <w:pStyle w:val="ListBullet"/>
      </w:pPr>
      <w:r>
        <w:rPr>
          <w:b/>
        </w:rPr>
        <w:t xml:space="preserve">Pre-engagement disclosure. </w:t>
      </w:r>
      <w:r>
        <w:t>CrossPoint refers to "preliminary discussions" with HB&amp;C about Pinnacle's custodians and systems before any engagement or vendor approval. Confirm what Pinnacle information has been shared with CrossPoint.</w:t>
      </w:r>
    </w:p>
    <w:p>
      <w:pPr>
        <w:pStyle w:val="Heading2"/>
      </w:pPr>
      <w:r>
        <w:t>F. Budget and Cost Management</w:t>
      </w:r>
    </w:p>
    <w:p>
      <w:pPr>
        <w:pStyle w:val="ListBullet"/>
      </w:pPr>
      <w:r>
        <w:rPr>
          <w:b/>
        </w:rPr>
        <w:t xml:space="preserve">Structure (§ 4.1). </w:t>
      </w:r>
      <w:r>
        <w:t>The budget has four phases instead of the OCG phases. It omits separate phases for case assessment, ADR/mediation, e-discovery, and appeals or post-judgment work. For a $14.2M commercial case, the absence of any mediation or early settlement phase is notable.</w:t>
      </w:r>
    </w:p>
    <w:p>
      <w:pPr>
        <w:pStyle w:val="ListBullet"/>
      </w:pPr>
      <w:r>
        <w:rPr>
          <w:b/>
        </w:rPr>
        <w:t xml:space="preserve">Exclusions and "not a cap" (§§ 4.1, 4.3). </w:t>
      </w:r>
      <w:r>
        <w:t>The OCG requires all cost categories to be included and makes the firm bear unapproved overruns. The letter excludes e-discovery, the success fee and undefined "extraordinary" expenses, and states the budget "is not a cap." Exhibit B also adds "interlocutory appeals" to the exclusions, which § 8 of the letter does not list. The 10% variance notice and approval requirement (§ 4.2) is missing.</w:t>
      </w:r>
    </w:p>
    <w:p>
      <w:pPr>
        <w:pStyle w:val="ListBullet"/>
      </w:pPr>
      <w:r>
        <w:rPr>
          <w:b/>
        </w:rPr>
        <w:t xml:space="preserve">Presentation (§ 4.1). </w:t>
      </w:r>
      <w:r>
        <w:t>Total spend is about $2.78M including e-discovery, which is above the $500,000 threshold. HB&amp;C must present and defend the budget to the General Counsel in person or by video.</w:t>
      </w:r>
    </w:p>
    <w:p>
      <w:pPr>
        <w:pStyle w:val="ListBullet"/>
      </w:pPr>
      <w:r>
        <w:rPr>
          <w:b/>
        </w:rPr>
        <w:t xml:space="preserve">Unexplained amounts. </w:t>
      </w:r>
      <w:r>
        <w:t>See Section VI: roughly $685,000–$772,000 of the $2.4M is not supported by the staffing detail.</w:t>
      </w:r>
    </w:p>
    <w:p>
      <w:pPr>
        <w:pStyle w:val="Heading2"/>
      </w:pPr>
      <w:r>
        <w:t>G. Termination and Withdrawal</w:t>
      </w:r>
    </w:p>
    <w:p>
      <w:pPr>
        <w:pStyle w:val="ListBullet"/>
      </w:pPr>
      <w:r>
        <w:rPr>
          <w:b/>
        </w:rPr>
        <w:t xml:space="preserve">Termination fee (EL § 9). </w:t>
      </w:r>
      <w:r>
        <w:t>A 15% fee on all fees billed, payable within 30 days, is void under OCG § 8.1. The OCG allows no termination fee, penalty, wind-down surcharge or minimum fee, and Pinnacle's only obligation is to pay for services properly rendered. Calling it "not intended as a penalty" does not change that. Delete.</w:t>
      </w:r>
    </w:p>
    <w:p>
      <w:pPr>
        <w:pStyle w:val="ListBullet"/>
      </w:pPr>
      <w:r>
        <w:rPr>
          <w:b/>
        </w:rPr>
        <w:t xml:space="preserve">Mutual 30-day termination. </w:t>
      </w:r>
      <w:r>
        <w:t>Pinnacle may terminate at any time (§ 8.1). The firm must give 60 days' notice and obtain Pinnacle's consent (§ 8.2), with a transition plan and full staffing during the notice period. Revise.</w:t>
      </w:r>
    </w:p>
    <w:p>
      <w:pPr>
        <w:pStyle w:val="ListBullet"/>
      </w:pPr>
      <w:r>
        <w:rPr>
          <w:b/>
        </w:rPr>
        <w:t>File transfer on firm termination is "subject to Section 15"</w:t>
      </w:r>
      <w:r>
        <w:t>, meaning the lien. This conflicts with OCG §§ 7.2 and 8.1.</w:t>
      </w:r>
    </w:p>
    <w:p>
      <w:pPr>
        <w:pStyle w:val="Heading2"/>
      </w:pPr>
      <w:r>
        <w:t>H. Work Product, Confidentiality and Marketing</w:t>
      </w:r>
    </w:p>
    <w:p>
      <w:pPr>
        <w:pStyle w:val="ListBullet"/>
      </w:pPr>
      <w:r>
        <w:rPr>
          <w:b/>
        </w:rPr>
        <w:t xml:space="preserve">Ownership and lien (EL § 15). </w:t>
      </w:r>
      <w:r>
        <w:t>OCG § 7.1 provides that Pinnacle owns all work product absolutely, "not contingent upon payment." OCG § 7.2 prohibits any lien, and asserting one is a material breach. Replace § 15 with the OCG language and an express lien waiver.</w:t>
      </w:r>
    </w:p>
    <w:p>
      <w:pPr>
        <w:pStyle w:val="ListBullet"/>
      </w:pPr>
      <w:r>
        <w:rPr>
          <w:b/>
        </w:rPr>
        <w:t xml:space="preserve">Marketing (EL § 16). </w:t>
      </w:r>
      <w:r>
        <w:t>The standing consent to name Pinnacle in marketing materials, the website, client lists and pitches, continuing after the engagement "unless revoked," violates OCG § 10.1. That section requires the General Counsel's prior written consent for each use and bars even disclosing the existence of the engagement. The confidentiality clause is also "mutual" and does not include § 10.2 data-security obligations. Delete the marketing consent. Replace the confidentiality clause with OCG § X.</w:t>
      </w:r>
    </w:p>
    <w:p>
      <w:pPr>
        <w:pStyle w:val="Heading2"/>
      </w:pPr>
      <w:r>
        <w:t>I. Dispute Resolution and Governing Law</w:t>
      </w:r>
    </w:p>
    <w:p>
      <w:r>
        <w:rPr>
          <w:b w:val="0"/>
          <w:i w:val="0"/>
        </w:rPr>
        <w:t>Engagement letter § 17 requires binding AAA arbitration in Washington, D.C., including malpractice claims, with a jury waiver. Section 18 selects D.C. law and D.C. courts. OCG § XIII provides for negotiation, then optional mediation in Charlotte, then litigation in the state or federal courts in Mecklenburg County, with North Carolina law (§§ 13.2, 14.1). The engagement is Charlotte-centered: Pinnacle, the court, and most of the HB&amp;C team are all in Charlotte. Mandatory arbitration of malpractice claims also raises informed-consent issues (see ABA Formal Op. 02-425). Replace with the OCG provisions.</w:t>
      </w:r>
    </w:p>
    <w:p>
      <w:pPr>
        <w:pStyle w:val="Heading2"/>
      </w:pPr>
      <w:r>
        <w:t>J. Engagement Letter Form, Reporting and Process</w:t>
      </w:r>
    </w:p>
    <w:p>
      <w:pPr>
        <w:pStyle w:val="ListBullet"/>
      </w:pPr>
      <w:r>
        <w:rPr>
          <w:b/>
        </w:rPr>
        <w:t xml:space="preserve">Missing required elements (§ 2.1). </w:t>
      </w:r>
      <w:r>
        <w:t>Pinnacle matter number (a); express incorporation of the OCG and agreement to comply in full (h); a compliant conflicts clearance letter (f); and an insurance certification (g). The staffing plan lists years of experience but does not confirm rates are at or below the caps (§ 6.1).</w:t>
      </w:r>
    </w:p>
    <w:p>
      <w:pPr>
        <w:pStyle w:val="ListBullet"/>
      </w:pPr>
      <w:r>
        <w:rPr>
          <w:b/>
        </w:rPr>
        <w:t xml:space="preserve">Integration clause (EL § 19). </w:t>
      </w:r>
      <w:r>
        <w:t>This clause supersedes "all prior … agreements" and lists no OCG. It must be revised to state that the OCG are incorporated and control in any conflict (OCG §§ 1.1, 14.2).</w:t>
      </w:r>
    </w:p>
    <w:p>
      <w:pPr>
        <w:pStyle w:val="ListBullet"/>
      </w:pPr>
      <w:r>
        <w:rPr>
          <w:b/>
        </w:rPr>
        <w:t xml:space="preserve">Reporting (§ XI). </w:t>
      </w:r>
      <w:r>
        <w:t>Add monthly written status reports (due within 10 business days after month-end), 24-hour notice of significant developments, and Pinnacle's prior written approval of significant strategic decisions and expert retention. Also add the audit right (§ 12.1).</w:t>
      </w:r>
    </w:p>
    <w:p>
      <w:pPr>
        <w:pStyle w:val="ListBullet"/>
      </w:pPr>
      <w:r>
        <w:rPr>
          <w:b/>
        </w:rPr>
        <w:t xml:space="preserve">Work before engagement (§ 2.1). </w:t>
      </w:r>
      <w:r>
        <w:t>Ms. Morrow's email says the firm is "already doing preliminary research." Confirm that none of this time will be billed unless the letter is signed and the conflict is resolved. Any interim work on the Answer should be authorized by a separate short OCG-compliant letter.</w:t>
      </w:r>
    </w:p>
    <w:p>
      <w:pPr>
        <w:pStyle w:val="ListBullet"/>
      </w:pPr>
      <w:r>
        <w:rPr>
          <w:b/>
        </w:rPr>
        <w:t xml:space="preserve">Point of contact. </w:t>
      </w:r>
      <w:r>
        <w:t>Ms. Morrow's email says Mr. Alcott will be the "day-to-day billing contact." The letter says Ms. Morrow is the "primary point of contact for day-to-day case management." The staffing plan names Ms. Dasgupta as "day-to-day case manager." Clarify the roles. Mr. Ridley is Pinnacle's designated contact (§ 11.3).</w:t>
      </w:r>
    </w:p>
    <w:p>
      <w:pPr>
        <w:pStyle w:val="Heading1"/>
      </w:pPr>
      <w:r>
        <w:t>V. Financial Analysis</w:t>
      </w:r>
    </w:p>
    <w:p>
      <w:pPr>
        <w:pStyle w:val="Heading2"/>
      </w:pPr>
      <w:r>
        <w:t>Budget reconciliation (Staffing Plan vs. Exhibit B)</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color="auto" w:fill="1F3864"/>
          </w:tcPr>
          <w:p>
            <w:r/>
            <w:r>
              <w:rPr>
                <w:b/>
                <w:color w:val="FFFFFF"/>
                <w:sz w:val="19"/>
              </w:rPr>
              <w:t>Phase</w:t>
            </w:r>
          </w:p>
        </w:tc>
        <w:tc>
          <w:tcPr>
            <w:tcW w:type="dxa" w:w="1440"/>
            <w:shd w:val="clear" w:color="auto" w:fill="1F3864"/>
          </w:tcPr>
          <w:p>
            <w:r/>
            <w:r>
              <w:rPr>
                <w:b/>
                <w:color w:val="FFFFFF"/>
                <w:sz w:val="19"/>
              </w:rPr>
              <w:t>Budget Target</w:t>
            </w:r>
          </w:p>
        </w:tc>
        <w:tc>
          <w:tcPr>
            <w:tcW w:type="dxa" w:w="1872"/>
            <w:shd w:val="clear" w:color="auto" w:fill="1F3864"/>
          </w:tcPr>
          <w:p>
            <w:r/>
            <w:r>
              <w:rPr>
                <w:b/>
                <w:color w:val="FFFFFF"/>
                <w:sz w:val="19"/>
              </w:rPr>
              <w:t>Core-Team Fees</w:t>
            </w:r>
          </w:p>
        </w:tc>
        <w:tc>
          <w:tcPr>
            <w:tcW w:type="dxa" w:w="2304"/>
            <w:shd w:val="clear" w:color="auto" w:fill="1F3864"/>
          </w:tcPr>
          <w:p>
            <w:r/>
            <w:r>
              <w:rPr>
                <w:b/>
                <w:color w:val="FFFFFF"/>
                <w:sz w:val="19"/>
              </w:rPr>
              <w:t>Identified Other</w:t>
            </w:r>
          </w:p>
        </w:tc>
        <w:tc>
          <w:tcPr>
            <w:tcW w:type="dxa" w:w="1728"/>
            <w:shd w:val="clear" w:color="auto" w:fill="1F3864"/>
          </w:tcPr>
          <w:p>
            <w:r/>
            <w:r>
              <w:rPr>
                <w:b/>
                <w:color w:val="FFFFFF"/>
                <w:sz w:val="19"/>
              </w:rPr>
              <w:t>Unexplained</w:t>
            </w:r>
          </w:p>
        </w:tc>
      </w:tr>
      <w:tr>
        <w:tc>
          <w:tcPr>
            <w:tcW w:type="dxa" w:w="2016"/>
          </w:tcPr>
          <w:p>
            <w:r/>
            <w:r>
              <w:rPr>
                <w:sz w:val="19"/>
              </w:rPr>
              <w:t>1 — Motions &amp; Discovery</w:t>
            </w:r>
          </w:p>
        </w:tc>
        <w:tc>
          <w:tcPr>
            <w:tcW w:type="dxa" w:w="1440"/>
          </w:tcPr>
          <w:p>
            <w:r/>
            <w:r>
              <w:rPr>
                <w:sz w:val="19"/>
              </w:rPr>
              <w:t>$1,050,000</w:t>
            </w:r>
          </w:p>
        </w:tc>
        <w:tc>
          <w:tcPr>
            <w:tcW w:type="dxa" w:w="1872"/>
          </w:tcPr>
          <w:p>
            <w:r/>
            <w:r>
              <w:rPr>
                <w:sz w:val="19"/>
              </w:rPr>
              <w:t>$532,000 (940 hrs)</w:t>
            </w:r>
          </w:p>
        </w:tc>
        <w:tc>
          <w:tcPr>
            <w:tcW w:type="dxa" w:w="2304"/>
          </w:tcPr>
          <w:p>
            <w:r/>
            <w:r>
              <w:rPr>
                <w:sz w:val="19"/>
              </w:rPr>
              <w:t>Contract review $262,500–$350,000</w:t>
            </w:r>
          </w:p>
        </w:tc>
        <w:tc>
          <w:tcPr>
            <w:tcW w:type="dxa" w:w="1728"/>
          </w:tcPr>
          <w:p>
            <w:r/>
            <w:r>
              <w:rPr>
                <w:sz w:val="19"/>
              </w:rPr>
              <w:t>$168,000–$255,500</w:t>
            </w:r>
          </w:p>
        </w:tc>
      </w:tr>
      <w:tr>
        <w:tc>
          <w:tcPr>
            <w:tcW w:type="dxa" w:w="2016"/>
          </w:tcPr>
          <w:p>
            <w:r/>
            <w:r>
              <w:rPr>
                <w:sz w:val="19"/>
              </w:rPr>
              <w:t>2 — Experts</w:t>
            </w:r>
          </w:p>
        </w:tc>
        <w:tc>
          <w:tcPr>
            <w:tcW w:type="dxa" w:w="1440"/>
          </w:tcPr>
          <w:p>
            <w:r/>
            <w:r>
              <w:rPr>
                <w:sz w:val="19"/>
              </w:rPr>
              <w:t>$420,000</w:t>
            </w:r>
          </w:p>
        </w:tc>
        <w:tc>
          <w:tcPr>
            <w:tcW w:type="dxa" w:w="1872"/>
          </w:tcPr>
          <w:p>
            <w:r/>
            <w:r>
              <w:rPr>
                <w:sz w:val="19"/>
              </w:rPr>
              <w:t>$196,000 (310 hrs)</w:t>
            </w:r>
          </w:p>
        </w:tc>
        <w:tc>
          <w:tcPr>
            <w:tcW w:type="dxa" w:w="2304"/>
          </w:tcPr>
          <w:p>
            <w:r/>
            <w:r>
              <w:rPr>
                <w:sz w:val="19"/>
              </w:rPr>
              <w:t>Expert fees $224,000</w:t>
            </w:r>
          </w:p>
        </w:tc>
        <w:tc>
          <w:tcPr>
            <w:tcW w:type="dxa" w:w="1728"/>
          </w:tcPr>
          <w:p>
            <w:r/>
            <w:r>
              <w:rPr>
                <w:sz w:val="19"/>
              </w:rPr>
              <w:t>$0</w:t>
            </w:r>
          </w:p>
        </w:tc>
      </w:tr>
      <w:tr>
        <w:tc>
          <w:tcPr>
            <w:tcW w:type="dxa" w:w="2016"/>
          </w:tcPr>
          <w:p>
            <w:r/>
            <w:r>
              <w:rPr>
                <w:sz w:val="19"/>
              </w:rPr>
              <w:t>3 — Trial Prep</w:t>
            </w:r>
          </w:p>
        </w:tc>
        <w:tc>
          <w:tcPr>
            <w:tcW w:type="dxa" w:w="1440"/>
          </w:tcPr>
          <w:p>
            <w:r/>
            <w:r>
              <w:rPr>
                <w:sz w:val="19"/>
              </w:rPr>
              <w:t>$530,000</w:t>
            </w:r>
          </w:p>
        </w:tc>
        <w:tc>
          <w:tcPr>
            <w:tcW w:type="dxa" w:w="1872"/>
          </w:tcPr>
          <w:p>
            <w:r/>
            <w:r>
              <w:rPr>
                <w:sz w:val="19"/>
              </w:rPr>
              <w:t>$264,250 (410 hrs)</w:t>
            </w:r>
          </w:p>
        </w:tc>
        <w:tc>
          <w:tcPr>
            <w:tcW w:type="dxa" w:w="2304"/>
          </w:tcPr>
          <w:p>
            <w:r/>
            <w:r>
              <w:rPr>
                <w:sz w:val="19"/>
              </w:rPr>
              <w:t>"pre-trial costs, courtroom technology, contingencies"</w:t>
            </w:r>
          </w:p>
        </w:tc>
        <w:tc>
          <w:tcPr>
            <w:tcW w:type="dxa" w:w="1728"/>
          </w:tcPr>
          <w:p>
            <w:r/>
            <w:r>
              <w:rPr>
                <w:sz w:val="19"/>
              </w:rPr>
              <w:t>$265,750</w:t>
            </w:r>
          </w:p>
        </w:tc>
      </w:tr>
      <w:tr>
        <w:tc>
          <w:tcPr>
            <w:tcW w:type="dxa" w:w="2016"/>
          </w:tcPr>
          <w:p>
            <w:r/>
            <w:r>
              <w:rPr>
                <w:sz w:val="19"/>
              </w:rPr>
              <w:t>4 — Trial</w:t>
            </w:r>
          </w:p>
        </w:tc>
        <w:tc>
          <w:tcPr>
            <w:tcW w:type="dxa" w:w="1440"/>
          </w:tcPr>
          <w:p>
            <w:r/>
            <w:r>
              <w:rPr>
                <w:sz w:val="19"/>
              </w:rPr>
              <w:t>$400,000</w:t>
            </w:r>
          </w:p>
        </w:tc>
        <w:tc>
          <w:tcPr>
            <w:tcW w:type="dxa" w:w="1872"/>
          </w:tcPr>
          <w:p>
            <w:r/>
            <w:r>
              <w:rPr>
                <w:sz w:val="19"/>
              </w:rPr>
              <w:t>$149,250 (220 hrs)</w:t>
            </w:r>
          </w:p>
        </w:tc>
        <w:tc>
          <w:tcPr>
            <w:tcW w:type="dxa" w:w="2304"/>
          </w:tcPr>
          <w:p>
            <w:r/>
            <w:r>
              <w:rPr>
                <w:sz w:val="19"/>
              </w:rPr>
              <w:t>"trial logistics, … daily transcripts"</w:t>
            </w:r>
          </w:p>
        </w:tc>
        <w:tc>
          <w:tcPr>
            <w:tcW w:type="dxa" w:w="1728"/>
          </w:tcPr>
          <w:p>
            <w:r/>
            <w:r>
              <w:rPr>
                <w:sz w:val="19"/>
              </w:rPr>
              <w:t>$250,750</w:t>
            </w:r>
          </w:p>
        </w:tc>
      </w:tr>
      <w:tr>
        <w:tc>
          <w:tcPr>
            <w:tcW w:type="dxa" w:w="2016"/>
          </w:tcPr>
          <w:p>
            <w:r/>
            <w:r>
              <w:rPr>
                <w:sz w:val="19"/>
              </w:rPr>
              <w:t>Total</w:t>
            </w:r>
          </w:p>
        </w:tc>
        <w:tc>
          <w:tcPr>
            <w:tcW w:type="dxa" w:w="1440"/>
          </w:tcPr>
          <w:p>
            <w:r/>
            <w:r>
              <w:rPr>
                <w:sz w:val="19"/>
              </w:rPr>
              <w:t>$2,400,000</w:t>
            </w:r>
          </w:p>
        </w:tc>
        <w:tc>
          <w:tcPr>
            <w:tcW w:type="dxa" w:w="1872"/>
          </w:tcPr>
          <w:p>
            <w:r/>
            <w:r>
              <w:rPr>
                <w:sz w:val="19"/>
              </w:rPr>
              <w:t>$1,141,500 (1,880 hrs)</w:t>
            </w:r>
          </w:p>
        </w:tc>
        <w:tc>
          <w:tcPr>
            <w:tcW w:type="dxa" w:w="2304"/>
          </w:tcPr>
          <w:p>
            <w:r/>
            <w:r>
              <w:rPr>
                <w:sz w:val="19"/>
              </w:rPr>
              <w:t>$486,500–$574,000</w:t>
            </w:r>
          </w:p>
        </w:tc>
        <w:tc>
          <w:tcPr>
            <w:tcW w:type="dxa" w:w="1728"/>
          </w:tcPr>
          <w:p>
            <w:r/>
            <w:r>
              <w:rPr>
                <w:sz w:val="19"/>
              </w:rPr>
              <w:t>$684,500–$772,000</w:t>
            </w:r>
          </w:p>
        </w:tc>
      </w:tr>
    </w:tbl>
    <w:p/>
    <w:p>
      <w:r>
        <w:rPr>
          <w:b w:val="0"/>
          <w:i w:val="0"/>
        </w:rPr>
        <w:t>Observations: (i) The staffing plan's arithmetic is internally consistent: each phase and the summary totals check. (ii) Core professional fees make up less than half of the "fee" budget. About $685,000–$772,000 is described only as general costs or "contingencies," with no breakdown, which appears to be built-in padding. (iii) Exhibit B labels every line "Estimated Fees," yet Phase 2 includes $224,000 of expert fees and other phases include disbursements. Fees and costs must be shown separately. (iv) All figures use 2025 rates above the caps. (v) Priced at the OCG caps, with contract review at $225/hour, the identified fee components would total about $1.17M–$1.22M ($996,500 core plus $168,750–$225,000 contract review), compared with $1.40M–$1.49M as proposed. We should require a rebuilt, fully itemized budget.</w:t>
      </w:r>
    </w:p>
    <w:p>
      <w:pPr>
        <w:pStyle w:val="Heading2"/>
      </w:pPr>
      <w:r>
        <w:t>Success fee illustration (as proposed)</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1F3864"/>
          </w:tcPr>
          <w:p>
            <w:r/>
            <w:r>
              <w:rPr>
                <w:b/>
                <w:color w:val="FFFFFF"/>
                <w:sz w:val="19"/>
              </w:rPr>
              <w:t>Resolution amount paid by Pinnacle</w:t>
            </w:r>
          </w:p>
        </w:tc>
        <w:tc>
          <w:tcPr>
            <w:tcW w:type="dxa" w:w="1872"/>
            <w:shd w:val="clear" w:color="auto" w:fill="1F3864"/>
          </w:tcPr>
          <w:p>
            <w:r/>
            <w:r>
              <w:rPr>
                <w:b/>
                <w:color w:val="FFFFFF"/>
                <w:sz w:val="19"/>
              </w:rPr>
              <w:t>Success fee</w:t>
            </w:r>
          </w:p>
        </w:tc>
        <w:tc>
          <w:tcPr>
            <w:tcW w:type="dxa" w:w="4032"/>
            <w:shd w:val="clear" w:color="auto" w:fill="1F3864"/>
          </w:tcPr>
          <w:p>
            <w:r/>
            <w:r>
              <w:rPr>
                <w:b/>
                <w:color w:val="FFFFFF"/>
                <w:sz w:val="19"/>
              </w:rPr>
              <w:t>Comment</w:t>
            </w:r>
          </w:p>
        </w:tc>
      </w:tr>
      <w:tr>
        <w:tc>
          <w:tcPr>
            <w:tcW w:type="dxa" w:w="3456"/>
          </w:tcPr>
          <w:p>
            <w:r/>
            <w:r>
              <w:rPr>
                <w:sz w:val="19"/>
              </w:rPr>
              <w:t>$0 (dismissal / defense verdict)</w:t>
            </w:r>
          </w:p>
        </w:tc>
        <w:tc>
          <w:tcPr>
            <w:tcW w:type="dxa" w:w="1872"/>
          </w:tcPr>
          <w:p>
            <w:r/>
            <w:r>
              <w:rPr>
                <w:sz w:val="19"/>
              </w:rPr>
              <w:t>$1,420,000</w:t>
            </w:r>
          </w:p>
        </w:tc>
        <w:tc>
          <w:tcPr>
            <w:tcW w:type="dxa" w:w="4032"/>
          </w:tcPr>
          <w:p>
            <w:r/>
            <w:r>
              <w:rPr>
                <w:sz w:val="19"/>
              </w:rPr>
              <w:t>Maximum; no cap stated</w:t>
            </w:r>
          </w:p>
        </w:tc>
      </w:tr>
      <w:tr>
        <w:tc>
          <w:tcPr>
            <w:tcW w:type="dxa" w:w="3456"/>
          </w:tcPr>
          <w:p>
            <w:r/>
            <w:r>
              <w:rPr>
                <w:sz w:val="19"/>
              </w:rPr>
              <w:t>$2,000,000</w:t>
            </w:r>
          </w:p>
        </w:tc>
        <w:tc>
          <w:tcPr>
            <w:tcW w:type="dxa" w:w="1872"/>
          </w:tcPr>
          <w:p>
            <w:r/>
            <w:r>
              <w:rPr>
                <w:sz w:val="19"/>
              </w:rPr>
              <w:t>$1,220,000</w:t>
            </w:r>
          </w:p>
        </w:tc>
        <w:tc>
          <w:tcPr>
            <w:tcW w:type="dxa" w:w="4032"/>
          </w:tcPr>
          <w:p>
            <w:r/>
            <w:r>
              <w:rPr>
                <w:sz w:val="19"/>
              </w:rPr>
            </w:r>
          </w:p>
        </w:tc>
      </w:tr>
      <w:tr>
        <w:tc>
          <w:tcPr>
            <w:tcW w:type="dxa" w:w="3456"/>
          </w:tcPr>
          <w:p>
            <w:r/>
            <w:r>
              <w:rPr>
                <w:sz w:val="19"/>
              </w:rPr>
              <w:t>$4,000,000</w:t>
            </w:r>
          </w:p>
        </w:tc>
        <w:tc>
          <w:tcPr>
            <w:tcW w:type="dxa" w:w="1872"/>
          </w:tcPr>
          <w:p>
            <w:r/>
            <w:r>
              <w:rPr>
                <w:sz w:val="19"/>
              </w:rPr>
              <w:t>$1,020,000</w:t>
            </w:r>
          </w:p>
        </w:tc>
        <w:tc>
          <w:tcPr>
            <w:tcW w:type="dxa" w:w="4032"/>
          </w:tcPr>
          <w:p>
            <w:r/>
            <w:r>
              <w:rPr>
                <w:sz w:val="19"/>
              </w:rPr>
              <w:t>Firm's illustration</w:t>
            </w:r>
          </w:p>
        </w:tc>
      </w:tr>
      <w:tr>
        <w:tc>
          <w:tcPr>
            <w:tcW w:type="dxa" w:w="3456"/>
          </w:tcPr>
          <w:p>
            <w:r/>
            <w:r>
              <w:rPr>
                <w:sz w:val="19"/>
              </w:rPr>
              <w:t>$6,990,000</w:t>
            </w:r>
          </w:p>
        </w:tc>
        <w:tc>
          <w:tcPr>
            <w:tcW w:type="dxa" w:w="1872"/>
          </w:tcPr>
          <w:p>
            <w:r/>
            <w:r>
              <w:rPr>
                <w:sz w:val="19"/>
              </w:rPr>
              <w:t>$721,000</w:t>
            </w:r>
          </w:p>
        </w:tc>
        <w:tc>
          <w:tcPr>
            <w:tcW w:type="dxa" w:w="4032"/>
          </w:tcPr>
          <w:p>
            <w:r/>
            <w:r>
              <w:rPr>
                <w:sz w:val="19"/>
              </w:rPr>
              <w:t>Just below the threshold</w:t>
            </w:r>
          </w:p>
        </w:tc>
      </w:tr>
      <w:tr>
        <w:tc>
          <w:tcPr>
            <w:tcW w:type="dxa" w:w="3456"/>
          </w:tcPr>
          <w:p>
            <w:r/>
            <w:r>
              <w:rPr>
                <w:sz w:val="19"/>
              </w:rPr>
              <w:t>$7,000,000 or more</w:t>
            </w:r>
          </w:p>
        </w:tc>
        <w:tc>
          <w:tcPr>
            <w:tcW w:type="dxa" w:w="1872"/>
          </w:tcPr>
          <w:p>
            <w:r/>
            <w:r>
              <w:rPr>
                <w:sz w:val="19"/>
              </w:rPr>
              <w:t>$0</w:t>
            </w:r>
          </w:p>
        </w:tc>
        <w:tc>
          <w:tcPr>
            <w:tcW w:type="dxa" w:w="4032"/>
          </w:tcPr>
          <w:p>
            <w:r/>
            <w:r>
              <w:rPr>
                <w:sz w:val="19"/>
              </w:rPr>
              <w:t>Cliff: a $10K change in outcome swings the fee by $721K</w:t>
            </w:r>
          </w:p>
        </w:tc>
      </w:tr>
    </w:tbl>
    <w:p/>
    <w:p>
      <w:pPr>
        <w:pStyle w:val="Heading1"/>
      </w:pPr>
      <w:r>
        <w:t>VI. Internal Inconsistencies and Factual Discrepancies</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1F3864"/>
          </w:tcPr>
          <w:p>
            <w:r/>
            <w:r>
              <w:rPr>
                <w:b/>
                <w:color w:val="FFFFFF"/>
                <w:sz w:val="19"/>
              </w:rPr>
              <w:t>Item</w:t>
            </w:r>
          </w:p>
        </w:tc>
        <w:tc>
          <w:tcPr>
            <w:tcW w:type="dxa" w:w="2736"/>
            <w:shd w:val="clear" w:color="auto" w:fill="1F3864"/>
          </w:tcPr>
          <w:p>
            <w:r/>
            <w:r>
              <w:rPr>
                <w:b/>
                <w:color w:val="FFFFFF"/>
                <w:sz w:val="19"/>
              </w:rPr>
              <w:t>Source A</w:t>
            </w:r>
          </w:p>
        </w:tc>
        <w:tc>
          <w:tcPr>
            <w:tcW w:type="dxa" w:w="2736"/>
            <w:shd w:val="clear" w:color="auto" w:fill="1F3864"/>
          </w:tcPr>
          <w:p>
            <w:r/>
            <w:r>
              <w:rPr>
                <w:b/>
                <w:color w:val="FFFFFF"/>
                <w:sz w:val="19"/>
              </w:rPr>
              <w:t>Source B</w:t>
            </w:r>
          </w:p>
        </w:tc>
        <w:tc>
          <w:tcPr>
            <w:tcW w:type="dxa" w:w="2160"/>
            <w:shd w:val="clear" w:color="auto" w:fill="1F3864"/>
          </w:tcPr>
          <w:p>
            <w:r/>
            <w:r>
              <w:rPr>
                <w:b/>
                <w:color w:val="FFFFFF"/>
                <w:sz w:val="19"/>
              </w:rPr>
              <w:t>Action</w:t>
            </w:r>
          </w:p>
        </w:tc>
      </w:tr>
      <w:tr>
        <w:tc>
          <w:tcPr>
            <w:tcW w:type="dxa" w:w="1728"/>
          </w:tcPr>
          <w:p>
            <w:r/>
            <w:r>
              <w:rPr>
                <w:sz w:val="19"/>
              </w:rPr>
              <w:t>Presiding judge</w:t>
            </w:r>
          </w:p>
        </w:tc>
        <w:tc>
          <w:tcPr>
            <w:tcW w:type="dxa" w:w="2736"/>
          </w:tcPr>
          <w:p>
            <w:r/>
            <w:r>
              <w:rPr>
                <w:sz w:val="19"/>
              </w:rPr>
              <w:t>Staffing Plan: Hon. Malcolm R. Drummond</w:t>
            </w:r>
          </w:p>
        </w:tc>
        <w:tc>
          <w:tcPr>
            <w:tcW w:type="dxa" w:w="2736"/>
          </w:tcPr>
          <w:p>
            <w:r/>
            <w:r>
              <w:rPr>
                <w:sz w:val="19"/>
              </w:rPr>
              <w:t>CrossPoint: Hon. Judge M.R. Desmond</w:t>
            </w:r>
          </w:p>
        </w:tc>
        <w:tc>
          <w:tcPr>
            <w:tcW w:type="dxa" w:w="2160"/>
          </w:tcPr>
          <w:p>
            <w:r/>
            <w:r>
              <w:rPr>
                <w:sz w:val="19"/>
              </w:rPr>
              <w:t>Confirm on docket; correct vendor documents</w:t>
            </w:r>
          </w:p>
        </w:tc>
      </w:tr>
      <w:tr>
        <w:tc>
          <w:tcPr>
            <w:tcW w:type="dxa" w:w="1728"/>
          </w:tcPr>
          <w:p>
            <w:r/>
            <w:r>
              <w:rPr>
                <w:sz w:val="19"/>
              </w:rPr>
              <w:t>HB&amp;C Charlotte office</w:t>
            </w:r>
          </w:p>
        </w:tc>
        <w:tc>
          <w:tcPr>
            <w:tcW w:type="dxa" w:w="2736"/>
          </w:tcPr>
          <w:p>
            <w:r/>
            <w:r>
              <w:rPr>
                <w:sz w:val="19"/>
              </w:rPr>
              <w:t>Letterhead / Staffing Plan: 301 South Tryon St., Suite 2400, 28202</w:t>
            </w:r>
          </w:p>
        </w:tc>
        <w:tc>
          <w:tcPr>
            <w:tcW w:type="dxa" w:w="2736"/>
          </w:tcPr>
          <w:p>
            <w:r/>
            <w:r>
              <w:rPr>
                <w:sz w:val="19"/>
              </w:rPr>
              <w:t>CrossPoint: 1200 West Morehead St., Suite 2400, 28208</w:t>
            </w:r>
          </w:p>
        </w:tc>
        <w:tc>
          <w:tcPr>
            <w:tcW w:type="dxa" w:w="2160"/>
          </w:tcPr>
          <w:p>
            <w:r/>
            <w:r>
              <w:rPr>
                <w:sz w:val="19"/>
              </w:rPr>
              <w:t>Confirm; relevant to vendor contract and notices</w:t>
            </w:r>
          </w:p>
        </w:tc>
      </w:tr>
      <w:tr>
        <w:tc>
          <w:tcPr>
            <w:tcW w:type="dxa" w:w="1728"/>
          </w:tcPr>
          <w:p>
            <w:r/>
            <w:r>
              <w:rPr>
                <w:sz w:val="19"/>
              </w:rPr>
              <w:t>Ms. Morrow's office / phone</w:t>
            </w:r>
          </w:p>
        </w:tc>
        <w:tc>
          <w:tcPr>
            <w:tcW w:type="dxa" w:w="2736"/>
          </w:tcPr>
          <w:p>
            <w:r/>
            <w:r>
              <w:rPr>
                <w:sz w:val="19"/>
              </w:rPr>
              <w:t>Staffing Plan: Charlotte office; EL: (202) 555-4118</w:t>
            </w:r>
          </w:p>
        </w:tc>
        <w:tc>
          <w:tcPr>
            <w:tcW w:type="dxa" w:w="2736"/>
          </w:tcPr>
          <w:p>
            <w:r/>
            <w:r>
              <w:rPr>
                <w:sz w:val="19"/>
              </w:rPr>
              <w:t>Oct. 3 email signature: Washington, D.C.; (202) 555-0143</w:t>
            </w:r>
          </w:p>
        </w:tc>
        <w:tc>
          <w:tcPr>
            <w:tcW w:type="dxa" w:w="2160"/>
          </w:tcPr>
          <w:p>
            <w:r/>
            <w:r>
              <w:rPr>
                <w:sz w:val="19"/>
              </w:rPr>
              <w:t>Confirm lead counsel's office (local presence; travel billing)</w:t>
            </w:r>
          </w:p>
        </w:tc>
      </w:tr>
      <w:tr>
        <w:tc>
          <w:tcPr>
            <w:tcW w:type="dxa" w:w="1728"/>
          </w:tcPr>
          <w:p>
            <w:r/>
            <w:r>
              <w:rPr>
                <w:sz w:val="19"/>
              </w:rPr>
              <w:t>Fact depositions</w:t>
            </w:r>
          </w:p>
        </w:tc>
        <w:tc>
          <w:tcPr>
            <w:tcW w:type="dxa" w:w="2736"/>
          </w:tcPr>
          <w:p>
            <w:r/>
            <w:r>
              <w:rPr>
                <w:sz w:val="19"/>
              </w:rPr>
              <w:t>Exhibit B: 15–20 depositions</w:t>
            </w:r>
          </w:p>
        </w:tc>
        <w:tc>
          <w:tcPr>
            <w:tcW w:type="dxa" w:w="2736"/>
          </w:tcPr>
          <w:p>
            <w:r/>
            <w:r>
              <w:rPr>
                <w:sz w:val="19"/>
              </w:rPr>
              <w:t>Staffing Plan: 12–15 depositions</w:t>
            </w:r>
          </w:p>
        </w:tc>
        <w:tc>
          <w:tcPr>
            <w:tcW w:type="dxa" w:w="2160"/>
          </w:tcPr>
          <w:p>
            <w:r/>
            <w:r>
              <w:rPr>
                <w:sz w:val="19"/>
              </w:rPr>
              <w:t>Reconcile; affects Phase 1 budget</w:t>
            </w:r>
          </w:p>
        </w:tc>
      </w:tr>
      <w:tr>
        <w:tc>
          <w:tcPr>
            <w:tcW w:type="dxa" w:w="1728"/>
          </w:tcPr>
          <w:p>
            <w:r/>
            <w:r>
              <w:rPr>
                <w:sz w:val="19"/>
              </w:rPr>
              <w:t>Conflicts status</w:t>
            </w:r>
          </w:p>
        </w:tc>
        <w:tc>
          <w:tcPr>
            <w:tcW w:type="dxa" w:w="2736"/>
          </w:tcPr>
          <w:p>
            <w:r/>
            <w:r>
              <w:rPr>
                <w:sz w:val="19"/>
              </w:rPr>
              <w:t>Morrow email (Oct. 3): MedBridge holds 8% of NovaTech</w:t>
            </w:r>
          </w:p>
        </w:tc>
        <w:tc>
          <w:tcPr>
            <w:tcW w:type="dxa" w:w="2736"/>
          </w:tcPr>
          <w:p>
            <w:r/>
            <w:r>
              <w:rPr>
                <w:sz w:val="19"/>
              </w:rPr>
              <w:t>Alcott email (Oct. 4) and EL § 11: "no issues" / "no current conflicts"</w:t>
            </w:r>
          </w:p>
        </w:tc>
        <w:tc>
          <w:tcPr>
            <w:tcW w:type="dxa" w:w="2160"/>
          </w:tcPr>
          <w:p>
            <w:r/>
            <w:r>
              <w:rPr>
                <w:sz w:val="19"/>
              </w:rPr>
              <w:t>Formal disclosure required</w:t>
            </w:r>
          </w:p>
        </w:tc>
      </w:tr>
      <w:tr>
        <w:tc>
          <w:tcPr>
            <w:tcW w:type="dxa" w:w="1728"/>
          </w:tcPr>
          <w:p>
            <w:r/>
            <w:r>
              <w:rPr>
                <w:sz w:val="19"/>
              </w:rPr>
              <w:t>Budget exclusions</w:t>
            </w:r>
          </w:p>
        </w:tc>
        <w:tc>
          <w:tcPr>
            <w:tcW w:type="dxa" w:w="2736"/>
          </w:tcPr>
          <w:p>
            <w:r/>
            <w:r>
              <w:rPr>
                <w:sz w:val="19"/>
              </w:rPr>
              <w:t>EL § 8: e-discovery, retainer, success fee, extraordinary expenses</w:t>
            </w:r>
          </w:p>
        </w:tc>
        <w:tc>
          <w:tcPr>
            <w:tcW w:type="dxa" w:w="2736"/>
          </w:tcPr>
          <w:p>
            <w:r/>
            <w:r>
              <w:rPr>
                <w:sz w:val="19"/>
              </w:rPr>
              <w:t>Exhibit B adds "interlocutory appeals"</w:t>
            </w:r>
          </w:p>
        </w:tc>
        <w:tc>
          <w:tcPr>
            <w:tcW w:type="dxa" w:w="2160"/>
          </w:tcPr>
          <w:p>
            <w:r/>
            <w:r>
              <w:rPr>
                <w:sz w:val="19"/>
              </w:rPr>
              <w:t>Harmonize; all costs must be budgeted</w:t>
            </w:r>
          </w:p>
        </w:tc>
      </w:tr>
      <w:tr>
        <w:tc>
          <w:tcPr>
            <w:tcW w:type="dxa" w:w="1728"/>
          </w:tcPr>
          <w:p>
            <w:r/>
            <w:r>
              <w:rPr>
                <w:sz w:val="19"/>
              </w:rPr>
              <w:t>Retainer vs. budget</w:t>
            </w:r>
          </w:p>
        </w:tc>
        <w:tc>
          <w:tcPr>
            <w:tcW w:type="dxa" w:w="2736"/>
          </w:tcPr>
          <w:p>
            <w:r/>
            <w:r>
              <w:rPr>
                <w:sz w:val="19"/>
              </w:rPr>
              <w:t>EL § 4: credited against final invoices</w:t>
            </w:r>
          </w:p>
        </w:tc>
        <w:tc>
          <w:tcPr>
            <w:tcW w:type="dxa" w:w="2736"/>
          </w:tcPr>
          <w:p>
            <w:r/>
            <w:r>
              <w:rPr>
                <w:sz w:val="19"/>
              </w:rPr>
              <w:t>EL § 8 / Ex. B: retainer "not included" in budget</w:t>
            </w:r>
          </w:p>
        </w:tc>
        <w:tc>
          <w:tcPr>
            <w:tcW w:type="dxa" w:w="2160"/>
          </w:tcPr>
          <w:p>
            <w:r/>
            <w:r>
              <w:rPr>
                <w:sz w:val="19"/>
              </w:rPr>
              <w:t>Clarify (moot if retainer deleted)</w:t>
            </w:r>
          </w:p>
        </w:tc>
      </w:tr>
      <w:tr>
        <w:tc>
          <w:tcPr>
            <w:tcW w:type="dxa" w:w="1728"/>
          </w:tcPr>
          <w:p>
            <w:r/>
            <w:r>
              <w:rPr>
                <w:sz w:val="19"/>
              </w:rPr>
              <w:t>Day-to-day contact</w:t>
            </w:r>
          </w:p>
        </w:tc>
        <w:tc>
          <w:tcPr>
            <w:tcW w:type="dxa" w:w="2736"/>
          </w:tcPr>
          <w:p>
            <w:r/>
            <w:r>
              <w:rPr>
                <w:sz w:val="19"/>
              </w:rPr>
              <w:t>EL: Morrow</w:t>
            </w:r>
          </w:p>
        </w:tc>
        <w:tc>
          <w:tcPr>
            <w:tcW w:type="dxa" w:w="2736"/>
          </w:tcPr>
          <w:p>
            <w:r/>
            <w:r>
              <w:rPr>
                <w:sz w:val="19"/>
              </w:rPr>
              <w:t>Staffing Plan: Dasgupta (case manager); email: Alcott (billing)</w:t>
            </w:r>
          </w:p>
        </w:tc>
        <w:tc>
          <w:tcPr>
            <w:tcW w:type="dxa" w:w="2160"/>
          </w:tcPr>
          <w:p>
            <w:r/>
            <w:r>
              <w:rPr>
                <w:sz w:val="19"/>
              </w:rPr>
              <w:t>Define roles</w:t>
            </w:r>
          </w:p>
        </w:tc>
      </w:tr>
      <w:tr>
        <w:tc>
          <w:tcPr>
            <w:tcW w:type="dxa" w:w="1728"/>
          </w:tcPr>
          <w:p>
            <w:r/>
            <w:r>
              <w:rPr>
                <w:sz w:val="19"/>
              </w:rPr>
              <w:t>E-discovery custodians</w:t>
            </w:r>
          </w:p>
        </w:tc>
        <w:tc>
          <w:tcPr>
            <w:tcW w:type="dxa" w:w="2736"/>
          </w:tcPr>
          <w:p>
            <w:r/>
            <w:r>
              <w:rPr>
                <w:sz w:val="19"/>
              </w:rPr>
              <w:t>CrossPoint: 35–50 custodians</w:t>
            </w:r>
          </w:p>
        </w:tc>
        <w:tc>
          <w:tcPr>
            <w:tcW w:type="dxa" w:w="2736"/>
          </w:tcPr>
          <w:p>
            <w:r/>
            <w:r>
              <w:rPr>
                <w:sz w:val="19"/>
              </w:rPr>
              <w:t>CrossPoint estimate: 45 custodians</w:t>
            </w:r>
          </w:p>
        </w:tc>
        <w:tc>
          <w:tcPr>
            <w:tcW w:type="dxa" w:w="2160"/>
          </w:tcPr>
          <w:p>
            <w:r/>
            <w:r>
              <w:rPr>
                <w:sz w:val="19"/>
              </w:rPr>
              <w:t>Refine after data mapping</w:t>
            </w:r>
          </w:p>
        </w:tc>
      </w:tr>
      <w:tr>
        <w:tc>
          <w:tcPr>
            <w:tcW w:type="dxa" w:w="1728"/>
          </w:tcPr>
          <w:p>
            <w:r/>
            <w:r>
              <w:rPr>
                <w:sz w:val="19"/>
              </w:rPr>
              <w:t>Discovery timeline</w:t>
            </w:r>
          </w:p>
        </w:tc>
        <w:tc>
          <w:tcPr>
            <w:tcW w:type="dxa" w:w="2736"/>
          </w:tcPr>
          <w:p>
            <w:r/>
            <w:r>
              <w:rPr>
                <w:sz w:val="19"/>
              </w:rPr>
              <w:t>Staffing Plan: Phase 1 runs to Sept. 2026; trial Mar. 2027</w:t>
            </w:r>
          </w:p>
        </w:tc>
        <w:tc>
          <w:tcPr>
            <w:tcW w:type="dxa" w:w="2736"/>
          </w:tcPr>
          <w:p>
            <w:r/>
            <w:r>
              <w:rPr>
                <w:sz w:val="19"/>
              </w:rPr>
              <w:t>CrossPoint: hosting priced for 12 months</w:t>
            </w:r>
          </w:p>
        </w:tc>
        <w:tc>
          <w:tcPr>
            <w:tcW w:type="dxa" w:w="2160"/>
          </w:tcPr>
          <w:p>
            <w:r/>
            <w:r>
              <w:rPr>
                <w:sz w:val="19"/>
              </w:rPr>
              <w:t>Hosting likely understated</w:t>
            </w:r>
          </w:p>
        </w:tc>
      </w:tr>
    </w:tbl>
    <w:p/>
    <w:p>
      <w:pPr>
        <w:pStyle w:val="Heading1"/>
      </w:pPr>
      <w:r>
        <w:t>VII. Required Revisions (Negotiation Position)</w:t>
      </w:r>
    </w:p>
    <w:p>
      <w:r>
        <w:rPr>
          <w:b w:val="0"/>
          <w:i w:val="0"/>
        </w:rPr>
        <w:t>We recommend sending HB&amp;C the following required changes, with a clean OCG-compliant engagement letter prepared on Pinnacle's form or as a full redline:</w:t>
      </w:r>
    </w:p>
    <w:p>
      <w:pPr>
        <w:pStyle w:val="ListBullet"/>
      </w:pPr>
      <w:r>
        <w:rPr>
          <w:b/>
        </w:rPr>
        <w:t xml:space="preserve">Conflicts: </w:t>
      </w:r>
      <w:r>
        <w:t>Formal clearance letter meeting § 2.2(a)–(d); detailed written disclosure of the MedBridge relationship; the General Counsel to decide on consent separately; delete the advance waiver; correct § 11.</w:t>
      </w:r>
    </w:p>
    <w:p>
      <w:pPr>
        <w:pStyle w:val="ListBullet"/>
      </w:pPr>
      <w:r>
        <w:rPr>
          <w:b/>
        </w:rPr>
        <w:t xml:space="preserve">Insurance: </w:t>
      </w:r>
      <w:r>
        <w:t>Certificate showing $25M/$50M with an A- or better carrier before any work starts; annual updates; immediate notice of any change.</w:t>
      </w:r>
    </w:p>
    <w:p>
      <w:pPr>
        <w:pStyle w:val="ListBullet"/>
      </w:pPr>
      <w:r>
        <w:rPr>
          <w:b/>
        </w:rPr>
        <w:t xml:space="preserve">Delete: </w:t>
      </w:r>
      <w:r>
        <w:t>§ 4 (non-refundable retainer), § 9 termination fee, § 10 (success fee), § 13 (liability cap), § 14 (indemnity), the lien in § 15, the marketing consent in § 16, and § 3.3 escalation.</w:t>
      </w:r>
    </w:p>
    <w:p>
      <w:pPr>
        <w:pStyle w:val="ListBullet"/>
      </w:pPr>
      <w:r>
        <w:rPr>
          <w:b/>
        </w:rPr>
        <w:t xml:space="preserve">Rates: </w:t>
      </w:r>
      <w:r>
        <w:t>Restate at or below caps: Morrow and Alcott $850, Dasgupta $575, Marsh $425, Solano $225, contract reviewers $225 (substantive $425). Rates are fixed for 2025. Any 2026 increase must be proposed per timekeeper by Nov. 1 and approved in writing by the GC. Withdraw the $685 blended rate or re-propose it at or below $625 with a per-timekeeper analysis.</w:t>
      </w:r>
    </w:p>
    <w:p>
      <w:pPr>
        <w:pStyle w:val="ListBullet"/>
      </w:pPr>
      <w:r>
        <w:rPr>
          <w:b/>
        </w:rPr>
        <w:t xml:space="preserve">Budget: </w:t>
      </w:r>
      <w:r>
        <w:t>Within 30 days, a fully itemized budget by OCG phase that includes e-discovery, contract review, experts and all disbursements, with fees and costs shown separately. Present it to the General Counsel by video. Include quarterly updates and 10% variance notice and approval.</w:t>
      </w:r>
    </w:p>
    <w:p>
      <w:pPr>
        <w:pStyle w:val="ListBullet"/>
      </w:pPr>
      <w:r>
        <w:rPr>
          <w:b/>
        </w:rPr>
        <w:t xml:space="preserve">Staffing: </w:t>
      </w:r>
      <w:r>
        <w:t>Pinnacle approval over partners, senior associates and above; 14-day notice; contract attorneys by prior approval; one partner per routine event; justify Mr. Alcott's billable role; diversity commitment and quarterly reports.</w:t>
      </w:r>
    </w:p>
    <w:p>
      <w:pPr>
        <w:pStyle w:val="ListBullet"/>
      </w:pPr>
      <w:r>
        <w:rPr>
          <w:b/>
        </w:rPr>
        <w:t xml:space="preserve">Billing and expenses: </w:t>
      </w:r>
      <w:r>
        <w:t>LEDES 1998B via e-billing; 45-day submission; § 3.4 content; payment 30 days after receipt and approval; no interest or suspension of work; $5,000 pre-approval threshold; economy airfare; travel pre-approval; § 5.4 exclusions.</w:t>
      </w:r>
    </w:p>
    <w:p>
      <w:pPr>
        <w:pStyle w:val="ListBullet"/>
      </w:pPr>
      <w:r>
        <w:rPr>
          <w:b/>
        </w:rPr>
        <w:t xml:space="preserve">E-discovery: </w:t>
      </w:r>
      <w:r>
        <w:t>Disclose the HB&amp;C–CrossPoint relationship and any financial interest; run a competitive bid (including any Pinnacle-preferred vendor); require OCG and § X compliance; BAA; Pinnacle approval rights and third-party beneficiary status; remove the double project-management charges; include e-discovery in the budget.</w:t>
      </w:r>
    </w:p>
    <w:p>
      <w:pPr>
        <w:pStyle w:val="ListBullet"/>
      </w:pPr>
      <w:r>
        <w:rPr>
          <w:b/>
        </w:rPr>
        <w:t xml:space="preserve">Work product, confidentiality, data security: </w:t>
      </w:r>
      <w:r>
        <w:t>OCG §§ VII and X language; HIPAA BAA with the firm; 24-hour breach notice.</w:t>
      </w:r>
    </w:p>
    <w:p>
      <w:pPr>
        <w:pStyle w:val="ListBullet"/>
      </w:pPr>
      <w:r>
        <w:rPr>
          <w:b/>
        </w:rPr>
        <w:t xml:space="preserve">Termination, disputes, law: </w:t>
      </w:r>
      <w:r>
        <w:t>Pinnacle may terminate at will with no fee; firm withdrawal on 60 days' notice with consent; OCG § XIII dispute process; North Carolina law; Mecklenburg County courts.</w:t>
      </w:r>
    </w:p>
    <w:p>
      <w:pPr>
        <w:pStyle w:val="ListBullet"/>
      </w:pPr>
      <w:r>
        <w:rPr>
          <w:b/>
        </w:rPr>
        <w:t xml:space="preserve">Form: </w:t>
      </w:r>
      <w:r>
        <w:t>Add the Pinnacle matter number, express OCG incorporation and compliance statement, and an integration clause that preserves the OCG; add status reporting and audit terms.</w:t>
      </w:r>
    </w:p>
    <w:p>
      <w:pPr>
        <w:pStyle w:val="Heading1"/>
      </w:pPr>
      <w:r>
        <w:t>VIII. Recommended Next Steps</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1F3864"/>
          </w:tcPr>
          <w:p>
            <w:r/>
            <w:r>
              <w:rPr>
                <w:b/>
                <w:color w:val="FFFFFF"/>
                <w:sz w:val="19"/>
              </w:rPr>
              <w:t>#</w:t>
            </w:r>
          </w:p>
        </w:tc>
        <w:tc>
          <w:tcPr>
            <w:tcW w:type="dxa" w:w="4752"/>
            <w:shd w:val="clear" w:color="auto" w:fill="1F3864"/>
          </w:tcPr>
          <w:p>
            <w:r/>
            <w:r>
              <w:rPr>
                <w:b/>
                <w:color w:val="FFFFFF"/>
                <w:sz w:val="19"/>
              </w:rPr>
              <w:t>Action</w:t>
            </w:r>
          </w:p>
        </w:tc>
        <w:tc>
          <w:tcPr>
            <w:tcW w:type="dxa" w:w="1872"/>
            <w:shd w:val="clear" w:color="auto" w:fill="1F3864"/>
          </w:tcPr>
          <w:p>
            <w:r/>
            <w:r>
              <w:rPr>
                <w:b/>
                <w:color w:val="FFFFFF"/>
                <w:sz w:val="19"/>
              </w:rPr>
              <w:t>Owner</w:t>
            </w:r>
          </w:p>
        </w:tc>
        <w:tc>
          <w:tcPr>
            <w:tcW w:type="dxa" w:w="2304"/>
            <w:shd w:val="clear" w:color="auto" w:fill="1F3864"/>
          </w:tcPr>
          <w:p>
            <w:r/>
            <w:r>
              <w:rPr>
                <w:b/>
                <w:color w:val="FFFFFF"/>
                <w:sz w:val="19"/>
              </w:rPr>
              <w:t>Target</w:t>
            </w:r>
          </w:p>
        </w:tc>
      </w:tr>
      <w:tr>
        <w:tc>
          <w:tcPr>
            <w:tcW w:type="dxa" w:w="432"/>
          </w:tcPr>
          <w:p>
            <w:r/>
            <w:r>
              <w:rPr>
                <w:sz w:val="19"/>
              </w:rPr>
              <w:t>1</w:t>
            </w:r>
          </w:p>
        </w:tc>
        <w:tc>
          <w:tcPr>
            <w:tcW w:type="dxa" w:w="4752"/>
          </w:tcPr>
          <w:p>
            <w:r/>
            <w:r>
              <w:rPr>
                <w:sz w:val="19"/>
              </w:rPr>
              <w:t>Notify HB&amp;C that the letter cannot be signed as drafted; send this issues list and the required revisions</w:t>
            </w:r>
          </w:p>
        </w:tc>
        <w:tc>
          <w:tcPr>
            <w:tcW w:type="dxa" w:w="1872"/>
          </w:tcPr>
          <w:p>
            <w:r/>
            <w:r>
              <w:rPr>
                <w:sz w:val="19"/>
              </w:rPr>
              <w:t>T. Ridley</w:t>
            </w:r>
          </w:p>
        </w:tc>
        <w:tc>
          <w:tcPr>
            <w:tcW w:type="dxa" w:w="2304"/>
          </w:tcPr>
          <w:p>
            <w:r/>
            <w:r>
              <w:rPr>
                <w:sz w:val="19"/>
              </w:rPr>
              <w:t>Immediately (before Oct. 18 requested return)</w:t>
            </w:r>
          </w:p>
        </w:tc>
      </w:tr>
      <w:tr>
        <w:tc>
          <w:tcPr>
            <w:tcW w:type="dxa" w:w="432"/>
          </w:tcPr>
          <w:p>
            <w:r/>
            <w:r>
              <w:rPr>
                <w:sz w:val="19"/>
              </w:rPr>
              <w:t>2</w:t>
            </w:r>
          </w:p>
        </w:tc>
        <w:tc>
          <w:tcPr>
            <w:tcW w:type="dxa" w:w="4752"/>
          </w:tcPr>
          <w:p>
            <w:r/>
            <w:r>
              <w:rPr>
                <w:sz w:val="19"/>
              </w:rPr>
              <w:t>Require a formal conflicts clearance letter and MedBridge disclosure; hold a GC-level consent decision</w:t>
            </w:r>
          </w:p>
        </w:tc>
        <w:tc>
          <w:tcPr>
            <w:tcW w:type="dxa" w:w="1872"/>
          </w:tcPr>
          <w:p>
            <w:r/>
            <w:r>
              <w:rPr>
                <w:sz w:val="19"/>
              </w:rPr>
              <w:t>M. Yeun / T. Ridley</w:t>
            </w:r>
          </w:p>
        </w:tc>
        <w:tc>
          <w:tcPr>
            <w:tcW w:type="dxa" w:w="2304"/>
          </w:tcPr>
          <w:p>
            <w:r/>
            <w:r>
              <w:rPr>
                <w:sz w:val="19"/>
              </w:rPr>
              <w:t>Within 3 business days of receipt</w:t>
            </w:r>
          </w:p>
        </w:tc>
      </w:tr>
      <w:tr>
        <w:tc>
          <w:tcPr>
            <w:tcW w:type="dxa" w:w="432"/>
          </w:tcPr>
          <w:p>
            <w:r/>
            <w:r>
              <w:rPr>
                <w:sz w:val="19"/>
              </w:rPr>
              <w:t>3</w:t>
            </w:r>
          </w:p>
        </w:tc>
        <w:tc>
          <w:tcPr>
            <w:tcW w:type="dxa" w:w="4752"/>
          </w:tcPr>
          <w:p>
            <w:r/>
            <w:r>
              <w:rPr>
                <w:sz w:val="19"/>
              </w:rPr>
              <w:t>Require an insurance certificate showing $25M/$50M or bound excess coverage</w:t>
            </w:r>
          </w:p>
        </w:tc>
        <w:tc>
          <w:tcPr>
            <w:tcW w:type="dxa" w:w="1872"/>
          </w:tcPr>
          <w:p>
            <w:r/>
            <w:r>
              <w:rPr>
                <w:sz w:val="19"/>
              </w:rPr>
              <w:t>T. Ridley</w:t>
            </w:r>
          </w:p>
        </w:tc>
        <w:tc>
          <w:tcPr>
            <w:tcW w:type="dxa" w:w="2304"/>
          </w:tcPr>
          <w:p>
            <w:r/>
            <w:r>
              <w:rPr>
                <w:sz w:val="19"/>
              </w:rPr>
              <w:t>Before any substantive work</w:t>
            </w:r>
          </w:p>
        </w:tc>
      </w:tr>
      <w:tr>
        <w:tc>
          <w:tcPr>
            <w:tcW w:type="dxa" w:w="432"/>
          </w:tcPr>
          <w:p>
            <w:r/>
            <w:r>
              <w:rPr>
                <w:sz w:val="19"/>
              </w:rPr>
              <w:t>4</w:t>
            </w:r>
          </w:p>
        </w:tc>
        <w:tc>
          <w:tcPr>
            <w:tcW w:type="dxa" w:w="4752"/>
          </w:tcPr>
          <w:p>
            <w:r/>
            <w:r>
              <w:rPr>
                <w:sz w:val="19"/>
              </w:rPr>
              <w:t>Confirm in writing that pre-engagement "preliminary research" will not be billed absent execution; confirm what Pinnacle data has been shared with CrossPoint</w:t>
            </w:r>
          </w:p>
        </w:tc>
        <w:tc>
          <w:tcPr>
            <w:tcW w:type="dxa" w:w="1872"/>
          </w:tcPr>
          <w:p>
            <w:r/>
            <w:r>
              <w:rPr>
                <w:sz w:val="19"/>
              </w:rPr>
              <w:t>T. Ridley</w:t>
            </w:r>
          </w:p>
        </w:tc>
        <w:tc>
          <w:tcPr>
            <w:tcW w:type="dxa" w:w="2304"/>
          </w:tcPr>
          <w:p>
            <w:r/>
            <w:r>
              <w:rPr>
                <w:sz w:val="19"/>
              </w:rPr>
              <w:t>This week</w:t>
            </w:r>
          </w:p>
        </w:tc>
      </w:tr>
      <w:tr>
        <w:tc>
          <w:tcPr>
            <w:tcW w:type="dxa" w:w="432"/>
          </w:tcPr>
          <w:p>
            <w:r/>
            <w:r>
              <w:rPr>
                <w:sz w:val="19"/>
              </w:rPr>
              <w:t>5</w:t>
            </w:r>
          </w:p>
        </w:tc>
        <w:tc>
          <w:tcPr>
            <w:tcW w:type="dxa" w:w="4752"/>
          </w:tcPr>
          <w:p>
            <w:r/>
            <w:r>
              <w:rPr>
                <w:sz w:val="19"/>
              </w:rPr>
              <w:t>Contingency: identify a backup panel firm able to meet the Nov. 7 Answer deadline</w:t>
            </w:r>
          </w:p>
        </w:tc>
        <w:tc>
          <w:tcPr>
            <w:tcW w:type="dxa" w:w="1872"/>
          </w:tcPr>
          <w:p>
            <w:r/>
            <w:r>
              <w:rPr>
                <w:sz w:val="19"/>
              </w:rPr>
              <w:t>OGC</w:t>
            </w:r>
          </w:p>
        </w:tc>
        <w:tc>
          <w:tcPr>
            <w:tcW w:type="dxa" w:w="2304"/>
          </w:tcPr>
          <w:p>
            <w:r/>
            <w:r>
              <w:rPr>
                <w:sz w:val="19"/>
              </w:rPr>
              <w:t>Parallel track, now</w:t>
            </w:r>
          </w:p>
        </w:tc>
      </w:tr>
      <w:tr>
        <w:tc>
          <w:tcPr>
            <w:tcW w:type="dxa" w:w="432"/>
          </w:tcPr>
          <w:p>
            <w:r/>
            <w:r>
              <w:rPr>
                <w:sz w:val="19"/>
              </w:rPr>
              <w:t>6</w:t>
            </w:r>
          </w:p>
        </w:tc>
        <w:tc>
          <w:tcPr>
            <w:tcW w:type="dxa" w:w="4752"/>
          </w:tcPr>
          <w:p>
            <w:r/>
            <w:r>
              <w:rPr>
                <w:sz w:val="19"/>
              </w:rPr>
              <w:t>Launch e-discovery vendor competitive bid; implement litigation hold directly while the vendor is selected</w:t>
            </w:r>
          </w:p>
        </w:tc>
        <w:tc>
          <w:tcPr>
            <w:tcW w:type="dxa" w:w="1872"/>
          </w:tcPr>
          <w:p>
            <w:r/>
            <w:r>
              <w:rPr>
                <w:sz w:val="19"/>
              </w:rPr>
              <w:t>OGC / IT / Compliance</w:t>
            </w:r>
          </w:p>
        </w:tc>
        <w:tc>
          <w:tcPr>
            <w:tcW w:type="dxa" w:w="2304"/>
          </w:tcPr>
          <w:p>
            <w:r/>
            <w:r>
              <w:rPr>
                <w:sz w:val="19"/>
              </w:rPr>
              <w:t>Before Dec. 5 Rule 26(f) conference</w:t>
            </w:r>
          </w:p>
        </w:tc>
      </w:tr>
      <w:tr>
        <w:tc>
          <w:tcPr>
            <w:tcW w:type="dxa" w:w="432"/>
          </w:tcPr>
          <w:p>
            <w:r/>
            <w:r>
              <w:rPr>
                <w:sz w:val="19"/>
              </w:rPr>
              <w:t>7</w:t>
            </w:r>
          </w:p>
        </w:tc>
        <w:tc>
          <w:tcPr>
            <w:tcW w:type="dxa" w:w="4752"/>
          </w:tcPr>
          <w:p>
            <w:r/>
            <w:r>
              <w:rPr>
                <w:sz w:val="19"/>
              </w:rPr>
              <w:t>If HB&amp;C cures the threshold issues: authorize limited interim Answer work under a short OCG-compliant letter pending final engagement letter</w:t>
            </w:r>
          </w:p>
        </w:tc>
        <w:tc>
          <w:tcPr>
            <w:tcW w:type="dxa" w:w="1872"/>
          </w:tcPr>
          <w:p>
            <w:r/>
            <w:r>
              <w:rPr>
                <w:sz w:val="19"/>
              </w:rPr>
              <w:t>M. Yeun</w:t>
            </w:r>
          </w:p>
        </w:tc>
        <w:tc>
          <w:tcPr>
            <w:tcW w:type="dxa" w:w="2304"/>
          </w:tcPr>
          <w:p>
            <w:r/>
            <w:r>
              <w:rPr>
                <w:sz w:val="19"/>
              </w:rPr>
              <w:t>As needed to protect the Nov. 7 deadline</w:t>
            </w:r>
          </w:p>
        </w:tc>
      </w:tr>
      <w:tr>
        <w:tc>
          <w:tcPr>
            <w:tcW w:type="dxa" w:w="432"/>
          </w:tcPr>
          <w:p>
            <w:r/>
            <w:r>
              <w:rPr>
                <w:sz w:val="19"/>
              </w:rPr>
              <w:t>8</w:t>
            </w:r>
          </w:p>
        </w:tc>
        <w:tc>
          <w:tcPr>
            <w:tcW w:type="dxa" w:w="4752"/>
          </w:tcPr>
          <w:p>
            <w:r/>
            <w:r>
              <w:rPr>
                <w:sz w:val="19"/>
              </w:rPr>
              <w:t>Receive the rebuilt budget within 30 days; schedule the budget presentation to the GC</w:t>
            </w:r>
          </w:p>
        </w:tc>
        <w:tc>
          <w:tcPr>
            <w:tcW w:type="dxa" w:w="1872"/>
          </w:tcPr>
          <w:p>
            <w:r/>
            <w:r>
              <w:rPr>
                <w:sz w:val="19"/>
              </w:rPr>
              <w:t>T. Ridley</w:t>
            </w:r>
          </w:p>
        </w:tc>
        <w:tc>
          <w:tcPr>
            <w:tcW w:type="dxa" w:w="2304"/>
          </w:tcPr>
          <w:p>
            <w:r/>
            <w:r>
              <w:rPr>
                <w:sz w:val="19"/>
              </w:rPr>
              <w:t>Within 30 days of commencement</w:t>
            </w:r>
          </w:p>
        </w:tc>
      </w:tr>
    </w:tbl>
    <w:p/>
    <w:p>
      <w:r>
        <w:rPr>
          <w:b w:val="0"/>
          <w:i/>
        </w:rPr>
        <w:t>Please let us know if you would like a full redline of the engagement letter or a draft transmittal letter to HB&amp;C.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