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PRIVILEGED &amp; CONFIDENTIAL — ATTORNEY WORK PRODUCT — PREPARED AT THE DIRECTION OF COUNSEL</w:t>
      </w:r>
    </w:p>
    <w:p>
      <w:pPr>
        <w:jc w:val="center"/>
      </w:pPr>
      <w:r>
        <w:rPr>
          <w:b/>
          <w:i w:val="0"/>
          <w:sz w:val="32"/>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1F3864"/>
          </w:tcPr>
          <w:p>
            <w:r/>
            <w:r>
              <w:rPr>
                <w:b/>
                <w:color w:val="FFFFFF"/>
                <w:sz w:val="18"/>
              </w:rPr>
            </w:r>
          </w:p>
        </w:tc>
        <w:tc>
          <w:tcPr>
            <w:tcW w:type="dxa" w:w="7920"/>
            <w:shd w:val="clear" w:color="auto" w:fill="1F3864"/>
          </w:tcPr>
          <w:p>
            <w:r/>
            <w:r>
              <w:rPr>
                <w:b/>
                <w:color w:val="FFFFFF"/>
                <w:sz w:val="18"/>
              </w:rPr>
            </w:r>
          </w:p>
        </w:tc>
      </w:tr>
      <w:tr>
        <w:tc>
          <w:tcPr>
            <w:tcW w:type="dxa" w:w="1440"/>
          </w:tcPr>
          <w:p>
            <w:r/>
            <w:r>
              <w:rPr>
                <w:sz w:val="18"/>
              </w:rPr>
              <w:t>TO:</w:t>
            </w:r>
          </w:p>
        </w:tc>
        <w:tc>
          <w:tcPr>
            <w:tcW w:type="dxa" w:w="7920"/>
          </w:tcPr>
          <w:p>
            <w:r/>
            <w:r>
              <w:rPr>
                <w:sz w:val="18"/>
              </w:rPr>
              <w:t>Catherine Marsh, Esq., Lead Litigation Partner, Carrick, Lowe &amp; Marsh LLP</w:t>
            </w:r>
          </w:p>
        </w:tc>
      </w:tr>
      <w:tr>
        <w:tc>
          <w:tcPr>
            <w:tcW w:type="dxa" w:w="1440"/>
          </w:tcPr>
          <w:p>
            <w:r/>
            <w:r>
              <w:rPr>
                <w:sz w:val="18"/>
              </w:rPr>
              <w:t>CC:</w:t>
            </w:r>
          </w:p>
        </w:tc>
        <w:tc>
          <w:tcPr>
            <w:tcW w:type="dxa" w:w="7920"/>
          </w:tcPr>
          <w:p>
            <w:r/>
            <w:r>
              <w:rPr>
                <w:sz w:val="18"/>
              </w:rPr>
              <w:t>Philip Torano, Esq.; Nadia El-Amin, Esq.</w:t>
            </w:r>
          </w:p>
        </w:tc>
      </w:tr>
      <w:tr>
        <w:tc>
          <w:tcPr>
            <w:tcW w:type="dxa" w:w="1440"/>
          </w:tcPr>
          <w:p>
            <w:r/>
            <w:r>
              <w:rPr>
                <w:sz w:val="18"/>
              </w:rPr>
              <w:t>FROM:</w:t>
            </w:r>
          </w:p>
        </w:tc>
        <w:tc>
          <w:tcPr>
            <w:tcW w:type="dxa" w:w="7920"/>
          </w:tcPr>
          <w:p>
            <w:r/>
            <w:r>
              <w:rPr>
                <w:sz w:val="18"/>
              </w:rPr>
              <w:t>Privilege Review Team</w:t>
            </w:r>
          </w:p>
        </w:tc>
      </w:tr>
      <w:tr>
        <w:tc>
          <w:tcPr>
            <w:tcW w:type="dxa" w:w="1440"/>
          </w:tcPr>
          <w:p>
            <w:r/>
            <w:r>
              <w:rPr>
                <w:sz w:val="18"/>
              </w:rPr>
              <w:t>RE:</w:t>
            </w:r>
          </w:p>
        </w:tc>
        <w:tc>
          <w:tcPr>
            <w:tcW w:type="dxa" w:w="7920"/>
          </w:tcPr>
          <w:p>
            <w:r/>
            <w:r>
              <w:rPr>
                <w:sz w:val="18"/>
              </w:rPr>
              <w:t>Privilege Log Deficiency Analysis — Meridian Environmental Coalition et al. v. Thornfield Industries, Inc. et al., No. 2:20-cv-04187-KSH-CLW (D.N.J.)</w:t>
            </w:r>
          </w:p>
        </w:tc>
      </w:tr>
      <w:tr>
        <w:tc>
          <w:tcPr>
            <w:tcW w:type="dxa" w:w="1440"/>
          </w:tcPr>
          <w:p>
            <w:r/>
            <w:r>
              <w:rPr>
                <w:sz w:val="18"/>
              </w:rPr>
              <w:t>ENCL.:</w:t>
            </w:r>
          </w:p>
        </w:tc>
        <w:tc>
          <w:tcPr>
            <w:tcW w:type="dxa" w:w="7920"/>
          </w:tcPr>
          <w:p>
            <w:r/>
            <w:r>
              <w:rPr>
                <w:sz w:val="18"/>
              </w:rPr>
              <w:t>clawback-candidate-list.xlsx (full 312-entry assessment, clawback candidates, log corrections)</w:t>
            </w:r>
          </w:p>
        </w:tc>
      </w:tr>
    </w:tbl>
    <w:p/>
    <w:p>
      <w:pPr>
        <w:pStyle w:val="Heading1"/>
      </w:pPr>
      <w:r>
        <w:t>I. Bottom Line</w:t>
      </w:r>
    </w:p>
    <w:p>
      <w:r>
        <w:rPr>
          <w:b w:val="0"/>
          <w:i w:val="0"/>
        </w:rPr>
        <w:t>We reviewed all 312 entries in Thornfield's privilege log. Each entry was checked against the org chart, the CLM engagement letter, the two common interest agreements (CIAs) and the Rule 26(a)(2) expert disclosures. For the 49 entries that came with sample documents, we also read the documents. The log should not be served or certified in its current form. There are four main problems:</w:t>
      </w:r>
    </w:p>
    <w:p>
      <w:pPr>
        <w:pStyle w:val="ListBullet"/>
      </w:pPr>
      <w:r>
        <w:t>About 1 in 10 entries claim privilege that cannot be supported. 27 entries should be withdrawn and produced, and 5 more have been waived by disclosure to outsiders. These entries follow patterns that plaintiffs' counsel will spot quickly: Margaret Langford's communications from before she became General Counsel, Teresa Molina's communications (she is not a lawyer), ordinary-course Graystone reports, CLM marketing emails from before the engagement, and emails between business people with no lawyer involved.</w:t>
      </w:r>
    </w:p>
    <w:p>
      <w:pPr>
        <w:pStyle w:val="ListBullet"/>
      </w:pPr>
      <w:r>
        <w:t>Three withheld documents were given to outsiders: NJDEP, which is an opposing party (#128); Ridgeline, the insurance broker (#102); and Graystone/Dr. Reese (#78). In each case the log hides the disclosure by describing the underlying privileged email rather than the forward that was actually logged. Two further documents were shared with Garfield before the Garfield CIA was signed (#85, #91).</w:t>
      </w:r>
    </w:p>
    <w:p>
      <w:pPr>
        <w:pStyle w:val="ListBullet"/>
      </w:pPr>
      <w:r>
        <w:t>Several log descriptions are affirmatively inaccurate. Examples: describing non-lawyer emails as "communication with counsel," routine audit reports as "prepared in anticipation of litigation," and a press release as "attorney work product." Serving these descriptions creates Rule 26(g) certification risk and could support an argument that privilege was waived for the entire log.</w:t>
      </w:r>
    </w:p>
    <w:p>
      <w:pPr>
        <w:pStyle w:val="ListBullet"/>
      </w:pPr>
      <w:r>
        <w:t>Metadata is unreliable. In 26 entries the date, author, recipient, CC or subject is wrong (some dates are impossible, such as "March 32"), or the description is generic ("Re: Status," "Legal communication"). Most of these documents are privileged in substance, but the entries as written do not meet Rule 26(b)(5)(A).</w:t>
      </w:r>
    </w:p>
    <w:tbl>
      <w:tblPr>
        <w:tblStyle w:val="TableGrid"/>
        <w:tblW w:type="auto" w:w="0"/>
        <w:tblLook w:firstColumn="1" w:firstRow="1" w:lastColumn="0" w:lastRow="0" w:noHBand="0" w:noVBand="1" w:val="04A0"/>
      </w:tblPr>
      <w:tblGrid>
        <w:gridCol w:w="2340"/>
        <w:gridCol w:w="2340"/>
        <w:gridCol w:w="2340"/>
        <w:gridCol w:w="2340"/>
      </w:tblGrid>
      <w:tr>
        <w:tc>
          <w:tcPr>
            <w:tcW w:type="dxa" w:w="4608"/>
            <w:shd w:val="clear" w:color="auto" w:fill="1F3864"/>
          </w:tcPr>
          <w:p>
            <w:r/>
            <w:r>
              <w:rPr>
                <w:b/>
                <w:color w:val="FFFFFF"/>
                <w:sz w:val="18"/>
              </w:rPr>
              <w:t>Category</w:t>
            </w:r>
          </w:p>
        </w:tc>
        <w:tc>
          <w:tcPr>
            <w:tcW w:type="dxa" w:w="1296"/>
            <w:shd w:val="clear" w:color="auto" w:fill="1F3864"/>
          </w:tcPr>
          <w:p>
            <w:r/>
            <w:r>
              <w:rPr>
                <w:b/>
                <w:color w:val="FFFFFF"/>
                <w:sz w:val="18"/>
              </w:rPr>
              <w:t>Entries</w:t>
            </w:r>
          </w:p>
        </w:tc>
        <w:tc>
          <w:tcPr>
            <w:tcW w:type="dxa" w:w="1296"/>
            <w:shd w:val="clear" w:color="auto" w:fill="1F3864"/>
          </w:tcPr>
          <w:p>
            <w:r/>
            <w:r>
              <w:rPr>
                <w:b/>
                <w:color w:val="FFFFFF"/>
                <w:sz w:val="18"/>
              </w:rPr>
              <w:t>Sampled</w:t>
            </w:r>
          </w:p>
        </w:tc>
        <w:tc>
          <w:tcPr>
            <w:tcW w:type="dxa" w:w="1440"/>
            <w:shd w:val="clear" w:color="auto" w:fill="1F3864"/>
          </w:tcPr>
          <w:p>
            <w:r/>
            <w:r>
              <w:rPr>
                <w:b/>
                <w:color w:val="FFFFFF"/>
                <w:sz w:val="18"/>
              </w:rPr>
              <w:t>Share of Log</w:t>
            </w:r>
          </w:p>
        </w:tc>
      </w:tr>
      <w:tr>
        <w:tc>
          <w:tcPr>
            <w:tcW w:type="dxa" w:w="4608"/>
          </w:tcPr>
          <w:p>
            <w:r/>
            <w:r>
              <w:rPr>
                <w:sz w:val="18"/>
              </w:rPr>
              <w:t>1 - Defensible</w:t>
            </w:r>
          </w:p>
        </w:tc>
        <w:tc>
          <w:tcPr>
            <w:tcW w:type="dxa" w:w="1296"/>
          </w:tcPr>
          <w:p>
            <w:r/>
            <w:r>
              <w:rPr>
                <w:sz w:val="18"/>
              </w:rPr>
              <w:t>249</w:t>
            </w:r>
          </w:p>
        </w:tc>
        <w:tc>
          <w:tcPr>
            <w:tcW w:type="dxa" w:w="1296"/>
          </w:tcPr>
          <w:p>
            <w:r/>
            <w:r>
              <w:rPr>
                <w:sz w:val="18"/>
              </w:rPr>
              <w:t>3</w:t>
            </w:r>
          </w:p>
        </w:tc>
        <w:tc>
          <w:tcPr>
            <w:tcW w:type="dxa" w:w="1440"/>
          </w:tcPr>
          <w:p>
            <w:r/>
            <w:r>
              <w:rPr>
                <w:sz w:val="18"/>
              </w:rPr>
              <w:t>79.8%</w:t>
            </w:r>
          </w:p>
        </w:tc>
      </w:tr>
      <w:tr>
        <w:tc>
          <w:tcPr>
            <w:tcW w:type="dxa" w:w="4608"/>
          </w:tcPr>
          <w:p>
            <w:r/>
            <w:r>
              <w:rPr>
                <w:sz w:val="18"/>
              </w:rPr>
              <w:t>2 - Defensible; Log Correction Required</w:t>
            </w:r>
          </w:p>
        </w:tc>
        <w:tc>
          <w:tcPr>
            <w:tcW w:type="dxa" w:w="1296"/>
          </w:tcPr>
          <w:p>
            <w:r/>
            <w:r>
              <w:rPr>
                <w:sz w:val="18"/>
              </w:rPr>
              <w:t>16</w:t>
            </w:r>
          </w:p>
        </w:tc>
        <w:tc>
          <w:tcPr>
            <w:tcW w:type="dxa" w:w="1296"/>
          </w:tcPr>
          <w:p>
            <w:r/>
            <w:r>
              <w:rPr>
                <w:sz w:val="18"/>
              </w:rPr>
              <w:t>14</w:t>
            </w:r>
          </w:p>
        </w:tc>
        <w:tc>
          <w:tcPr>
            <w:tcW w:type="dxa" w:w="1440"/>
          </w:tcPr>
          <w:p>
            <w:r/>
            <w:r>
              <w:rPr>
                <w:sz w:val="18"/>
              </w:rPr>
              <w:t>5.1%</w:t>
            </w:r>
          </w:p>
        </w:tc>
      </w:tr>
      <w:tr>
        <w:tc>
          <w:tcPr>
            <w:tcW w:type="dxa" w:w="4608"/>
          </w:tcPr>
          <w:p>
            <w:r/>
            <w:r>
              <w:rPr>
                <w:sz w:val="18"/>
              </w:rPr>
              <w:t>3 - At Risk; Further Review / Partial Production</w:t>
            </w:r>
          </w:p>
        </w:tc>
        <w:tc>
          <w:tcPr>
            <w:tcW w:type="dxa" w:w="1296"/>
          </w:tcPr>
          <w:p>
            <w:r/>
            <w:r>
              <w:rPr>
                <w:sz w:val="18"/>
              </w:rPr>
              <w:t>15</w:t>
            </w:r>
          </w:p>
        </w:tc>
        <w:tc>
          <w:tcPr>
            <w:tcW w:type="dxa" w:w="1296"/>
          </w:tcPr>
          <w:p>
            <w:r/>
            <w:r>
              <w:rPr>
                <w:sz w:val="18"/>
              </w:rPr>
              <w:t>7</w:t>
            </w:r>
          </w:p>
        </w:tc>
        <w:tc>
          <w:tcPr>
            <w:tcW w:type="dxa" w:w="1440"/>
          </w:tcPr>
          <w:p>
            <w:r/>
            <w:r>
              <w:rPr>
                <w:sz w:val="18"/>
              </w:rPr>
              <w:t>4.8%</w:t>
            </w:r>
          </w:p>
        </w:tc>
      </w:tr>
      <w:tr>
        <w:tc>
          <w:tcPr>
            <w:tcW w:type="dxa" w:w="4608"/>
          </w:tcPr>
          <w:p>
            <w:r/>
            <w:r>
              <w:rPr>
                <w:sz w:val="18"/>
              </w:rPr>
              <w:t>4 - Not Defensible; Withdraw &amp; Produce</w:t>
            </w:r>
          </w:p>
        </w:tc>
        <w:tc>
          <w:tcPr>
            <w:tcW w:type="dxa" w:w="1296"/>
          </w:tcPr>
          <w:p>
            <w:r/>
            <w:r>
              <w:rPr>
                <w:sz w:val="18"/>
              </w:rPr>
              <w:t>27</w:t>
            </w:r>
          </w:p>
        </w:tc>
        <w:tc>
          <w:tcPr>
            <w:tcW w:type="dxa" w:w="1296"/>
          </w:tcPr>
          <w:p>
            <w:r/>
            <w:r>
              <w:rPr>
                <w:sz w:val="18"/>
              </w:rPr>
              <w:t>20</w:t>
            </w:r>
          </w:p>
        </w:tc>
        <w:tc>
          <w:tcPr>
            <w:tcW w:type="dxa" w:w="1440"/>
          </w:tcPr>
          <w:p>
            <w:r/>
            <w:r>
              <w:rPr>
                <w:sz w:val="18"/>
              </w:rPr>
              <w:t>8.7%</w:t>
            </w:r>
          </w:p>
        </w:tc>
      </w:tr>
      <w:tr>
        <w:tc>
          <w:tcPr>
            <w:tcW w:type="dxa" w:w="4608"/>
          </w:tcPr>
          <w:p>
            <w:r/>
            <w:r>
              <w:rPr>
                <w:sz w:val="18"/>
              </w:rPr>
              <w:t>5 - Waived by Third-Party Disclosure</w:t>
            </w:r>
          </w:p>
        </w:tc>
        <w:tc>
          <w:tcPr>
            <w:tcW w:type="dxa" w:w="1296"/>
          </w:tcPr>
          <w:p>
            <w:r/>
            <w:r>
              <w:rPr>
                <w:sz w:val="18"/>
              </w:rPr>
              <w:t>5</w:t>
            </w:r>
          </w:p>
        </w:tc>
        <w:tc>
          <w:tcPr>
            <w:tcW w:type="dxa" w:w="1296"/>
          </w:tcPr>
          <w:p>
            <w:r/>
            <w:r>
              <w:rPr>
                <w:sz w:val="18"/>
              </w:rPr>
              <w:t>5</w:t>
            </w:r>
          </w:p>
        </w:tc>
        <w:tc>
          <w:tcPr>
            <w:tcW w:type="dxa" w:w="1440"/>
          </w:tcPr>
          <w:p>
            <w:r/>
            <w:r>
              <w:rPr>
                <w:sz w:val="18"/>
              </w:rPr>
              <w:t>1.6%</w:t>
            </w:r>
          </w:p>
        </w:tc>
      </w:tr>
      <w:tr>
        <w:tc>
          <w:tcPr>
            <w:tcW w:type="dxa" w:w="4608"/>
          </w:tcPr>
          <w:p>
            <w:r/>
            <w:r>
              <w:rPr>
                <w:sz w:val="18"/>
              </w:rPr>
              <w:t>Total</w:t>
            </w:r>
          </w:p>
        </w:tc>
        <w:tc>
          <w:tcPr>
            <w:tcW w:type="dxa" w:w="1296"/>
          </w:tcPr>
          <w:p>
            <w:r/>
            <w:r>
              <w:rPr>
                <w:sz w:val="18"/>
              </w:rPr>
              <w:t>312</w:t>
            </w:r>
          </w:p>
        </w:tc>
        <w:tc>
          <w:tcPr>
            <w:tcW w:type="dxa" w:w="1296"/>
          </w:tcPr>
          <w:p>
            <w:r/>
            <w:r>
              <w:rPr>
                <w:sz w:val="18"/>
              </w:rPr>
              <w:t>49</w:t>
            </w:r>
          </w:p>
        </w:tc>
        <w:tc>
          <w:tcPr>
            <w:tcW w:type="dxa" w:w="1440"/>
          </w:tcPr>
          <w:p>
            <w:r/>
            <w:r>
              <w:rPr>
                <w:sz w:val="18"/>
              </w:rPr>
              <w:t>100%</w:t>
            </w:r>
          </w:p>
        </w:tc>
      </w:tr>
    </w:tbl>
    <w:p/>
    <w:p>
      <w:r>
        <w:rPr>
          <w:b w:val="0"/>
          <w:i/>
        </w:rPr>
        <w:t>Caveat on the 249 "Defensible" entries: 246 of them were assessed on the face of the log only, because no sample document was provided. The authors, dates and roles fit the privilege claim, but the error rate in the sample was high. Of 49 sampled entries, only 3 were fully clean, and 46 had a defect. That means a document-level quality check of the unsampled population is required before certification (see Part VI).</w:t>
      </w:r>
    </w:p>
    <w:p>
      <w:pPr>
        <w:pStyle w:val="Heading1"/>
      </w:pPr>
      <w:r>
        <w:t>II. Governing Framework</w:t>
      </w:r>
    </w:p>
    <w:p>
      <w:pPr>
        <w:pStyle w:val="ListBullet"/>
      </w:pPr>
      <w:r>
        <w:t>Attorney-client privilege (federal common law, FRE 501; Upjohn). The communication must be (1) between privileged persons (client, lawyer, and their agents), (2) made in confidence, and (3) made to obtain or provide legal assistance. For in-house counsel, and for emails that mix business and legal content, the Third Circuit looks at whether the primary purpose was legal advice. Having a lawyer's name on a communication, or copying a lawyer, is not enough.</w:t>
      </w:r>
    </w:p>
    <w:p>
      <w:pPr>
        <w:pStyle w:val="ListBullet"/>
      </w:pPr>
      <w:r>
        <w:t>Work product (Fed. R. Civ. P. 26(b)(3)). The material must have been prepared "in anticipation of litigation." Documents that would have been prepared in substantially the same form anyway, in the ordinary course of business, are not protected. On this record, litigation was reasonably anticipated no earlier than the CLM engagement (January 6, 2020), and the threatened claims are clearly established by April 22, 2020, when the Pacific Mutual CIA recited them.</w:t>
      </w:r>
    </w:p>
    <w:p>
      <w:pPr>
        <w:pStyle w:val="ListBullet"/>
      </w:pPr>
      <w:r>
        <w:t>Common interest (In re Teleglobe, 493 F.3d 345 (3d Cir. 2007)). Protection applies only to communications between counsel that further a shared legal interest. Here it is also limited by the terms of the agreements. The Garfield CIA is effective August 3, 2021, is expressly non-retroactive (§§2.4, 5.4), and recites that there was no earlier agreement (§7.2). The Pacific Mutual CIA is effective April 22, 2020, excludes coverage disputes (§§2.5, 7.2), and excludes Ridgeline and Graystone (§§1.5, 7.3).</w:t>
      </w:r>
    </w:p>
    <w:p>
      <w:pPr>
        <w:pStyle w:val="ListBullet"/>
      </w:pPr>
      <w:r>
        <w:t>Testifying experts (Rule 26(a)(2)(B)(ii), 26(b)(4)(B)–(C)). Facts and data "considered" by a testifying expert must be disclosed. Drafts of the expert's report, and most communications between counsel and the expert, remain protected.</w:t>
      </w:r>
    </w:p>
    <w:p>
      <w:pPr>
        <w:pStyle w:val="ListBullet"/>
      </w:pPr>
      <w:r>
        <w:t>Waiver (FRE 502). An intentional disclosure waives privilege for the disclosed material. Under 502(a), it extends to undisclosed material on the same subject only if fairness requires. An inadvertent disclosure is not a waiver under 502(b) if reasonable precautions were taken and the error was promptly corrected.</w:t>
      </w:r>
    </w:p>
    <w:p>
      <w:pPr>
        <w:pStyle w:val="ListBullet"/>
      </w:pPr>
      <w:r>
        <w:t>Log adequacy (Rule 26(b)(5)(A)). Each entry must describe the withheld material well enough that the other side can assess the claim. Conclusory descriptions and wrong metadata can support a finding of waiver.</w:t>
      </w:r>
    </w:p>
    <w:p>
      <w:pPr>
        <w:pStyle w:val="Heading1"/>
      </w:pPr>
      <w:r>
        <w:t>III. Key Facts That Control Many Entries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F3864"/>
          </w:tcPr>
          <w:p>
            <w:r/>
            <w:r>
              <w:rPr>
                <w:b/>
                <w:color w:val="FFFFFF"/>
                <w:sz w:val="18"/>
              </w:rPr>
              <w:t>Fact</w:t>
            </w:r>
          </w:p>
        </w:tc>
        <w:tc>
          <w:tcPr>
            <w:tcW w:type="dxa" w:w="2160"/>
            <w:shd w:val="clear" w:color="auto" w:fill="1F3864"/>
          </w:tcPr>
          <w:p>
            <w:r/>
            <w:r>
              <w:rPr>
                <w:b/>
                <w:color w:val="FFFFFF"/>
                <w:sz w:val="18"/>
              </w:rPr>
              <w:t>Source</w:t>
            </w:r>
          </w:p>
        </w:tc>
        <w:tc>
          <w:tcPr>
            <w:tcW w:type="dxa" w:w="3744"/>
            <w:shd w:val="clear" w:color="auto" w:fill="1F3864"/>
          </w:tcPr>
          <w:p>
            <w:r/>
            <w:r>
              <w:rPr>
                <w:b/>
                <w:color w:val="FFFFFF"/>
                <w:sz w:val="18"/>
              </w:rPr>
              <w:t>Effect on Log</w:t>
            </w:r>
          </w:p>
        </w:tc>
      </w:tr>
      <w:tr>
        <w:tc>
          <w:tcPr>
            <w:tcW w:type="dxa" w:w="3456"/>
          </w:tcPr>
          <w:p>
            <w:r/>
            <w:r>
              <w:rPr>
                <w:sz w:val="18"/>
              </w:rPr>
              <w:t>Langford was VP of Regulatory Affairs (a business role) until March 14, 2019, and became GC on March 15, 2019</w:t>
            </w:r>
          </w:p>
        </w:tc>
        <w:tc>
          <w:tcPr>
            <w:tcW w:type="dxa" w:w="2160"/>
          </w:tcPr>
          <w:p>
            <w:r/>
            <w:r>
              <w:rPr>
                <w:sz w:val="18"/>
              </w:rPr>
              <w:t>Org chart §1</w:t>
            </w:r>
          </w:p>
        </w:tc>
        <w:tc>
          <w:tcPr>
            <w:tcW w:type="dxa" w:w="3744"/>
          </w:tcPr>
          <w:p>
            <w:r/>
            <w:r>
              <w:rPr>
                <w:sz w:val="18"/>
              </w:rPr>
              <w:t>ACP claims resting on Langford before 3/15/2019 fail (#1, 3–6, 8–10)</w:t>
            </w:r>
          </w:p>
        </w:tc>
      </w:tr>
      <w:tr>
        <w:tc>
          <w:tcPr>
            <w:tcW w:type="dxa" w:w="3456"/>
          </w:tcPr>
          <w:p>
            <w:r/>
            <w:r>
              <w:rPr>
                <w:sz w:val="18"/>
              </w:rPr>
              <w:t>No attorney-client relationship with CLM before January 6, 2020. The Nov/Dec 2019 contacts were "preliminary" and involved no legal advice</w:t>
            </w:r>
          </w:p>
        </w:tc>
        <w:tc>
          <w:tcPr>
            <w:tcW w:type="dxa" w:w="2160"/>
          </w:tcPr>
          <w:p>
            <w:r/>
            <w:r>
              <w:rPr>
                <w:sz w:val="18"/>
              </w:rPr>
              <w:t>Engagement letter §1</w:t>
            </w:r>
          </w:p>
        </w:tc>
        <w:tc>
          <w:tcPr>
            <w:tcW w:type="dxa" w:w="3744"/>
          </w:tcPr>
          <w:p>
            <w:r/>
            <w:r>
              <w:rPr>
                <w:sz w:val="18"/>
              </w:rPr>
              <w:t>#7 and #11 fail; #2 (dated 2017, cc Torano) is impossible on its face</w:t>
            </w:r>
          </w:p>
        </w:tc>
      </w:tr>
      <w:tr>
        <w:tc>
          <w:tcPr>
            <w:tcW w:type="dxa" w:w="3456"/>
          </w:tcPr>
          <w:p>
            <w:r/>
            <w:r>
              <w:rPr>
                <w:sz w:val="18"/>
              </w:rPr>
              <w:t>Molina is not a lawyer. Calling her "regulatory counsel" is informal only</w:t>
            </w:r>
          </w:p>
        </w:tc>
        <w:tc>
          <w:tcPr>
            <w:tcW w:type="dxa" w:w="2160"/>
          </w:tcPr>
          <w:p>
            <w:r/>
            <w:r>
              <w:rPr>
                <w:sz w:val="18"/>
              </w:rPr>
              <w:t>Org chart §5; DataStream protocol (#104)</w:t>
            </w:r>
          </w:p>
        </w:tc>
        <w:tc>
          <w:tcPr>
            <w:tcW w:type="dxa" w:w="3744"/>
          </w:tcPr>
          <w:p>
            <w:r/>
            <w:r>
              <w:rPr>
                <w:sz w:val="18"/>
              </w:rPr>
              <w:t>Molina-only communications fail (#31, 55, 89, 112, 141, 203)</w:t>
            </w:r>
          </w:p>
        </w:tc>
      </w:tr>
      <w:tr>
        <w:tc>
          <w:tcPr>
            <w:tcW w:type="dxa" w:w="3456"/>
          </w:tcPr>
          <w:p>
            <w:r/>
            <w:r>
              <w:rPr>
                <w:sz w:val="18"/>
              </w:rPr>
              <w:t>Graystone was retained under the 9/1/2018 MSA for routine auditing, with no CIA. Its reports say they were prepared "in the ordinary course"</w:t>
            </w:r>
          </w:p>
        </w:tc>
        <w:tc>
          <w:tcPr>
            <w:tcW w:type="dxa" w:w="2160"/>
          </w:tcPr>
          <w:p>
            <w:r/>
            <w:r>
              <w:rPr>
                <w:sz w:val="18"/>
              </w:rPr>
              <w:t>Org chart §7; reports</w:t>
            </w:r>
          </w:p>
        </w:tc>
        <w:tc>
          <w:tcPr>
            <w:tcW w:type="dxa" w:w="3744"/>
          </w:tcPr>
          <w:p>
            <w:r/>
            <w:r>
              <w:rPr>
                <w:sz w:val="18"/>
              </w:rPr>
              <w:t>Graystone reports fail as WP (#33, 58, 96, 134); the forward to Graystone waives (#78)</w:t>
            </w:r>
          </w:p>
        </w:tc>
      </w:tr>
      <w:tr>
        <w:tc>
          <w:tcPr>
            <w:tcW w:type="dxa" w:w="3456"/>
          </w:tcPr>
          <w:p>
            <w:r/>
            <w:r>
              <w:rPr>
                <w:sz w:val="18"/>
              </w:rPr>
              <w:t>Reese was designated a testifying expert on 1/15/2024. His 3/22/2022 report and the 2018–2021 Graystone audits are listed as materials considered</w:t>
            </w:r>
          </w:p>
        </w:tc>
        <w:tc>
          <w:tcPr>
            <w:tcW w:type="dxa" w:w="2160"/>
          </w:tcPr>
          <w:p>
            <w:r/>
            <w:r>
              <w:rPr>
                <w:sz w:val="18"/>
              </w:rPr>
              <w:t>Rule 26(a)(2) disclosures §II.D</w:t>
            </w:r>
          </w:p>
        </w:tc>
        <w:tc>
          <w:tcPr>
            <w:tcW w:type="dxa" w:w="3744"/>
          </w:tcPr>
          <w:p>
            <w:r/>
            <w:r>
              <w:rPr>
                <w:sz w:val="18"/>
              </w:rPr>
              <w:t>#199 must be produced, which reinforces the Graystone findings</w:t>
            </w:r>
          </w:p>
        </w:tc>
      </w:tr>
      <w:tr>
        <w:tc>
          <w:tcPr>
            <w:tcW w:type="dxa" w:w="3456"/>
          </w:tcPr>
          <w:p>
            <w:r/>
            <w:r>
              <w:rPr>
                <w:sz w:val="18"/>
              </w:rPr>
              <w:t>Garfield CIA: effective 8/3/2021 and non-retroactive</w:t>
            </w:r>
          </w:p>
        </w:tc>
        <w:tc>
          <w:tcPr>
            <w:tcW w:type="dxa" w:w="2160"/>
          </w:tcPr>
          <w:p>
            <w:r/>
            <w:r>
              <w:rPr>
                <w:sz w:val="18"/>
              </w:rPr>
              <w:t>Garfield CIA §§2.4, 5.4, 7.2</w:t>
            </w:r>
          </w:p>
        </w:tc>
        <w:tc>
          <w:tcPr>
            <w:tcW w:type="dxa" w:w="3744"/>
          </w:tcPr>
          <w:p>
            <w:r/>
            <w:r>
              <w:rPr>
                <w:sz w:val="18"/>
              </w:rPr>
              <w:t>Pre-agreement JCI claims fail (#85, 91)</w:t>
            </w:r>
          </w:p>
        </w:tc>
      </w:tr>
      <w:tr>
        <w:tc>
          <w:tcPr>
            <w:tcW w:type="dxa" w:w="3456"/>
          </w:tcPr>
          <w:p>
            <w:r/>
            <w:r>
              <w:rPr>
                <w:sz w:val="18"/>
              </w:rPr>
              <w:t>Pacific Mutual CIA: effective 4/22/2020; excludes coverage disputes, Ridgeline and Graystone</w:t>
            </w:r>
          </w:p>
        </w:tc>
        <w:tc>
          <w:tcPr>
            <w:tcW w:type="dxa" w:w="2160"/>
          </w:tcPr>
          <w:p>
            <w:r/>
            <w:r>
              <w:rPr>
                <w:sz w:val="18"/>
              </w:rPr>
              <w:t>PM CIA §§1.5, 2.5, 7.2, 7.3</w:t>
            </w:r>
          </w:p>
        </w:tc>
        <w:tc>
          <w:tcPr>
            <w:tcW w:type="dxa" w:w="3744"/>
          </w:tcPr>
          <w:p>
            <w:r/>
            <w:r>
              <w:rPr>
                <w:sz w:val="18"/>
              </w:rPr>
              <w:t>Disclosure to Ridgeline waives (#102); coverage communications at risk (#270, 281, 299)</w:t>
            </w:r>
          </w:p>
        </w:tc>
      </w:tr>
      <w:tr>
        <w:tc>
          <w:tcPr>
            <w:tcW w:type="dxa" w:w="3456"/>
          </w:tcPr>
          <w:p>
            <w:r/>
            <w:r>
              <w:rPr>
                <w:sz w:val="18"/>
              </w:rPr>
              <w:t>Brannigan was terminated 11/30/2022 and has no continuing relationship with Thornfield</w:t>
            </w:r>
          </w:p>
        </w:tc>
        <w:tc>
          <w:tcPr>
            <w:tcW w:type="dxa" w:w="2160"/>
          </w:tcPr>
          <w:p>
            <w:r/>
            <w:r>
              <w:rPr>
                <w:sz w:val="18"/>
              </w:rPr>
              <w:t>Org chart §3</w:t>
            </w:r>
          </w:p>
        </w:tc>
        <w:tc>
          <w:tcPr>
            <w:tcW w:type="dxa" w:w="3744"/>
          </w:tcPr>
          <w:p>
            <w:r/>
            <w:r>
              <w:rPr>
                <w:sz w:val="18"/>
              </w:rPr>
              <w:t>ACP for #210 (1/7/2023) is weak; WP is the better basis</w:t>
            </w:r>
          </w:p>
        </w:tc>
      </w:tr>
    </w:tbl>
    <w:p/>
    <w:p>
      <w:pPr>
        <w:pStyle w:val="Heading1"/>
      </w:pPr>
      <w:r>
        <w:t>IV. Categorized Findings</w:t>
      </w:r>
    </w:p>
    <w:p>
      <w:pPr>
        <w:pStyle w:val="Heading2"/>
      </w:pPr>
      <w:r>
        <w:t>A. Category 5 — Waived by Disclosure Outside the Privilege (5 entries)</w:t>
      </w:r>
    </w:p>
    <w:p>
      <w:r>
        <w:rPr>
          <w:b w:val="0"/>
          <w:i w:val="0"/>
        </w:rPr>
        <w:t>These entries raise the most serious exposure. In three of them (#78, #102, #128), the logged Bates range is a forward to an outsider, but the log describes only the underlying privileged communication. We recommend correcting these entries before anyone raises them. If plaintiffs find the problem themselves, it will damage our credibility on every other entry. #128 is the most urgent: the GC sent her own defense-strategy memo to NJDEP, which is a co-plaintiff, during settlement talks. Expect a motion for subject-matter waiver under FRE 502(a).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1F3864"/>
          </w:tcPr>
          <w:p>
            <w:r/>
            <w:r>
              <w:rPr>
                <w:b/>
                <w:color w:val="FFFFFF"/>
                <w:sz w:val="18"/>
              </w:rPr>
              <w:t>#</w:t>
            </w:r>
          </w:p>
        </w:tc>
        <w:tc>
          <w:tcPr>
            <w:tcW w:type="dxa" w:w="1872"/>
            <w:shd w:val="clear" w:color="auto" w:fill="1F3864"/>
          </w:tcPr>
          <w:p>
            <w:r/>
            <w:r>
              <w:rPr>
                <w:b/>
                <w:color w:val="FFFFFF"/>
                <w:sz w:val="18"/>
              </w:rPr>
              <w:t>Date / Parties</w:t>
            </w:r>
          </w:p>
        </w:tc>
        <w:tc>
          <w:tcPr>
            <w:tcW w:type="dxa" w:w="720"/>
            <w:shd w:val="clear" w:color="auto" w:fill="1F3864"/>
          </w:tcPr>
          <w:p>
            <w:r/>
            <w:r>
              <w:rPr>
                <w:b/>
                <w:color w:val="FFFFFF"/>
                <w:sz w:val="18"/>
              </w:rPr>
              <w:t>Basis</w:t>
            </w:r>
          </w:p>
        </w:tc>
        <w:tc>
          <w:tcPr>
            <w:tcW w:type="dxa" w:w="4176"/>
            <w:shd w:val="clear" w:color="auto" w:fill="1F3864"/>
          </w:tcPr>
          <w:p>
            <w:r/>
            <w:r>
              <w:rPr>
                <w:b/>
                <w:color w:val="FFFFFF"/>
                <w:sz w:val="18"/>
              </w:rPr>
              <w:t>Deficiency</w:t>
            </w:r>
          </w:p>
        </w:tc>
        <w:tc>
          <w:tcPr>
            <w:tcW w:type="dxa" w:w="2016"/>
            <w:shd w:val="clear" w:color="auto" w:fill="1F3864"/>
          </w:tcPr>
          <w:p>
            <w:r/>
            <w:r>
              <w:rPr>
                <w:b/>
                <w:color w:val="FFFFFF"/>
                <w:sz w:val="18"/>
              </w:rPr>
              <w:t>Action</w:t>
            </w:r>
          </w:p>
        </w:tc>
      </w:tr>
      <w:tr>
        <w:tc>
          <w:tcPr>
            <w:tcW w:type="dxa" w:w="576"/>
          </w:tcPr>
          <w:p>
            <w:r/>
            <w:r>
              <w:rPr>
                <w:sz w:val="18"/>
              </w:rPr>
              <w:t>78</w:t>
            </w:r>
          </w:p>
        </w:tc>
        <w:tc>
          <w:tcPr>
            <w:tcW w:type="dxa" w:w="1872"/>
          </w:tcPr>
          <w:p>
            <w:r/>
            <w:r>
              <w:rPr>
                <w:sz w:val="18"/>
              </w:rPr>
              <w:t>June 10, 2021</w:t>
              <w:br/>
              <w:t>Arjun Kapadia, Esq. → Catherine Marsh, Esq.</w:t>
            </w:r>
          </w:p>
        </w:tc>
        <w:tc>
          <w:tcPr>
            <w:tcW w:type="dxa" w:w="720"/>
          </w:tcPr>
          <w:p>
            <w:r/>
            <w:r>
              <w:rPr>
                <w:sz w:val="18"/>
              </w:rPr>
              <w:t>ACP</w:t>
            </w:r>
          </w:p>
        </w:tc>
        <w:tc>
          <w:tcPr>
            <w:tcW w:type="dxa" w:w="4176"/>
          </w:tcPr>
          <w:p>
            <w:r/>
            <w:r>
              <w:rPr>
                <w:sz w:val="18"/>
              </w:rPr>
              <w:t>Log describes a Kapadia-Marsh exchange (6/10/2021), but the logged document is Pruitt's 6/14/2021 forward of that exchange to Dr. Reese at Graystone "to help your work." Graystone was a routine MSA vendor with no CIA or counsel-directed retention at that time; Marsh's own email warned that sharing with Graystone could waive privilege. Reese is now a testifying expert, so anything he considered is discoverable. Log misidentifies author, recipient and date.</w:t>
            </w:r>
          </w:p>
        </w:tc>
        <w:tc>
          <w:tcPr>
            <w:tcW w:type="dxa" w:w="2016"/>
          </w:tcPr>
          <w:p>
            <w:r/>
            <w:r>
              <w:rPr>
                <w:sz w:val="18"/>
              </w:rPr>
              <w:t>Correct log to reflect the forward. Evaluate FRE 502(b) (unauthorized employee disclosure) and demand Graystone sequester; determine whether Reese considered it. Underlying 6/10-6/11 emails in Thornfield's own files may be separately logged, but expect waiver argument.</w:t>
            </w:r>
          </w:p>
        </w:tc>
      </w:tr>
      <w:tr>
        <w:tc>
          <w:tcPr>
            <w:tcW w:type="dxa" w:w="576"/>
          </w:tcPr>
          <w:p>
            <w:r/>
            <w:r>
              <w:rPr>
                <w:sz w:val="18"/>
              </w:rPr>
              <w:t>85</w:t>
            </w:r>
          </w:p>
        </w:tc>
        <w:tc>
          <w:tcPr>
            <w:tcW w:type="dxa" w:w="1872"/>
          </w:tcPr>
          <w:p>
            <w:r/>
            <w:r>
              <w:rPr>
                <w:sz w:val="18"/>
              </w:rPr>
              <w:t>March 15, 2021</w:t>
              <w:br/>
              <w:t>Catherine Marsh, Esq. → James Whitmore, Esq.</w:t>
            </w:r>
          </w:p>
        </w:tc>
        <w:tc>
          <w:tcPr>
            <w:tcW w:type="dxa" w:w="720"/>
          </w:tcPr>
          <w:p>
            <w:r/>
            <w:r>
              <w:rPr>
                <w:sz w:val="18"/>
              </w:rPr>
              <w:t>JCI</w:t>
            </w:r>
          </w:p>
        </w:tc>
        <w:tc>
          <w:tcPr>
            <w:tcW w:type="dxa" w:w="4176"/>
          </w:tcPr>
          <w:p>
            <w:r/>
            <w:r>
              <w:rPr>
                <w:sz w:val="18"/>
              </w:rPr>
              <w:t>JCI claimed, but sent 3/15/2021 - nearly 5 months before Garfield CIA (8/3/2021). CIA §2.4/§5.4 disclaim retroactivity and §7.2 recites no prior agreements. Email itself shows parties were only evaluating whether to cooperate and shares Thornfield's internal allocation analysis (65-70% Thornfield) with a co-defendant whose interests are adverse on allocation. Log falsely states "pursuant to common interest agreement."</w:t>
            </w:r>
          </w:p>
        </w:tc>
        <w:tc>
          <w:tcPr>
            <w:tcW w:type="dxa" w:w="2016"/>
          </w:tcPr>
          <w:p>
            <w:r/>
            <w:r>
              <w:rPr>
                <w:sz w:val="18"/>
              </w:rPr>
              <w:t>Withdraw JCI claim; produce (or assert only an informal Teleglobe common-interest argument, which is weak). Correct description.</w:t>
            </w:r>
          </w:p>
        </w:tc>
      </w:tr>
      <w:tr>
        <w:tc>
          <w:tcPr>
            <w:tcW w:type="dxa" w:w="576"/>
          </w:tcPr>
          <w:p>
            <w:r/>
            <w:r>
              <w:rPr>
                <w:sz w:val="18"/>
              </w:rPr>
              <w:t>91</w:t>
            </w:r>
          </w:p>
        </w:tc>
        <w:tc>
          <w:tcPr>
            <w:tcW w:type="dxa" w:w="1872"/>
          </w:tcPr>
          <w:p>
            <w:r/>
            <w:r>
              <w:rPr>
                <w:sz w:val="18"/>
              </w:rPr>
              <w:t>May 2, 2021</w:t>
              <w:br/>
              <w:t>Catherine Marsh, Esq. → James Whitmore, Esq.</w:t>
            </w:r>
          </w:p>
        </w:tc>
        <w:tc>
          <w:tcPr>
            <w:tcW w:type="dxa" w:w="720"/>
          </w:tcPr>
          <w:p>
            <w:r/>
            <w:r>
              <w:rPr>
                <w:sz w:val="18"/>
              </w:rPr>
              <w:t>JCI</w:t>
            </w:r>
          </w:p>
        </w:tc>
        <w:tc>
          <w:tcPr>
            <w:tcW w:type="dxa" w:w="4176"/>
          </w:tcPr>
          <w:p>
            <w:r/>
            <w:r>
              <w:rPr>
                <w:sz w:val="18"/>
              </w:rPr>
              <w:t>JCI claimed for 5/2/2021 draft joint defense memo sent to Garfield counsel pre-CIA; memo itself says the arrangement is not yet formalized. CIA expressly non-retroactive. Contains Thornfield's allocation position (Garfield 35-45%).</w:t>
            </w:r>
          </w:p>
        </w:tc>
        <w:tc>
          <w:tcPr>
            <w:tcW w:type="dxa" w:w="2016"/>
          </w:tcPr>
          <w:p>
            <w:r/>
            <w:r>
              <w:rPr>
                <w:sz w:val="18"/>
              </w:rPr>
              <w:t>Withdraw JCI claim or prepare fallback informal common-interest argument (stronger than #85 because memo reflects a shared defense purpose); expect to lose. Correct description.</w:t>
            </w:r>
          </w:p>
        </w:tc>
      </w:tr>
      <w:tr>
        <w:tc>
          <w:tcPr>
            <w:tcW w:type="dxa" w:w="576"/>
          </w:tcPr>
          <w:p>
            <w:r/>
            <w:r>
              <w:rPr>
                <w:sz w:val="18"/>
              </w:rPr>
              <w:t>102</w:t>
            </w:r>
          </w:p>
        </w:tc>
        <w:tc>
          <w:tcPr>
            <w:tcW w:type="dxa" w:w="1872"/>
          </w:tcPr>
          <w:p>
            <w:r/>
            <w:r>
              <w:rPr>
                <w:sz w:val="18"/>
              </w:rPr>
              <w:t>September 8, 2020</w:t>
              <w:br/>
              <w:t>Catherine Marsh, Esq. → Margaret Langford, Esq.</w:t>
            </w:r>
          </w:p>
        </w:tc>
        <w:tc>
          <w:tcPr>
            <w:tcW w:type="dxa" w:w="720"/>
          </w:tcPr>
          <w:p>
            <w:r/>
            <w:r>
              <w:rPr>
                <w:sz w:val="18"/>
              </w:rPr>
              <w:t>ACP</w:t>
            </w:r>
          </w:p>
        </w:tc>
        <w:tc>
          <w:tcPr>
            <w:tcW w:type="dxa" w:w="4176"/>
          </w:tcPr>
          <w:p>
            <w:r/>
            <w:r>
              <w:rPr>
                <w:sz w:val="18"/>
              </w:rPr>
              <w:t>Log describes Marsh-to-Langford 9/8/2020 litigation assessment, but document is Langford's 9/10/2020 forward of the full assessment to Annette Sorensen at Ridgeline Risk Partners (insurance broker) for a policy-renewal submission. Ridgeline is not a law firm and is excluded from both CIAs; GC's own 8/30/2020 memo warned not to share with Ridgeline. Voluntary disclosure by an authorized officer.</w:t>
            </w:r>
          </w:p>
        </w:tc>
        <w:tc>
          <w:tcPr>
            <w:tcW w:type="dxa" w:w="2016"/>
          </w:tcPr>
          <w:p>
            <w:r/>
            <w:r>
              <w:rPr>
                <w:sz w:val="18"/>
              </w:rPr>
              <w:t>Correct log. Treat as waived; request Ridgeline return/destroy; assess FRE 502(a) subject-matter waiver exposure.</w:t>
            </w:r>
          </w:p>
        </w:tc>
      </w:tr>
      <w:tr>
        <w:tc>
          <w:tcPr>
            <w:tcW w:type="dxa" w:w="576"/>
          </w:tcPr>
          <w:p>
            <w:r/>
            <w:r>
              <w:rPr>
                <w:sz w:val="18"/>
              </w:rPr>
              <w:t>128</w:t>
            </w:r>
          </w:p>
        </w:tc>
        <w:tc>
          <w:tcPr>
            <w:tcW w:type="dxa" w:w="1872"/>
          </w:tcPr>
          <w:p>
            <w:r/>
            <w:r>
              <w:rPr>
                <w:sz w:val="18"/>
              </w:rPr>
              <w:t>August 30, 2020</w:t>
              <w:br/>
              <w:t>Margaret Langford, Esq. → Richard Voss</w:t>
            </w:r>
          </w:p>
        </w:tc>
        <w:tc>
          <w:tcPr>
            <w:tcW w:type="dxa" w:w="720"/>
          </w:tcPr>
          <w:p>
            <w:r/>
            <w:r>
              <w:rPr>
                <w:sz w:val="18"/>
              </w:rPr>
              <w:t>ACP</w:t>
            </w:r>
          </w:p>
        </w:tc>
        <w:tc>
          <w:tcPr>
            <w:tcW w:type="dxa" w:w="4176"/>
          </w:tcPr>
          <w:p>
            <w:r/>
            <w:r>
              <w:rPr>
                <w:sz w:val="18"/>
              </w:rPr>
              <w:t>Log describes 8/30/2020 GC-to-CEO memo, but the logged Bates range begins with GC's 9/15/2020 transmittal of that memo to NJDEP Asst. Commissioner Bettini - an opposing party (co-plaintiff) - in settlement talks. Voluntary disclosure to an adversary waives privilege; the memo itself warned that disclosure would waive. Log omits the transmittal and recipient.</w:t>
            </w:r>
          </w:p>
        </w:tc>
        <w:tc>
          <w:tcPr>
            <w:tcW w:type="dxa" w:w="2016"/>
          </w:tcPr>
          <w:p>
            <w:r/>
            <w:r>
              <w:rPr>
                <w:sz w:val="18"/>
              </w:rPr>
              <w:t>Correct log; withdraw claim for the disclosed memo. Prepare for FRE 502(a) subject-matter waiver motion; consider FRE 408 limits on use. Escalate to Langford immediately.</w:t>
            </w:r>
          </w:p>
        </w:tc>
      </w:tr>
    </w:tbl>
    <w:p/>
    <w:p>
      <w:pPr>
        <w:pStyle w:val="Heading2"/>
      </w:pPr>
      <w:r>
        <w:t>B. Category 4 — Not Defensible; Withdraw and Produce (27 entries)</w:t>
      </w:r>
    </w:p>
    <w:p>
      <w:r>
        <w:rPr>
          <w:b w:val="0"/>
          <w:i w:val="0"/>
        </w:rPr>
        <w:t>These entries fall into six patterns: (1) Langford before she became GC (9 entries, including the impossible 2017 CLM entry #2); (2) CLM marketing emails from before the engagement (#7, #11); (3) non-lawyer Molina (#31, 55, 89, 112, 141, 203); (4) routine Graystone reports claimed as WP (#33, 58, 96, 134), plus the Reese report that must be produced now that he is a testifying expert (#199); (5) business emails with no lawyer involved (#24, 67, 162, 198); and (6) the entry that lists no author or recipient (#288). For every sampled document in this category, the log description contradicts the document. Withdrawing these claims voluntarily, before a motion to compel, is the best way to protect the credibility of the remaining log.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1F3864"/>
          </w:tcPr>
          <w:p>
            <w:r/>
            <w:r>
              <w:rPr>
                <w:b/>
                <w:color w:val="FFFFFF"/>
                <w:sz w:val="18"/>
              </w:rPr>
              <w:t>#</w:t>
            </w:r>
          </w:p>
        </w:tc>
        <w:tc>
          <w:tcPr>
            <w:tcW w:type="dxa" w:w="1872"/>
            <w:shd w:val="clear" w:color="auto" w:fill="1F3864"/>
          </w:tcPr>
          <w:p>
            <w:r/>
            <w:r>
              <w:rPr>
                <w:b/>
                <w:color w:val="FFFFFF"/>
                <w:sz w:val="18"/>
              </w:rPr>
              <w:t>Date / Parties</w:t>
            </w:r>
          </w:p>
        </w:tc>
        <w:tc>
          <w:tcPr>
            <w:tcW w:type="dxa" w:w="720"/>
            <w:shd w:val="clear" w:color="auto" w:fill="1F3864"/>
          </w:tcPr>
          <w:p>
            <w:r/>
            <w:r>
              <w:rPr>
                <w:b/>
                <w:color w:val="FFFFFF"/>
                <w:sz w:val="18"/>
              </w:rPr>
              <w:t>Basis</w:t>
            </w:r>
          </w:p>
        </w:tc>
        <w:tc>
          <w:tcPr>
            <w:tcW w:type="dxa" w:w="4176"/>
            <w:shd w:val="clear" w:color="auto" w:fill="1F3864"/>
          </w:tcPr>
          <w:p>
            <w:r/>
            <w:r>
              <w:rPr>
                <w:b/>
                <w:color w:val="FFFFFF"/>
                <w:sz w:val="18"/>
              </w:rPr>
              <w:t>Deficiency</w:t>
            </w:r>
          </w:p>
        </w:tc>
        <w:tc>
          <w:tcPr>
            <w:tcW w:type="dxa" w:w="2016"/>
            <w:shd w:val="clear" w:color="auto" w:fill="1F3864"/>
          </w:tcPr>
          <w:p>
            <w:r/>
            <w:r>
              <w:rPr>
                <w:b/>
                <w:color w:val="FFFFFF"/>
                <w:sz w:val="18"/>
              </w:rPr>
              <w:t>Action</w:t>
            </w:r>
          </w:p>
        </w:tc>
      </w:tr>
      <w:tr>
        <w:tc>
          <w:tcPr>
            <w:tcW w:type="dxa" w:w="576"/>
          </w:tcPr>
          <w:p>
            <w:r/>
            <w:r>
              <w:rPr>
                <w:sz w:val="18"/>
              </w:rPr>
              <w:t>1</w:t>
            </w:r>
          </w:p>
        </w:tc>
        <w:tc>
          <w:tcPr>
            <w:tcW w:type="dxa" w:w="1872"/>
          </w:tcPr>
          <w:p>
            <w:r/>
            <w:r>
              <w:rPr>
                <w:sz w:val="18"/>
              </w:rPr>
              <w:t>January 3, 2017</w:t>
              <w:br/>
              <w:t>Margaret Langford, Esq. → Donald Pruitt</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w:t>
            </w:r>
          </w:p>
        </w:tc>
        <w:tc>
          <w:tcPr>
            <w:tcW w:type="dxa" w:w="2016"/>
          </w:tcPr>
          <w:p>
            <w:r/>
            <w:r>
              <w:rPr>
                <w:sz w:val="18"/>
              </w:rPr>
              <w:t>Withdraw ACP claim; produce in full. Correct any description characterizing Langford as counsel.</w:t>
            </w:r>
          </w:p>
        </w:tc>
      </w:tr>
      <w:tr>
        <w:tc>
          <w:tcPr>
            <w:tcW w:type="dxa" w:w="576"/>
          </w:tcPr>
          <w:p>
            <w:r/>
            <w:r>
              <w:rPr>
                <w:sz w:val="18"/>
              </w:rPr>
              <w:t>2</w:t>
            </w:r>
          </w:p>
        </w:tc>
        <w:tc>
          <w:tcPr>
            <w:tcW w:type="dxa" w:w="1872"/>
          </w:tcPr>
          <w:p>
            <w:r/>
            <w:r>
              <w:rPr>
                <w:sz w:val="18"/>
              </w:rPr>
              <w:t>March 14, 2017</w:t>
              <w:br/>
              <w:t>Catherine Marsh, Esq. → Margaret Langford, Esq.</w:t>
            </w:r>
          </w:p>
        </w:tc>
        <w:tc>
          <w:tcPr>
            <w:tcW w:type="dxa" w:w="720"/>
          </w:tcPr>
          <w:p>
            <w:r/>
            <w:r>
              <w:rPr>
                <w:sz w:val="18"/>
              </w:rPr>
              <w:t>ACP/WP</w:t>
            </w:r>
          </w:p>
        </w:tc>
        <w:tc>
          <w:tcPr>
            <w:tcW w:type="dxa" w:w="4176"/>
          </w:tcPr>
          <w:p>
            <w:r/>
            <w:r>
              <w:rPr>
                <w:sz w:val="18"/>
              </w:rPr>
              <w:t>Dated 3/14/2017: predates CLM engagement (1/6/2020) by ~3 years, predates Langford GC appointment and Torano staffing (Jan 2020). No attorney-client relationship and no anticipated litigation in 2017 for WP. Either date is wrong or claim is baseless.</w:t>
            </w:r>
          </w:p>
        </w:tc>
        <w:tc>
          <w:tcPr>
            <w:tcW w:type="dxa" w:w="2016"/>
          </w:tcPr>
          <w:p>
            <w:r/>
            <w:r>
              <w:rPr>
                <w:sz w:val="18"/>
              </w:rPr>
              <w:t>Confirm true date from metadata. If 2017 date is accurate, withdraw ACP/WP and produce; if mis-dated, correct log and re-assess.</w:t>
            </w:r>
          </w:p>
        </w:tc>
      </w:tr>
      <w:tr>
        <w:tc>
          <w:tcPr>
            <w:tcW w:type="dxa" w:w="576"/>
          </w:tcPr>
          <w:p>
            <w:r/>
            <w:r>
              <w:rPr>
                <w:sz w:val="18"/>
              </w:rPr>
              <w:t>3</w:t>
            </w:r>
          </w:p>
        </w:tc>
        <w:tc>
          <w:tcPr>
            <w:tcW w:type="dxa" w:w="1872"/>
          </w:tcPr>
          <w:p>
            <w:r/>
            <w:r>
              <w:rPr>
                <w:sz w:val="18"/>
              </w:rPr>
              <w:t>February 8, 2018</w:t>
              <w:br/>
              <w:t>Margaret Langford, Esq. → Donald Pruitt</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 Document confirms VP Regulatory Affairs signature block and purely operational content.</w:t>
            </w:r>
          </w:p>
        </w:tc>
        <w:tc>
          <w:tcPr>
            <w:tcW w:type="dxa" w:w="2016"/>
          </w:tcPr>
          <w:p>
            <w:r/>
            <w:r>
              <w:rPr>
                <w:sz w:val="18"/>
              </w:rPr>
              <w:t>Withdraw ACP claim; produce in full. Correct any description characterizing Langford as counsel.</w:t>
            </w:r>
          </w:p>
        </w:tc>
      </w:tr>
      <w:tr>
        <w:tc>
          <w:tcPr>
            <w:tcW w:type="dxa" w:w="576"/>
          </w:tcPr>
          <w:p>
            <w:r/>
            <w:r>
              <w:rPr>
                <w:sz w:val="18"/>
              </w:rPr>
              <w:t>4</w:t>
            </w:r>
          </w:p>
        </w:tc>
        <w:tc>
          <w:tcPr>
            <w:tcW w:type="dxa" w:w="1872"/>
          </w:tcPr>
          <w:p>
            <w:r/>
            <w:r>
              <w:rPr>
                <w:sz w:val="18"/>
              </w:rPr>
              <w:t>May 15, 2018</w:t>
              <w:br/>
              <w:t>Margaret Langford, Esq. → Richard Voss</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w:t>
            </w:r>
          </w:p>
        </w:tc>
        <w:tc>
          <w:tcPr>
            <w:tcW w:type="dxa" w:w="2016"/>
          </w:tcPr>
          <w:p>
            <w:r/>
            <w:r>
              <w:rPr>
                <w:sz w:val="18"/>
              </w:rPr>
              <w:t>Withdraw ACP claim; produce in full. Correct any description characterizing Langford as counsel.</w:t>
            </w:r>
          </w:p>
        </w:tc>
      </w:tr>
      <w:tr>
        <w:tc>
          <w:tcPr>
            <w:tcW w:type="dxa" w:w="576"/>
          </w:tcPr>
          <w:p>
            <w:r/>
            <w:r>
              <w:rPr>
                <w:sz w:val="18"/>
              </w:rPr>
              <w:t>5</w:t>
            </w:r>
          </w:p>
        </w:tc>
        <w:tc>
          <w:tcPr>
            <w:tcW w:type="dxa" w:w="1872"/>
          </w:tcPr>
          <w:p>
            <w:r/>
            <w:r>
              <w:rPr>
                <w:sz w:val="18"/>
              </w:rPr>
              <w:t>July 22, 2018</w:t>
              <w:br/>
              <w:t>Margaret Langford, Esq. → Sandra Choi</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 Document confirms VP Regulatory Affairs signature block and purely operational content.</w:t>
            </w:r>
          </w:p>
        </w:tc>
        <w:tc>
          <w:tcPr>
            <w:tcW w:type="dxa" w:w="2016"/>
          </w:tcPr>
          <w:p>
            <w:r/>
            <w:r>
              <w:rPr>
                <w:sz w:val="18"/>
              </w:rPr>
              <w:t>Withdraw ACP claim; produce in full. Correct any description characterizing Langford as counsel.</w:t>
            </w:r>
          </w:p>
        </w:tc>
      </w:tr>
      <w:tr>
        <w:tc>
          <w:tcPr>
            <w:tcW w:type="dxa" w:w="576"/>
          </w:tcPr>
          <w:p>
            <w:r/>
            <w:r>
              <w:rPr>
                <w:sz w:val="18"/>
              </w:rPr>
              <w:t>6</w:t>
            </w:r>
          </w:p>
        </w:tc>
        <w:tc>
          <w:tcPr>
            <w:tcW w:type="dxa" w:w="1872"/>
          </w:tcPr>
          <w:p>
            <w:r/>
            <w:r>
              <w:rPr>
                <w:sz w:val="18"/>
              </w:rPr>
              <w:t>September 10, 2018</w:t>
              <w:br/>
              <w:t>Margaret Langford, Esq. → Donald Pruitt</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w:t>
            </w:r>
          </w:p>
        </w:tc>
        <w:tc>
          <w:tcPr>
            <w:tcW w:type="dxa" w:w="2016"/>
          </w:tcPr>
          <w:p>
            <w:r/>
            <w:r>
              <w:rPr>
                <w:sz w:val="18"/>
              </w:rPr>
              <w:t>Withdraw ACP claim; produce in full. Correct any description characterizing Langford as counsel.</w:t>
            </w:r>
          </w:p>
        </w:tc>
      </w:tr>
      <w:tr>
        <w:tc>
          <w:tcPr>
            <w:tcW w:type="dxa" w:w="576"/>
          </w:tcPr>
          <w:p>
            <w:r/>
            <w:r>
              <w:rPr>
                <w:sz w:val="18"/>
              </w:rPr>
              <w:t>7</w:t>
            </w:r>
          </w:p>
        </w:tc>
        <w:tc>
          <w:tcPr>
            <w:tcW w:type="dxa" w:w="1872"/>
          </w:tcPr>
          <w:p>
            <w:r/>
            <w:r>
              <w:rPr>
                <w:sz w:val="18"/>
              </w:rPr>
              <w:t>November 12, 2019</w:t>
              <w:br/>
              <w:t>Catherine Marsh, Esq. → Richard Voss</w:t>
            </w:r>
          </w:p>
        </w:tc>
        <w:tc>
          <w:tcPr>
            <w:tcW w:type="dxa" w:w="720"/>
          </w:tcPr>
          <w:p>
            <w:r/>
            <w:r>
              <w:rPr>
                <w:sz w:val="18"/>
              </w:rPr>
              <w:t>ACP</w:t>
            </w:r>
          </w:p>
        </w:tc>
        <w:tc>
          <w:tcPr>
            <w:tcW w:type="dxa" w:w="4176"/>
          </w:tcPr>
          <w:p>
            <w:r/>
            <w:r>
              <w:rPr>
                <w:sz w:val="18"/>
              </w:rPr>
              <w:t>Doc is an unsolicited marketing/introduction email from Marsh to Voss after a trade-conference meeting. Engagement letter states pre-1/6/2020 communications were "preliminary," involved no legal advice, and no attorney-client relationship existed. Log description ("litigation strategy and legal analysis of CERCLA exposure") misrepresents content.</w:t>
            </w:r>
          </w:p>
        </w:tc>
        <w:tc>
          <w:tcPr>
            <w:tcW w:type="dxa" w:w="2016"/>
          </w:tcPr>
          <w:p>
            <w:r/>
            <w:r>
              <w:rPr>
                <w:sz w:val="18"/>
              </w:rPr>
              <w:t>Withdraw; produce. Correct description (Rule 26(g) exposure).</w:t>
            </w:r>
          </w:p>
        </w:tc>
      </w:tr>
      <w:tr>
        <w:tc>
          <w:tcPr>
            <w:tcW w:type="dxa" w:w="576"/>
          </w:tcPr>
          <w:p>
            <w:r/>
            <w:r>
              <w:rPr>
                <w:sz w:val="18"/>
              </w:rPr>
              <w:t>8</w:t>
            </w:r>
          </w:p>
        </w:tc>
        <w:tc>
          <w:tcPr>
            <w:tcW w:type="dxa" w:w="1872"/>
          </w:tcPr>
          <w:p>
            <w:r/>
            <w:r>
              <w:rPr>
                <w:sz w:val="18"/>
              </w:rPr>
              <w:t>November 28, 2018</w:t>
              <w:br/>
              <w:t>Margaret Langford, Esq. → Donald Pruitt</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w:t>
            </w:r>
          </w:p>
        </w:tc>
        <w:tc>
          <w:tcPr>
            <w:tcW w:type="dxa" w:w="2016"/>
          </w:tcPr>
          <w:p>
            <w:r/>
            <w:r>
              <w:rPr>
                <w:sz w:val="18"/>
              </w:rPr>
              <w:t>Withdraw ACP claim; produce in full. Correct any description characterizing Langford as counsel.</w:t>
            </w:r>
          </w:p>
        </w:tc>
      </w:tr>
      <w:tr>
        <w:tc>
          <w:tcPr>
            <w:tcW w:type="dxa" w:w="576"/>
          </w:tcPr>
          <w:p>
            <w:r/>
            <w:r>
              <w:rPr>
                <w:sz w:val="18"/>
              </w:rPr>
              <w:t>9</w:t>
            </w:r>
          </w:p>
        </w:tc>
        <w:tc>
          <w:tcPr>
            <w:tcW w:type="dxa" w:w="1872"/>
          </w:tcPr>
          <w:p>
            <w:r/>
            <w:r>
              <w:rPr>
                <w:sz w:val="18"/>
              </w:rPr>
              <w:t>January 15, 2019</w:t>
              <w:br/>
              <w:t>Margaret Langford, Esq. → Richard Voss</w:t>
            </w:r>
          </w:p>
        </w:tc>
        <w:tc>
          <w:tcPr>
            <w:tcW w:type="dxa" w:w="720"/>
          </w:tcPr>
          <w:p>
            <w:r/>
            <w:r>
              <w:rPr>
                <w:sz w:val="18"/>
              </w:rPr>
              <w:t>ACP</w:t>
            </w:r>
          </w:p>
        </w:tc>
        <w:tc>
          <w:tcPr>
            <w:tcW w:type="dxa" w:w="4176"/>
          </w:tcPr>
          <w:p>
            <w:r/>
            <w:r>
              <w:rPr>
                <w:sz w:val="18"/>
              </w:rPr>
              <w:t>Langford signs as "VP of Regulatory Affairs" (pre-GC). Memo summarizes Graystone routine audit findings and budget; no legal advice. Log description ("legal analysis") is inaccurate.</w:t>
            </w:r>
          </w:p>
        </w:tc>
        <w:tc>
          <w:tcPr>
            <w:tcW w:type="dxa" w:w="2016"/>
          </w:tcPr>
          <w:p>
            <w:r/>
            <w:r>
              <w:rPr>
                <w:sz w:val="18"/>
              </w:rPr>
              <w:t>Withdraw ACP claim; produce in full.</w:t>
            </w:r>
          </w:p>
        </w:tc>
      </w:tr>
      <w:tr>
        <w:tc>
          <w:tcPr>
            <w:tcW w:type="dxa" w:w="576"/>
          </w:tcPr>
          <w:p>
            <w:r/>
            <w:r>
              <w:rPr>
                <w:sz w:val="18"/>
              </w:rPr>
              <w:t>10</w:t>
            </w:r>
          </w:p>
        </w:tc>
        <w:tc>
          <w:tcPr>
            <w:tcW w:type="dxa" w:w="1872"/>
          </w:tcPr>
          <w:p>
            <w:r/>
            <w:r>
              <w:rPr>
                <w:sz w:val="18"/>
              </w:rPr>
              <w:t>February 20, 2019</w:t>
              <w:br/>
              <w:t>Margaret Langford, Esq. → Donald Pruitt</w:t>
            </w:r>
          </w:p>
        </w:tc>
        <w:tc>
          <w:tcPr>
            <w:tcW w:type="dxa" w:w="720"/>
          </w:tcPr>
          <w:p>
            <w:r/>
            <w:r>
              <w:rPr>
                <w:sz w:val="18"/>
              </w:rPr>
              <w:t>ACP</w:t>
            </w:r>
          </w:p>
        </w:tc>
        <w:tc>
          <w:tcPr>
            <w:tcW w:type="dxa" w:w="4176"/>
          </w:tcPr>
          <w:p>
            <w:r/>
            <w:r>
              <w:rPr>
                <w:sz w:val="18"/>
              </w:rPr>
              <w:t>Langford was VP of Regulatory Affairs (business role) until 3/14/2019; org chart confirms she gave no legal advice in that role. No attorney acting as counsel is a party. Log mislabels her as "counsel".</w:t>
            </w:r>
          </w:p>
        </w:tc>
        <w:tc>
          <w:tcPr>
            <w:tcW w:type="dxa" w:w="2016"/>
          </w:tcPr>
          <w:p>
            <w:r/>
            <w:r>
              <w:rPr>
                <w:sz w:val="18"/>
              </w:rPr>
              <w:t>Withdraw ACP claim; produce in full. Correct any description characterizing Langford as counsel.</w:t>
            </w:r>
          </w:p>
        </w:tc>
      </w:tr>
      <w:tr>
        <w:tc>
          <w:tcPr>
            <w:tcW w:type="dxa" w:w="576"/>
          </w:tcPr>
          <w:p>
            <w:r/>
            <w:r>
              <w:rPr>
                <w:sz w:val="18"/>
              </w:rPr>
              <w:t>11</w:t>
            </w:r>
          </w:p>
        </w:tc>
        <w:tc>
          <w:tcPr>
            <w:tcW w:type="dxa" w:w="1872"/>
          </w:tcPr>
          <w:p>
            <w:r/>
            <w:r>
              <w:rPr>
                <w:sz w:val="18"/>
              </w:rPr>
              <w:t>December 3, 2019</w:t>
              <w:br/>
              <w:t>Catherine Marsh, Esq. → Richard Voss</w:t>
            </w:r>
          </w:p>
        </w:tc>
        <w:tc>
          <w:tcPr>
            <w:tcW w:type="dxa" w:w="720"/>
          </w:tcPr>
          <w:p>
            <w:r/>
            <w:r>
              <w:rPr>
                <w:sz w:val="18"/>
              </w:rPr>
              <w:t>ACP</w:t>
            </w:r>
          </w:p>
        </w:tc>
        <w:tc>
          <w:tcPr>
            <w:tcW w:type="dxa" w:w="4176"/>
          </w:tcPr>
          <w:p>
            <w:r/>
            <w:r>
              <w:rPr>
                <w:sz w:val="18"/>
              </w:rPr>
              <w:t>Follow-up marketing email transmitting standard engagement terms (12/3/2019), pre-engagement. No legal advice; engagement letter disclaims privilege for this period.</w:t>
            </w:r>
          </w:p>
        </w:tc>
        <w:tc>
          <w:tcPr>
            <w:tcW w:type="dxa" w:w="2016"/>
          </w:tcPr>
          <w:p>
            <w:r/>
            <w:r>
              <w:rPr>
                <w:sz w:val="18"/>
              </w:rPr>
              <w:t>Withdraw; produce with attachment.</w:t>
            </w:r>
          </w:p>
        </w:tc>
      </w:tr>
      <w:tr>
        <w:tc>
          <w:tcPr>
            <w:tcW w:type="dxa" w:w="576"/>
          </w:tcPr>
          <w:p>
            <w:r/>
            <w:r>
              <w:rPr>
                <w:sz w:val="18"/>
              </w:rPr>
              <w:t>24</w:t>
            </w:r>
          </w:p>
        </w:tc>
        <w:tc>
          <w:tcPr>
            <w:tcW w:type="dxa" w:w="1872"/>
          </w:tcPr>
          <w:p>
            <w:r/>
            <w:r>
              <w:rPr>
                <w:sz w:val="18"/>
              </w:rPr>
              <w:t>April 5, 2020</w:t>
              <w:br/>
              <w:t>Donald Pruitt → Sandra Choi</w:t>
            </w:r>
          </w:p>
        </w:tc>
        <w:tc>
          <w:tcPr>
            <w:tcW w:type="dxa" w:w="720"/>
          </w:tcPr>
          <w:p>
            <w:r/>
            <w:r>
              <w:rPr>
                <w:sz w:val="18"/>
              </w:rPr>
              <w:t>ACP</w:t>
            </w:r>
          </w:p>
        </w:tc>
        <w:tc>
          <w:tcPr>
            <w:tcW w:type="dxa" w:w="4176"/>
          </w:tcPr>
          <w:p>
            <w:r/>
            <w:r>
              <w:rPr>
                <w:sz w:val="18"/>
              </w:rPr>
              <w:t>Pruitt (VP EHS) to Choi (Dir. Ops) - no attorney author, recipient or cc. Remediation budget/capex planning; ordinary business.</w:t>
            </w:r>
          </w:p>
        </w:tc>
        <w:tc>
          <w:tcPr>
            <w:tcW w:type="dxa" w:w="2016"/>
          </w:tcPr>
          <w:p>
            <w:r/>
            <w:r>
              <w:rPr>
                <w:sz w:val="18"/>
              </w:rPr>
              <w:t>Withdraw ACP claim; produce.</w:t>
            </w:r>
          </w:p>
        </w:tc>
      </w:tr>
      <w:tr>
        <w:tc>
          <w:tcPr>
            <w:tcW w:type="dxa" w:w="576"/>
          </w:tcPr>
          <w:p>
            <w:r/>
            <w:r>
              <w:rPr>
                <w:sz w:val="18"/>
              </w:rPr>
              <w:t>31</w:t>
            </w:r>
          </w:p>
        </w:tc>
        <w:tc>
          <w:tcPr>
            <w:tcW w:type="dxa" w:w="1872"/>
          </w:tcPr>
          <w:p>
            <w:r/>
            <w:r>
              <w:rPr>
                <w:sz w:val="18"/>
              </w:rPr>
              <w:t>May 18, 2020</w:t>
              <w:br/>
              <w:t>Teresa Molina → Donald Pruitt</w:t>
            </w:r>
          </w:p>
        </w:tc>
        <w:tc>
          <w:tcPr>
            <w:tcW w:type="dxa" w:w="720"/>
          </w:tcPr>
          <w:p>
            <w:r/>
            <w:r>
              <w:rPr>
                <w:sz w:val="18"/>
              </w:rPr>
              <w:t>ACP</w:t>
            </w:r>
          </w:p>
        </w:tc>
        <w:tc>
          <w:tcPr>
            <w:tcW w:type="dxa" w:w="4176"/>
          </w:tcPr>
          <w:p>
            <w:r/>
            <w:r>
              <w:rPr>
                <w:sz w:val="18"/>
              </w:rPr>
              <w:t>Molina (VP Gov. Relations) is not an attorney; informal "regulatory counsel" label is irrelevant (org chart). Recipient Pruitt is non-attorney. Content is NJDEP meeting messaging/PR. Log falsely describes as "communication with counsel."</w:t>
            </w:r>
          </w:p>
        </w:tc>
        <w:tc>
          <w:tcPr>
            <w:tcW w:type="dxa" w:w="2016"/>
          </w:tcPr>
          <w:p>
            <w:r/>
            <w:r>
              <w:rPr>
                <w:sz w:val="18"/>
              </w:rPr>
              <w:t>Withdraw; produce; correct description.</w:t>
            </w:r>
          </w:p>
        </w:tc>
      </w:tr>
      <w:tr>
        <w:tc>
          <w:tcPr>
            <w:tcW w:type="dxa" w:w="576"/>
          </w:tcPr>
          <w:p>
            <w:r/>
            <w:r>
              <w:rPr>
                <w:sz w:val="18"/>
              </w:rPr>
              <w:t>33</w:t>
            </w:r>
          </w:p>
        </w:tc>
        <w:tc>
          <w:tcPr>
            <w:tcW w:type="dxa" w:w="1872"/>
          </w:tcPr>
          <w:p>
            <w:r/>
            <w:r>
              <w:rPr>
                <w:sz w:val="18"/>
              </w:rPr>
              <w:t>December 15, 2018</w:t>
              <w:br/>
              <w:t>Dr. Franklin Reese → Donald Pruitt</w:t>
            </w:r>
          </w:p>
        </w:tc>
        <w:tc>
          <w:tcPr>
            <w:tcW w:type="dxa" w:w="720"/>
          </w:tcPr>
          <w:p>
            <w:r/>
            <w:r>
              <w:rPr>
                <w:sz w:val="18"/>
              </w:rPr>
              <w:t>WP</w:t>
            </w:r>
          </w:p>
        </w:tc>
        <w:tc>
          <w:tcPr>
            <w:tcW w:type="dxa" w:w="4176"/>
          </w:tcPr>
          <w:p>
            <w:r/>
            <w:r>
              <w:rPr>
                <w:sz w:val="18"/>
              </w:rPr>
              <w:t>Graystone 2018 annual audit under MSA (routine compliance program); report itself states it was "prepared in the ordinary course" and is not legal advice. Predates any anticipation of litigation; no attorney involved. Also listed among materials considered by testifying expert Reese (Rule 26(a)(2)(B)). Log falsely claims "prepared in anticipation of litigation."</w:t>
            </w:r>
          </w:p>
        </w:tc>
        <w:tc>
          <w:tcPr>
            <w:tcW w:type="dxa" w:w="2016"/>
          </w:tcPr>
          <w:p>
            <w:r/>
            <w:r>
              <w:rPr>
                <w:sz w:val="18"/>
              </w:rPr>
              <w:t>Withdraw WP claim; produce.</w:t>
            </w:r>
          </w:p>
        </w:tc>
      </w:tr>
      <w:tr>
        <w:tc>
          <w:tcPr>
            <w:tcW w:type="dxa" w:w="576"/>
          </w:tcPr>
          <w:p>
            <w:r/>
            <w:r>
              <w:rPr>
                <w:sz w:val="18"/>
              </w:rPr>
              <w:t>55</w:t>
            </w:r>
          </w:p>
        </w:tc>
        <w:tc>
          <w:tcPr>
            <w:tcW w:type="dxa" w:w="1872"/>
          </w:tcPr>
          <w:p>
            <w:r/>
            <w:r>
              <w:rPr>
                <w:sz w:val="18"/>
              </w:rPr>
              <w:t>October 2, 2020</w:t>
              <w:br/>
              <w:t>Teresa Molina → William Haney</w:t>
            </w:r>
          </w:p>
        </w:tc>
        <w:tc>
          <w:tcPr>
            <w:tcW w:type="dxa" w:w="720"/>
          </w:tcPr>
          <w:p>
            <w:r/>
            <w:r>
              <w:rPr>
                <w:sz w:val="18"/>
              </w:rPr>
              <w:t>ACP</w:t>
            </w:r>
          </w:p>
        </w:tc>
        <w:tc>
          <w:tcPr>
            <w:tcW w:type="dxa" w:w="4176"/>
          </w:tcPr>
          <w:p>
            <w:r/>
            <w:r>
              <w:rPr>
                <w:sz w:val="18"/>
              </w:rPr>
              <w:t>Molina (non-attorney) to CFO Haney re lobbying budget for S.B. 2247. No attorney; purely business/lobbying. Log falsely describes as "communication with counsel."</w:t>
            </w:r>
          </w:p>
        </w:tc>
        <w:tc>
          <w:tcPr>
            <w:tcW w:type="dxa" w:w="2016"/>
          </w:tcPr>
          <w:p>
            <w:r/>
            <w:r>
              <w:rPr>
                <w:sz w:val="18"/>
              </w:rPr>
              <w:t>Withdraw; produce.</w:t>
            </w:r>
          </w:p>
        </w:tc>
      </w:tr>
      <w:tr>
        <w:tc>
          <w:tcPr>
            <w:tcW w:type="dxa" w:w="576"/>
          </w:tcPr>
          <w:p>
            <w:r/>
            <w:r>
              <w:rPr>
                <w:sz w:val="18"/>
              </w:rPr>
              <w:t>58</w:t>
            </w:r>
          </w:p>
        </w:tc>
        <w:tc>
          <w:tcPr>
            <w:tcW w:type="dxa" w:w="1872"/>
          </w:tcPr>
          <w:p>
            <w:r/>
            <w:r>
              <w:rPr>
                <w:sz w:val="18"/>
              </w:rPr>
              <w:t>March 20, 2019</w:t>
              <w:br/>
              <w:t>Dr. Franklin Reese → Donald Pruitt</w:t>
            </w:r>
          </w:p>
        </w:tc>
        <w:tc>
          <w:tcPr>
            <w:tcW w:type="dxa" w:w="720"/>
          </w:tcPr>
          <w:p>
            <w:r/>
            <w:r>
              <w:rPr>
                <w:sz w:val="18"/>
              </w:rPr>
              <w:t>WP</w:t>
            </w:r>
          </w:p>
        </w:tc>
        <w:tc>
          <w:tcPr>
            <w:tcW w:type="dxa" w:w="4176"/>
          </w:tcPr>
          <w:p>
            <w:r/>
            <w:r>
              <w:rPr>
                <w:sz w:val="18"/>
              </w:rPr>
              <w:t>Graystone 2019 routine inspection checklist under MSA §4.2; ordinary course, no attorney, predates anticipated litigation. Log falsely claims "prepared in anticipation of litigation."</w:t>
            </w:r>
          </w:p>
        </w:tc>
        <w:tc>
          <w:tcPr>
            <w:tcW w:type="dxa" w:w="2016"/>
          </w:tcPr>
          <w:p>
            <w:r/>
            <w:r>
              <w:rPr>
                <w:sz w:val="18"/>
              </w:rPr>
              <w:t>Withdraw WP claim; produce.</w:t>
            </w:r>
          </w:p>
        </w:tc>
      </w:tr>
      <w:tr>
        <w:tc>
          <w:tcPr>
            <w:tcW w:type="dxa" w:w="576"/>
          </w:tcPr>
          <w:p>
            <w:r/>
            <w:r>
              <w:rPr>
                <w:sz w:val="18"/>
              </w:rPr>
              <w:t>67</w:t>
            </w:r>
          </w:p>
        </w:tc>
        <w:tc>
          <w:tcPr>
            <w:tcW w:type="dxa" w:w="1872"/>
          </w:tcPr>
          <w:p>
            <w:r/>
            <w:r>
              <w:rPr>
                <w:sz w:val="18"/>
              </w:rPr>
              <w:t>November 11, 2020</w:t>
              <w:br/>
              <w:t>William Haney → Donald Pruitt</w:t>
            </w:r>
          </w:p>
        </w:tc>
        <w:tc>
          <w:tcPr>
            <w:tcW w:type="dxa" w:w="720"/>
          </w:tcPr>
          <w:p>
            <w:r/>
            <w:r>
              <w:rPr>
                <w:sz w:val="18"/>
              </w:rPr>
              <w:t>ACP</w:t>
            </w:r>
          </w:p>
        </w:tc>
        <w:tc>
          <w:tcPr>
            <w:tcW w:type="dxa" w:w="4176"/>
          </w:tcPr>
          <w:p>
            <w:r/>
            <w:r>
              <w:rPr>
                <w:sz w:val="18"/>
              </w:rPr>
              <w:t>CFO Haney to Pruitt re allocation of $8.2M reserve across business units. No attorney; financial/accounting purpose.</w:t>
            </w:r>
          </w:p>
        </w:tc>
        <w:tc>
          <w:tcPr>
            <w:tcW w:type="dxa" w:w="2016"/>
          </w:tcPr>
          <w:p>
            <w:r/>
            <w:r>
              <w:rPr>
                <w:sz w:val="18"/>
              </w:rPr>
              <w:t>Withdraw ACP claim; produce.</w:t>
            </w:r>
          </w:p>
        </w:tc>
      </w:tr>
      <w:tr>
        <w:tc>
          <w:tcPr>
            <w:tcW w:type="dxa" w:w="576"/>
          </w:tcPr>
          <w:p>
            <w:r/>
            <w:r>
              <w:rPr>
                <w:sz w:val="18"/>
              </w:rPr>
              <w:t>89</w:t>
            </w:r>
          </w:p>
        </w:tc>
        <w:tc>
          <w:tcPr>
            <w:tcW w:type="dxa" w:w="1872"/>
          </w:tcPr>
          <w:p>
            <w:r/>
            <w:r>
              <w:rPr>
                <w:sz w:val="18"/>
              </w:rPr>
              <w:t>April 8, 2021</w:t>
              <w:br/>
              <w:t>Teresa Molina → Sandra Choi</w:t>
            </w:r>
          </w:p>
        </w:tc>
        <w:tc>
          <w:tcPr>
            <w:tcW w:type="dxa" w:w="720"/>
          </w:tcPr>
          <w:p>
            <w:r/>
            <w:r>
              <w:rPr>
                <w:sz w:val="18"/>
              </w:rPr>
              <w:t>ACP</w:t>
            </w:r>
          </w:p>
        </w:tc>
        <w:tc>
          <w:tcPr>
            <w:tcW w:type="dxa" w:w="4176"/>
          </w:tcPr>
          <w:p>
            <w:r/>
            <w:r>
              <w:rPr>
                <w:sz w:val="18"/>
              </w:rPr>
              <w:t>Molina (non-attorney) to Choi/Pruitt summarizing NJDEP stakeholder briefing. No attorney; operational guidance. Log falsely describes as "communication with counsel."</w:t>
            </w:r>
          </w:p>
        </w:tc>
        <w:tc>
          <w:tcPr>
            <w:tcW w:type="dxa" w:w="2016"/>
          </w:tcPr>
          <w:p>
            <w:r/>
            <w:r>
              <w:rPr>
                <w:sz w:val="18"/>
              </w:rPr>
              <w:t>Withdraw; produce.</w:t>
            </w:r>
          </w:p>
        </w:tc>
      </w:tr>
      <w:tr>
        <w:tc>
          <w:tcPr>
            <w:tcW w:type="dxa" w:w="576"/>
          </w:tcPr>
          <w:p>
            <w:r/>
            <w:r>
              <w:rPr>
                <w:sz w:val="18"/>
              </w:rPr>
              <w:t>96</w:t>
            </w:r>
          </w:p>
        </w:tc>
        <w:tc>
          <w:tcPr>
            <w:tcW w:type="dxa" w:w="1872"/>
          </w:tcPr>
          <w:p>
            <w:r/>
            <w:r>
              <w:rPr>
                <w:sz w:val="18"/>
              </w:rPr>
              <w:t>June 30, 2019</w:t>
              <w:br/>
              <w:t>Dr. Franklin Reese → Donald Pruitt</w:t>
            </w:r>
          </w:p>
        </w:tc>
        <w:tc>
          <w:tcPr>
            <w:tcW w:type="dxa" w:w="720"/>
          </w:tcPr>
          <w:p>
            <w:r/>
            <w:r>
              <w:rPr>
                <w:sz w:val="18"/>
              </w:rPr>
              <w:t>WP</w:t>
            </w:r>
          </w:p>
        </w:tc>
        <w:tc>
          <w:tcPr>
            <w:tcW w:type="dxa" w:w="4176"/>
          </w:tcPr>
          <w:p>
            <w:r/>
            <w:r>
              <w:rPr>
                <w:sz w:val="18"/>
              </w:rPr>
              <w:t>Graystone Q2 2019 routine quarterly sampling report under MSA; ordinary course, no attorney, pre-litigation. Also in testifying expert's considered materials. Log date (6/30/2019) differs from report date (6/28/2019). Log falsely claims "prepared in anticipation of litigation."</w:t>
            </w:r>
          </w:p>
        </w:tc>
        <w:tc>
          <w:tcPr>
            <w:tcW w:type="dxa" w:w="2016"/>
          </w:tcPr>
          <w:p>
            <w:r/>
            <w:r>
              <w:rPr>
                <w:sz w:val="18"/>
              </w:rPr>
              <w:t>Withdraw WP; produce.</w:t>
            </w:r>
          </w:p>
        </w:tc>
      </w:tr>
      <w:tr>
        <w:tc>
          <w:tcPr>
            <w:tcW w:type="dxa" w:w="576"/>
          </w:tcPr>
          <w:p>
            <w:r/>
            <w:r>
              <w:rPr>
                <w:sz w:val="18"/>
              </w:rPr>
              <w:t>112</w:t>
            </w:r>
          </w:p>
        </w:tc>
        <w:tc>
          <w:tcPr>
            <w:tcW w:type="dxa" w:w="1872"/>
          </w:tcPr>
          <w:p>
            <w:r/>
            <w:r>
              <w:rPr>
                <w:sz w:val="18"/>
              </w:rPr>
              <w:t>February 3, 2021</w:t>
              <w:br/>
              <w:t>Sandra Choi → Teresa Molina</w:t>
            </w:r>
          </w:p>
        </w:tc>
        <w:tc>
          <w:tcPr>
            <w:tcW w:type="dxa" w:w="720"/>
          </w:tcPr>
          <w:p>
            <w:r/>
            <w:r>
              <w:rPr>
                <w:sz w:val="18"/>
              </w:rPr>
              <w:t>ACP</w:t>
            </w:r>
          </w:p>
        </w:tc>
        <w:tc>
          <w:tcPr>
            <w:tcW w:type="dxa" w:w="4176"/>
          </w:tcPr>
          <w:p>
            <w:r/>
            <w:r>
              <w:rPr>
                <w:sz w:val="18"/>
              </w:rPr>
              <w:t>Choi to Molina - neither is an attorney. Facility upgrade scheduling, permits, budget. Business communication.</w:t>
            </w:r>
          </w:p>
        </w:tc>
        <w:tc>
          <w:tcPr>
            <w:tcW w:type="dxa" w:w="2016"/>
          </w:tcPr>
          <w:p>
            <w:r/>
            <w:r>
              <w:rPr>
                <w:sz w:val="18"/>
              </w:rPr>
              <w:t>Withdraw; produce.</w:t>
            </w:r>
          </w:p>
        </w:tc>
      </w:tr>
      <w:tr>
        <w:tc>
          <w:tcPr>
            <w:tcW w:type="dxa" w:w="576"/>
          </w:tcPr>
          <w:p>
            <w:r/>
            <w:r>
              <w:rPr>
                <w:sz w:val="18"/>
              </w:rPr>
              <w:t>134</w:t>
            </w:r>
          </w:p>
        </w:tc>
        <w:tc>
          <w:tcPr>
            <w:tcW w:type="dxa" w:w="1872"/>
          </w:tcPr>
          <w:p>
            <w:r/>
            <w:r>
              <w:rPr>
                <w:sz w:val="18"/>
              </w:rPr>
              <w:t>November 15, 2019</w:t>
              <w:br/>
              <w:t>Dr. Franklin Reese → Donald Pruitt</w:t>
            </w:r>
          </w:p>
        </w:tc>
        <w:tc>
          <w:tcPr>
            <w:tcW w:type="dxa" w:w="720"/>
          </w:tcPr>
          <w:p>
            <w:r/>
            <w:r>
              <w:rPr>
                <w:sz w:val="18"/>
              </w:rPr>
              <w:t>WP</w:t>
            </w:r>
          </w:p>
        </w:tc>
        <w:tc>
          <w:tcPr>
            <w:tcW w:type="dxa" w:w="4176"/>
          </w:tcPr>
          <w:p>
            <w:r/>
            <w:r>
              <w:rPr>
                <w:sz w:val="18"/>
              </w:rPr>
              <w:t>Graystone Q4 2019 routine monitoring report under MSA. Distribution to Langford (then GC) does not make an ordinary-course business report privileged; no request for legal advice; pre-litigation. In testifying expert's considered materials. Log date (11/15/2019) conflicts with report date (12/20/2019).</w:t>
            </w:r>
          </w:p>
        </w:tc>
        <w:tc>
          <w:tcPr>
            <w:tcW w:type="dxa" w:w="2016"/>
          </w:tcPr>
          <w:p>
            <w:r/>
            <w:r>
              <w:rPr>
                <w:sz w:val="18"/>
              </w:rPr>
              <w:t>Withdraw WP; produce.</w:t>
            </w:r>
          </w:p>
        </w:tc>
      </w:tr>
      <w:tr>
        <w:tc>
          <w:tcPr>
            <w:tcW w:type="dxa" w:w="576"/>
          </w:tcPr>
          <w:p>
            <w:r/>
            <w:r>
              <w:rPr>
                <w:sz w:val="18"/>
              </w:rPr>
              <w:t>141</w:t>
            </w:r>
          </w:p>
        </w:tc>
        <w:tc>
          <w:tcPr>
            <w:tcW w:type="dxa" w:w="1872"/>
          </w:tcPr>
          <w:p>
            <w:r/>
            <w:r>
              <w:rPr>
                <w:sz w:val="18"/>
              </w:rPr>
              <w:t>August 20, 2021</w:t>
              <w:br/>
              <w:t>Teresa Molina → Richard Voss</w:t>
            </w:r>
          </w:p>
        </w:tc>
        <w:tc>
          <w:tcPr>
            <w:tcW w:type="dxa" w:w="720"/>
          </w:tcPr>
          <w:p>
            <w:r/>
            <w:r>
              <w:rPr>
                <w:sz w:val="18"/>
              </w:rPr>
              <w:t>ACP</w:t>
            </w:r>
          </w:p>
        </w:tc>
        <w:tc>
          <w:tcPr>
            <w:tcW w:type="dxa" w:w="4176"/>
          </w:tcPr>
          <w:p>
            <w:r/>
            <w:r>
              <w:rPr>
                <w:sz w:val="18"/>
              </w:rPr>
              <w:t>Molina (non-attorney) to CEO re lobbying/regulatory engagement. She calls herself "your regulatory counsel," but org chart confirms she is not a lawyer and has never given legal advice. Log falsely describes as "communication with counsel."</w:t>
            </w:r>
          </w:p>
        </w:tc>
        <w:tc>
          <w:tcPr>
            <w:tcW w:type="dxa" w:w="2016"/>
          </w:tcPr>
          <w:p>
            <w:r/>
            <w:r>
              <w:rPr>
                <w:sz w:val="18"/>
              </w:rPr>
              <w:t>Withdraw; produce.</w:t>
            </w:r>
          </w:p>
        </w:tc>
      </w:tr>
      <w:tr>
        <w:tc>
          <w:tcPr>
            <w:tcW w:type="dxa" w:w="576"/>
          </w:tcPr>
          <w:p>
            <w:r/>
            <w:r>
              <w:rPr>
                <w:sz w:val="18"/>
              </w:rPr>
              <w:t>162</w:t>
            </w:r>
          </w:p>
        </w:tc>
        <w:tc>
          <w:tcPr>
            <w:tcW w:type="dxa" w:w="1872"/>
          </w:tcPr>
          <w:p>
            <w:r/>
            <w:r>
              <w:rPr>
                <w:sz w:val="18"/>
              </w:rPr>
              <w:t>April 3, 2022</w:t>
              <w:br/>
              <w:t>Lydia Stanton → William Haney</w:t>
            </w:r>
          </w:p>
        </w:tc>
        <w:tc>
          <w:tcPr>
            <w:tcW w:type="dxa" w:w="720"/>
          </w:tcPr>
          <w:p>
            <w:r/>
            <w:r>
              <w:rPr>
                <w:sz w:val="18"/>
              </w:rPr>
              <w:t>WP</w:t>
            </w:r>
          </w:p>
        </w:tc>
        <w:tc>
          <w:tcPr>
            <w:tcW w:type="dxa" w:w="4176"/>
          </w:tcPr>
          <w:p>
            <w:r/>
            <w:r>
              <w:rPr>
                <w:sz w:val="18"/>
              </w:rPr>
              <w:t>Draft press release from VP Communications to CFO for public distribution; no attorney involved, not prepared because of litigation, and intended for publication. Log falsely claims "attorney work product and mental impressions."</w:t>
            </w:r>
          </w:p>
        </w:tc>
        <w:tc>
          <w:tcPr>
            <w:tcW w:type="dxa" w:w="2016"/>
          </w:tcPr>
          <w:p>
            <w:r/>
            <w:r>
              <w:rPr>
                <w:sz w:val="18"/>
              </w:rPr>
              <w:t>Withdraw WP; produce.</w:t>
            </w:r>
          </w:p>
        </w:tc>
      </w:tr>
      <w:tr>
        <w:tc>
          <w:tcPr>
            <w:tcW w:type="dxa" w:w="576"/>
          </w:tcPr>
          <w:p>
            <w:r/>
            <w:r>
              <w:rPr>
                <w:sz w:val="18"/>
              </w:rPr>
              <w:t>198</w:t>
            </w:r>
          </w:p>
        </w:tc>
        <w:tc>
          <w:tcPr>
            <w:tcW w:type="dxa" w:w="1872"/>
          </w:tcPr>
          <w:p>
            <w:r/>
            <w:r>
              <w:rPr>
                <w:sz w:val="18"/>
              </w:rPr>
              <w:t>July 7, 2022</w:t>
              <w:br/>
              <w:t>Donald Pruitt → William Haney</w:t>
            </w:r>
          </w:p>
        </w:tc>
        <w:tc>
          <w:tcPr>
            <w:tcW w:type="dxa" w:w="720"/>
          </w:tcPr>
          <w:p>
            <w:r/>
            <w:r>
              <w:rPr>
                <w:sz w:val="18"/>
              </w:rPr>
              <w:t>ACP</w:t>
            </w:r>
          </w:p>
        </w:tc>
        <w:tc>
          <w:tcPr>
            <w:tcW w:type="dxa" w:w="4176"/>
          </w:tcPr>
          <w:p>
            <w:r/>
            <w:r>
              <w:rPr>
                <w:sz w:val="18"/>
              </w:rPr>
              <w:t>Pruitt to CFO requesting capex approval through standard process. No attorney; business.</w:t>
            </w:r>
          </w:p>
        </w:tc>
        <w:tc>
          <w:tcPr>
            <w:tcW w:type="dxa" w:w="2016"/>
          </w:tcPr>
          <w:p>
            <w:r/>
            <w:r>
              <w:rPr>
                <w:sz w:val="18"/>
              </w:rPr>
              <w:t>Withdraw ACP claim; produce.</w:t>
            </w:r>
          </w:p>
        </w:tc>
      </w:tr>
      <w:tr>
        <w:tc>
          <w:tcPr>
            <w:tcW w:type="dxa" w:w="576"/>
          </w:tcPr>
          <w:p>
            <w:r/>
            <w:r>
              <w:rPr>
                <w:sz w:val="18"/>
              </w:rPr>
              <w:t>199</w:t>
            </w:r>
          </w:p>
        </w:tc>
        <w:tc>
          <w:tcPr>
            <w:tcW w:type="dxa" w:w="1872"/>
          </w:tcPr>
          <w:p>
            <w:r/>
            <w:r>
              <w:rPr>
                <w:sz w:val="18"/>
              </w:rPr>
              <w:t>March 22, 2022</w:t>
              <w:br/>
              <w:t>Dr. Franklin Reese → Catherine Marsh, Esq.</w:t>
            </w:r>
          </w:p>
        </w:tc>
        <w:tc>
          <w:tcPr>
            <w:tcW w:type="dxa" w:w="720"/>
          </w:tcPr>
          <w:p>
            <w:r/>
            <w:r>
              <w:rPr>
                <w:sz w:val="18"/>
              </w:rPr>
              <w:t>WP</w:t>
            </w:r>
          </w:p>
        </w:tc>
        <w:tc>
          <w:tcPr>
            <w:tcW w:type="dxa" w:w="4176"/>
          </w:tcPr>
          <w:p>
            <w:r/>
            <w:r>
              <w:rPr>
                <w:sz w:val="18"/>
              </w:rPr>
              <w:t>Report prepared at CLM direction (WP when created), but Reese was designated a testifying expert (1/15/2024) and the disclosures list this 3/22/2022 report as a material considered. Facts/data and materials considered by a testifying expert are discoverable under Rule 26(a)(2)(B)(ii); WP cannot be maintained. Report also relies on routine Graystone audit data.</w:t>
            </w:r>
          </w:p>
        </w:tc>
        <w:tc>
          <w:tcPr>
            <w:tcW w:type="dxa" w:w="2016"/>
          </w:tcPr>
          <w:p>
            <w:r/>
            <w:r>
              <w:rPr>
                <w:sz w:val="18"/>
              </w:rPr>
              <w:t>Withdraw WP; produce. Continue to protect drafts (Rule 26(b)(4)(B)) and attorney-expert communications (26(b)(4)(C)) except compensation, facts/data and assumptions provided by counsel.</w:t>
            </w:r>
          </w:p>
        </w:tc>
      </w:tr>
      <w:tr>
        <w:tc>
          <w:tcPr>
            <w:tcW w:type="dxa" w:w="576"/>
          </w:tcPr>
          <w:p>
            <w:r/>
            <w:r>
              <w:rPr>
                <w:sz w:val="18"/>
              </w:rPr>
              <w:t>203</w:t>
            </w:r>
          </w:p>
        </w:tc>
        <w:tc>
          <w:tcPr>
            <w:tcW w:type="dxa" w:w="1872"/>
          </w:tcPr>
          <w:p>
            <w:r/>
            <w:r>
              <w:rPr>
                <w:sz w:val="18"/>
              </w:rPr>
              <w:t>September 12, 2022</w:t>
              <w:br/>
              <w:t>Teresa Molina → Margaret Langford, Esq.</w:t>
            </w:r>
          </w:p>
        </w:tc>
        <w:tc>
          <w:tcPr>
            <w:tcW w:type="dxa" w:w="720"/>
          </w:tcPr>
          <w:p>
            <w:r/>
            <w:r>
              <w:rPr>
                <w:sz w:val="18"/>
              </w:rPr>
              <w:t>ACP</w:t>
            </w:r>
          </w:p>
        </w:tc>
        <w:tc>
          <w:tcPr>
            <w:tcW w:type="dxa" w:w="4176"/>
          </w:tcPr>
          <w:p>
            <w:r/>
            <w:r>
              <w:rPr>
                <w:sz w:val="18"/>
              </w:rPr>
              <w:t>Molina (non-attorney) to GC reporting on a meeting with the adversary (NJDEP) at which she was the only Thornfield attendee; factual debrief, no request for legal advice; information conveyed to/from opposing party is not confidential.</w:t>
            </w:r>
          </w:p>
        </w:tc>
        <w:tc>
          <w:tcPr>
            <w:tcW w:type="dxa" w:w="2016"/>
          </w:tcPr>
          <w:p>
            <w:r/>
            <w:r>
              <w:rPr>
                <w:sz w:val="18"/>
              </w:rPr>
              <w:t>Withdraw; produce (redact only if a discrete legal request is identified - none found).</w:t>
            </w:r>
          </w:p>
        </w:tc>
      </w:tr>
      <w:tr>
        <w:tc>
          <w:tcPr>
            <w:tcW w:type="dxa" w:w="576"/>
          </w:tcPr>
          <w:p>
            <w:r/>
            <w:r>
              <w:rPr>
                <w:sz w:val="18"/>
              </w:rPr>
              <w:t>288</w:t>
            </w:r>
          </w:p>
        </w:tc>
        <w:tc>
          <w:tcPr>
            <w:tcW w:type="dxa" w:w="1872"/>
          </w:tcPr>
          <w:p>
            <w:r/>
            <w:r>
              <w:rPr>
                <w:sz w:val="18"/>
              </w:rPr>
              <w:t>March 10, 2024</w:t>
              <w:br/>
              <w:t xml:space="preserve">TBD → </w:t>
            </w:r>
          </w:p>
        </w:tc>
        <w:tc>
          <w:tcPr>
            <w:tcW w:type="dxa" w:w="720"/>
          </w:tcPr>
          <w:p>
            <w:r/>
            <w:r>
              <w:rPr>
                <w:sz w:val="18"/>
              </w:rPr>
              <w:t>ACP</w:t>
            </w:r>
          </w:p>
        </w:tc>
        <w:tc>
          <w:tcPr>
            <w:tcW w:type="dxa" w:w="4176"/>
          </w:tcPr>
          <w:p>
            <w:r/>
            <w:r>
              <w:rPr>
                <w:sz w:val="18"/>
              </w:rPr>
              <w:t>Facially deficient: author "TBD," no recipient, generic subject "Pending Items." Entry cannot establish any element of privilege under Rule 26(b)(5)(A).</w:t>
            </w:r>
          </w:p>
        </w:tc>
        <w:tc>
          <w:tcPr>
            <w:tcW w:type="dxa" w:w="2016"/>
          </w:tcPr>
          <w:p>
            <w:r/>
            <w:r>
              <w:rPr>
                <w:sz w:val="18"/>
              </w:rPr>
              <w:t>Identify document; re-log with complete information or withdraw and produce.</w:t>
            </w:r>
          </w:p>
        </w:tc>
      </w:tr>
    </w:tbl>
    <w:p/>
    <w:p>
      <w:pPr>
        <w:pStyle w:val="Heading2"/>
      </w:pPr>
      <w:r>
        <w:t>C. Category 3 — At Risk; Further Review or Partial Production (15 entries)</w:t>
      </w:r>
    </w:p>
    <w:p>
      <w:r>
        <w:rPr>
          <w:b w:val="0"/>
          <w:i w:val="0"/>
        </w:rPr>
        <w:t>These claims can be defended in part, or can be defended but should be expected to draw a challenge. Of particular note: #72 is privileged, but its content (the VP of EHS asking whether PFAS exceedance reporting could be delayed, and the GC's "calculated risk" response) invites an in camera crime-fraud challenge. #177 combines a privileged board memo with a business performance review, and the review must be produced. #44, #119 and #156 are mainly business emails with a single legal question and should be produced with redactions.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1F3864"/>
          </w:tcPr>
          <w:p>
            <w:r/>
            <w:r>
              <w:rPr>
                <w:b/>
                <w:color w:val="FFFFFF"/>
                <w:sz w:val="18"/>
              </w:rPr>
              <w:t>#</w:t>
            </w:r>
          </w:p>
        </w:tc>
        <w:tc>
          <w:tcPr>
            <w:tcW w:type="dxa" w:w="1872"/>
            <w:shd w:val="clear" w:color="auto" w:fill="1F3864"/>
          </w:tcPr>
          <w:p>
            <w:r/>
            <w:r>
              <w:rPr>
                <w:b/>
                <w:color w:val="FFFFFF"/>
                <w:sz w:val="18"/>
              </w:rPr>
              <w:t>Date / Parties</w:t>
            </w:r>
          </w:p>
        </w:tc>
        <w:tc>
          <w:tcPr>
            <w:tcW w:type="dxa" w:w="720"/>
            <w:shd w:val="clear" w:color="auto" w:fill="1F3864"/>
          </w:tcPr>
          <w:p>
            <w:r/>
            <w:r>
              <w:rPr>
                <w:b/>
                <w:color w:val="FFFFFF"/>
                <w:sz w:val="18"/>
              </w:rPr>
              <w:t>Basis</w:t>
            </w:r>
          </w:p>
        </w:tc>
        <w:tc>
          <w:tcPr>
            <w:tcW w:type="dxa" w:w="4176"/>
            <w:shd w:val="clear" w:color="auto" w:fill="1F3864"/>
          </w:tcPr>
          <w:p>
            <w:r/>
            <w:r>
              <w:rPr>
                <w:b/>
                <w:color w:val="FFFFFF"/>
                <w:sz w:val="18"/>
              </w:rPr>
              <w:t>Deficiency</w:t>
            </w:r>
          </w:p>
        </w:tc>
        <w:tc>
          <w:tcPr>
            <w:tcW w:type="dxa" w:w="2016"/>
            <w:shd w:val="clear" w:color="auto" w:fill="1F3864"/>
          </w:tcPr>
          <w:p>
            <w:r/>
            <w:r>
              <w:rPr>
                <w:b/>
                <w:color w:val="FFFFFF"/>
                <w:sz w:val="18"/>
              </w:rPr>
              <w:t>Action</w:t>
            </w:r>
          </w:p>
        </w:tc>
      </w:tr>
      <w:tr>
        <w:tc>
          <w:tcPr>
            <w:tcW w:type="dxa" w:w="576"/>
          </w:tcPr>
          <w:p>
            <w:r/>
            <w:r>
              <w:rPr>
                <w:sz w:val="18"/>
              </w:rPr>
              <w:t>44</w:t>
            </w:r>
          </w:p>
        </w:tc>
        <w:tc>
          <w:tcPr>
            <w:tcW w:type="dxa" w:w="1872"/>
          </w:tcPr>
          <w:p>
            <w:r/>
            <w:r>
              <w:rPr>
                <w:sz w:val="18"/>
              </w:rPr>
              <w:t>August 22, 2020</w:t>
              <w:br/>
              <w:t>Sandra Choi → Margaret Langford, Esq.</w:t>
            </w:r>
          </w:p>
        </w:tc>
        <w:tc>
          <w:tcPr>
            <w:tcW w:type="dxa" w:w="720"/>
          </w:tcPr>
          <w:p>
            <w:r/>
            <w:r>
              <w:rPr>
                <w:sz w:val="18"/>
              </w:rPr>
              <w:t>ACP</w:t>
            </w:r>
          </w:p>
        </w:tc>
        <w:tc>
          <w:tcPr>
            <w:tcW w:type="dxa" w:w="4176"/>
          </w:tcPr>
          <w:p>
            <w:r/>
            <w:r>
              <w:rPr>
                <w:sz w:val="18"/>
              </w:rPr>
              <w:t>Choi to Langford: ~95% production scheduling, vendor pricing, capex, staffing; single sentence at end requests legal view on Clearwater waste-handling. Predominant purpose is business. Log description overstates legal content; Bates range in log (351-358) differs from document (351-353).</w:t>
            </w:r>
          </w:p>
        </w:tc>
        <w:tc>
          <w:tcPr>
            <w:tcW w:type="dxa" w:w="2016"/>
          </w:tcPr>
          <w:p>
            <w:r/>
            <w:r>
              <w:rPr>
                <w:sz w:val="18"/>
              </w:rPr>
              <w:t>Produce with narrow redaction of final legal-advice request sentence; log redaction; correct Bates range.</w:t>
            </w:r>
          </w:p>
        </w:tc>
      </w:tr>
      <w:tr>
        <w:tc>
          <w:tcPr>
            <w:tcW w:type="dxa" w:w="576"/>
          </w:tcPr>
          <w:p>
            <w:r/>
            <w:r>
              <w:rPr>
                <w:sz w:val="18"/>
              </w:rPr>
              <w:t>72</w:t>
            </w:r>
          </w:p>
        </w:tc>
        <w:tc>
          <w:tcPr>
            <w:tcW w:type="dxa" w:w="1872"/>
          </w:tcPr>
          <w:p>
            <w:r/>
            <w:r>
              <w:rPr>
                <w:sz w:val="18"/>
              </w:rPr>
              <w:t>May 20, 2020</w:t>
              <w:br/>
              <w:t>Donald Pruitt → Margaret Langford, Esq.</w:t>
            </w:r>
          </w:p>
        </w:tc>
        <w:tc>
          <w:tcPr>
            <w:tcW w:type="dxa" w:w="720"/>
          </w:tcPr>
          <w:p>
            <w:r/>
            <w:r>
              <w:rPr>
                <w:sz w:val="18"/>
              </w:rPr>
              <w:t>ACP</w:t>
            </w:r>
          </w:p>
        </w:tc>
        <w:tc>
          <w:tcPr>
            <w:tcW w:type="dxa" w:w="4176"/>
          </w:tcPr>
          <w:p>
            <w:r/>
            <w:r>
              <w:rPr>
                <w:sz w:val="18"/>
              </w:rPr>
              <w:t>Genuine request for and provision of legal advice (Pruitt to GC re PFAS exceedance reporting). However, Pruitt expressly asks whether notification can be delayed to avoid aiding plaintiffs, and GC response discusses "calculated risk" and exploring a "discharge vs. ongoing condition" distinction. High likelihood plaintiffs/NJDEP seek in camera review under the crime-fraud exception. Log description is sanitized.</w:t>
            </w:r>
          </w:p>
        </w:tc>
        <w:tc>
          <w:tcPr>
            <w:tcW w:type="dxa" w:w="2016"/>
          </w:tcPr>
          <w:p>
            <w:r/>
            <w:r>
              <w:rPr>
                <w:sz w:val="18"/>
              </w:rPr>
              <w:t>Maintain ACP; prepare crime-fraud opposition (advice sought/given did not further a crime; GC warned of enforcement risk). Confirm actual NJDEP notification timing. Consider more accurate description.</w:t>
            </w:r>
          </w:p>
        </w:tc>
      </w:tr>
      <w:tr>
        <w:tc>
          <w:tcPr>
            <w:tcW w:type="dxa" w:w="576"/>
          </w:tcPr>
          <w:p>
            <w:r/>
            <w:r>
              <w:rPr>
                <w:sz w:val="18"/>
              </w:rPr>
              <w:t>110</w:t>
            </w:r>
          </w:p>
        </w:tc>
        <w:tc>
          <w:tcPr>
            <w:tcW w:type="dxa" w:w="1872"/>
          </w:tcPr>
          <w:p>
            <w:r/>
            <w:r>
              <w:rPr>
                <w:sz w:val="18"/>
              </w:rPr>
              <w:t>August 18, 2021</w:t>
              <w:br/>
              <w:t>Catherine Marsh, Esq. → James Whitmore, Esq.</w:t>
            </w:r>
          </w:p>
        </w:tc>
        <w:tc>
          <w:tcPr>
            <w:tcW w:type="dxa" w:w="720"/>
          </w:tcPr>
          <w:p>
            <w:r/>
            <w:r>
              <w:rPr>
                <w:sz w:val="18"/>
              </w:rPr>
              <w:t>JCI</w:t>
            </w:r>
          </w:p>
        </w:tc>
        <w:tc>
          <w:tcPr>
            <w:tcW w:type="dxa" w:w="4176"/>
          </w:tcPr>
          <w:p>
            <w:r/>
            <w:r>
              <w:rPr>
                <w:sz w:val="18"/>
              </w:rPr>
              <w:t>Transmittal of executed CIA to Garfield counsel. The CIA is an agreement, not a request for or rendition of legal advice; courts frequently order production of JDAs (at least in camera) when the common-interest claim is challenged.</w:t>
            </w:r>
          </w:p>
        </w:tc>
        <w:tc>
          <w:tcPr>
            <w:tcW w:type="dxa" w:w="2016"/>
          </w:tcPr>
          <w:p>
            <w:r/>
            <w:r>
              <w:rPr>
                <w:sz w:val="18"/>
              </w:rPr>
              <w:t>Be prepared to produce CIA or submit in camera; consider re-designating as confidential rather than privileged.</w:t>
            </w:r>
          </w:p>
        </w:tc>
      </w:tr>
      <w:tr>
        <w:tc>
          <w:tcPr>
            <w:tcW w:type="dxa" w:w="576"/>
          </w:tcPr>
          <w:p>
            <w:r/>
            <w:r>
              <w:rPr>
                <w:sz w:val="18"/>
              </w:rPr>
              <w:t>119</w:t>
            </w:r>
          </w:p>
        </w:tc>
        <w:tc>
          <w:tcPr>
            <w:tcW w:type="dxa" w:w="1872"/>
          </w:tcPr>
          <w:p>
            <w:r/>
            <w:r>
              <w:rPr>
                <w:sz w:val="18"/>
              </w:rPr>
              <w:t>May 15, 2021</w:t>
              <w:br/>
              <w:t>Sandra Choi → Margaret Langford, Esq.</w:t>
            </w:r>
          </w:p>
        </w:tc>
        <w:tc>
          <w:tcPr>
            <w:tcW w:type="dxa" w:w="720"/>
          </w:tcPr>
          <w:p>
            <w:r/>
            <w:r>
              <w:rPr>
                <w:sz w:val="18"/>
              </w:rPr>
              <w:t>ACP</w:t>
            </w:r>
          </w:p>
        </w:tc>
        <w:tc>
          <w:tcPr>
            <w:tcW w:type="dxa" w:w="4176"/>
          </w:tcPr>
          <w:p>
            <w:r/>
            <w:r>
              <w:rPr>
                <w:sz w:val="18"/>
              </w:rPr>
              <w:t>Choi to GC; document is expressly "NOT MARKED PRIVILEGED." Predominantly vendor pricing, supply terms, production schedule; one closing sentence requests legal review of transport agreement. Predominant purpose is business.</w:t>
            </w:r>
          </w:p>
        </w:tc>
        <w:tc>
          <w:tcPr>
            <w:tcW w:type="dxa" w:w="2016"/>
          </w:tcPr>
          <w:p>
            <w:r/>
            <w:r>
              <w:rPr>
                <w:sz w:val="18"/>
              </w:rPr>
              <w:t>Produce with narrow redaction of closing legal-advice request; log the redaction.</w:t>
            </w:r>
          </w:p>
        </w:tc>
      </w:tr>
      <w:tr>
        <w:tc>
          <w:tcPr>
            <w:tcW w:type="dxa" w:w="576"/>
          </w:tcPr>
          <w:p>
            <w:r/>
            <w:r>
              <w:rPr>
                <w:sz w:val="18"/>
              </w:rPr>
              <w:t>121</w:t>
            </w:r>
          </w:p>
        </w:tc>
        <w:tc>
          <w:tcPr>
            <w:tcW w:type="dxa" w:w="1872"/>
          </w:tcPr>
          <w:p>
            <w:r/>
            <w:r>
              <w:rPr>
                <w:sz w:val="18"/>
              </w:rPr>
              <w:t>September 28, 2021</w:t>
              <w:br/>
              <w:t>Arjun Kapadia, Esq. → William Haney</w:t>
            </w:r>
          </w:p>
        </w:tc>
        <w:tc>
          <w:tcPr>
            <w:tcW w:type="dxa" w:w="720"/>
          </w:tcPr>
          <w:p>
            <w:r/>
            <w:r>
              <w:rPr>
                <w:sz w:val="18"/>
              </w:rPr>
              <w:t>ACP</w:t>
            </w:r>
          </w:p>
        </w:tc>
        <w:tc>
          <w:tcPr>
            <w:tcW w:type="dxa" w:w="4176"/>
          </w:tcPr>
          <w:p>
            <w:r/>
            <w:r>
              <w:rPr>
                <w:sz w:val="18"/>
              </w:rPr>
              <w:t>Deputy GC to CFO re environmental reserve accounting. Reserve-accounting guidance may be predominantly financial, and reserve information is commonly shared with outside auditors (Pendleton &amp; Associates), which may waive ACP.</w:t>
            </w:r>
          </w:p>
        </w:tc>
        <w:tc>
          <w:tcPr>
            <w:tcW w:type="dxa" w:w="2016"/>
          </w:tcPr>
          <w:p>
            <w:r/>
            <w:r>
              <w:rPr>
                <w:sz w:val="18"/>
              </w:rPr>
              <w:t>Review document; confirm legal (not accounting) purpose and no auditor disclosure.</w:t>
            </w:r>
          </w:p>
        </w:tc>
      </w:tr>
      <w:tr>
        <w:tc>
          <w:tcPr>
            <w:tcW w:type="dxa" w:w="576"/>
          </w:tcPr>
          <w:p>
            <w:r/>
            <w:r>
              <w:rPr>
                <w:sz w:val="18"/>
              </w:rPr>
              <w:t>155</w:t>
            </w:r>
          </w:p>
        </w:tc>
        <w:tc>
          <w:tcPr>
            <w:tcW w:type="dxa" w:w="1872"/>
          </w:tcPr>
          <w:p>
            <w:r/>
            <w:r>
              <w:rPr>
                <w:sz w:val="18"/>
              </w:rPr>
              <w:t>January 18, 2022</w:t>
              <w:br/>
              <w:t>Catherine Marsh, Esq. → Margaret Langford, Esq.</w:t>
            </w:r>
          </w:p>
        </w:tc>
        <w:tc>
          <w:tcPr>
            <w:tcW w:type="dxa" w:w="720"/>
          </w:tcPr>
          <w:p>
            <w:r/>
            <w:r>
              <w:rPr>
                <w:sz w:val="18"/>
              </w:rPr>
              <w:t>ACP/WP</w:t>
            </w:r>
          </w:p>
        </w:tc>
        <w:tc>
          <w:tcPr>
            <w:tcW w:type="dxa" w:w="4176"/>
          </w:tcPr>
          <w:p>
            <w:r/>
            <w:r>
              <w:rPr>
                <w:sz w:val="18"/>
              </w:rPr>
              <w:t>"Expert Report Review - Dr. Reese Draft" dated 1/18/2022, but Reese report states CLM directed that work "beginning in approximately February 2022." Draft reports are protected (Rule 26(b)(4)(B)), but chronology must be reconciled.</w:t>
            </w:r>
          </w:p>
        </w:tc>
        <w:tc>
          <w:tcPr>
            <w:tcW w:type="dxa" w:w="2016"/>
          </w:tcPr>
          <w:p>
            <w:r/>
            <w:r>
              <w:rPr>
                <w:sz w:val="18"/>
              </w:rPr>
              <w:t>Verify date; maintain protection for draft; ensure log reflects Rule 26(b)(4)(B).</w:t>
            </w:r>
          </w:p>
        </w:tc>
      </w:tr>
      <w:tr>
        <w:tc>
          <w:tcPr>
            <w:tcW w:type="dxa" w:w="576"/>
          </w:tcPr>
          <w:p>
            <w:r/>
            <w:r>
              <w:rPr>
                <w:sz w:val="18"/>
              </w:rPr>
              <w:t>156</w:t>
            </w:r>
          </w:p>
        </w:tc>
        <w:tc>
          <w:tcPr>
            <w:tcW w:type="dxa" w:w="1872"/>
          </w:tcPr>
          <w:p>
            <w:r/>
            <w:r>
              <w:rPr>
                <w:sz w:val="18"/>
              </w:rPr>
              <w:t>November 3, 2021</w:t>
              <w:br/>
              <w:t>Sandra Choi → Margaret Langford, Esq.</w:t>
            </w:r>
          </w:p>
        </w:tc>
        <w:tc>
          <w:tcPr>
            <w:tcW w:type="dxa" w:w="720"/>
          </w:tcPr>
          <w:p>
            <w:r/>
            <w:r>
              <w:rPr>
                <w:sz w:val="18"/>
              </w:rPr>
              <w:t>ACP</w:t>
            </w:r>
          </w:p>
        </w:tc>
        <w:tc>
          <w:tcPr>
            <w:tcW w:type="dxa" w:w="4176"/>
          </w:tcPr>
          <w:p>
            <w:r/>
            <w:r>
              <w:rPr>
                <w:sz w:val="18"/>
              </w:rPr>
              <w:t>Choi to GC: production, supply chain, vendor dispute, capex; legal question appears only in a P.S. re NJDEP permit application. Predominant purpose business.</w:t>
            </w:r>
          </w:p>
        </w:tc>
        <w:tc>
          <w:tcPr>
            <w:tcW w:type="dxa" w:w="2016"/>
          </w:tcPr>
          <w:p>
            <w:r/>
            <w:r>
              <w:rPr>
                <w:sz w:val="18"/>
              </w:rPr>
              <w:t>Produce with redaction of P.S. (and any request for legal review of Apex contract); log redaction.</w:t>
            </w:r>
          </w:p>
        </w:tc>
      </w:tr>
      <w:tr>
        <w:tc>
          <w:tcPr>
            <w:tcW w:type="dxa" w:w="576"/>
          </w:tcPr>
          <w:p>
            <w:r/>
            <w:r>
              <w:rPr>
                <w:sz w:val="18"/>
              </w:rPr>
              <w:t>175</w:t>
            </w:r>
          </w:p>
        </w:tc>
        <w:tc>
          <w:tcPr>
            <w:tcW w:type="dxa" w:w="1872"/>
          </w:tcPr>
          <w:p>
            <w:r/>
            <w:r>
              <w:rPr>
                <w:sz w:val="18"/>
              </w:rPr>
              <w:t>April 22, 2022</w:t>
              <w:br/>
              <w:t>Nadia El-Amin, Esq. → Arjun Kapadia, Esq.</w:t>
            </w:r>
          </w:p>
        </w:tc>
        <w:tc>
          <w:tcPr>
            <w:tcW w:type="dxa" w:w="720"/>
          </w:tcPr>
          <w:p>
            <w:r/>
            <w:r>
              <w:rPr>
                <w:sz w:val="18"/>
              </w:rPr>
              <w:t>ACP</w:t>
            </w:r>
          </w:p>
        </w:tc>
        <w:tc>
          <w:tcPr>
            <w:tcW w:type="dxa" w:w="4176"/>
          </w:tcPr>
          <w:p>
            <w:r/>
            <w:r>
              <w:rPr>
                <w:sz w:val="18"/>
              </w:rPr>
              <w:t>CLM associate to Deputy GC: largely status of custodial collections, review volumes, budget authorization - logistical facts not generally privileged; some content (Graystone categorization question) seeks client instruction. Log date (4/22/2022) vs document (10/14/2022); description "Legal communication" insufficient.</w:t>
            </w:r>
          </w:p>
        </w:tc>
        <w:tc>
          <w:tcPr>
            <w:tcW w:type="dxa" w:w="2016"/>
          </w:tcPr>
          <w:p>
            <w:r/>
            <w:r>
              <w:rPr>
                <w:sz w:val="18"/>
              </w:rPr>
              <w:t>Maintain with fuller description or produce with redactions of legal-strategy content; correct date.</w:t>
            </w:r>
          </w:p>
        </w:tc>
      </w:tr>
      <w:tr>
        <w:tc>
          <w:tcPr>
            <w:tcW w:type="dxa" w:w="576"/>
          </w:tcPr>
          <w:p>
            <w:r/>
            <w:r>
              <w:rPr>
                <w:sz w:val="18"/>
              </w:rPr>
              <w:t>177</w:t>
            </w:r>
          </w:p>
        </w:tc>
        <w:tc>
          <w:tcPr>
            <w:tcW w:type="dxa" w:w="1872"/>
          </w:tcPr>
          <w:p>
            <w:r/>
            <w:r>
              <w:rPr>
                <w:sz w:val="18"/>
              </w:rPr>
              <w:t>December 12, 2021</w:t>
              <w:br/>
              <w:t>Margaret Langford, Esq. → Board of Directors (12 members)</w:t>
            </w:r>
          </w:p>
        </w:tc>
        <w:tc>
          <w:tcPr>
            <w:tcW w:type="dxa" w:w="720"/>
          </w:tcPr>
          <w:p>
            <w:r/>
            <w:r>
              <w:rPr>
                <w:sz w:val="18"/>
              </w:rPr>
              <w:t>ACP</w:t>
            </w:r>
          </w:p>
        </w:tc>
        <w:tc>
          <w:tcPr>
            <w:tcW w:type="dxa" w:w="4176"/>
          </w:tcPr>
          <w:p>
            <w:r/>
            <w:r>
              <w:rPr>
                <w:sz w:val="18"/>
              </w:rPr>
              <w:t>Board package combines (1) GC's privileged litigation-risk memo (TF-PRIV-001385-86) and (2) a routine operational &amp; financial review prepared by Choi and Haney (TF-PRIV-001387-1415) that states its EHS data "are not related to any pending legal matters." Business attachment is not privileged merely by being transmitted by GC. Log omits names of 12 directors and CC Kapadia.</w:t>
            </w:r>
          </w:p>
        </w:tc>
        <w:tc>
          <w:tcPr>
            <w:tcW w:type="dxa" w:w="2016"/>
          </w:tcPr>
          <w:p>
            <w:r/>
            <w:r>
              <w:rPr>
                <w:sz w:val="18"/>
              </w:rPr>
              <w:t>Produce Attachment 2 and cover email (redact reference to legal memo as needed); withhold Attachment 1; re-log as separate entries with director names.</w:t>
            </w:r>
          </w:p>
        </w:tc>
      </w:tr>
      <w:tr>
        <w:tc>
          <w:tcPr>
            <w:tcW w:type="dxa" w:w="576"/>
          </w:tcPr>
          <w:p>
            <w:r/>
            <w:r>
              <w:rPr>
                <w:sz w:val="18"/>
              </w:rPr>
              <w:t>210</w:t>
            </w:r>
          </w:p>
        </w:tc>
        <w:tc>
          <w:tcPr>
            <w:tcW w:type="dxa" w:w="1872"/>
          </w:tcPr>
          <w:p>
            <w:r/>
            <w:r>
              <w:rPr>
                <w:sz w:val="18"/>
              </w:rPr>
              <w:t>January 7, 2023</w:t>
              <w:br/>
              <w:t>Catherine Marsh, Esq. → Keith Brannigan</w:t>
            </w:r>
          </w:p>
        </w:tc>
        <w:tc>
          <w:tcPr>
            <w:tcW w:type="dxa" w:w="720"/>
          </w:tcPr>
          <w:p>
            <w:r/>
            <w:r>
              <w:rPr>
                <w:sz w:val="18"/>
              </w:rPr>
              <w:t>ACP</w:t>
            </w:r>
          </w:p>
        </w:tc>
        <w:tc>
          <w:tcPr>
            <w:tcW w:type="dxa" w:w="4176"/>
          </w:tcPr>
          <w:p>
            <w:r/>
            <w:r>
              <w:rPr>
                <w:sz w:val="18"/>
              </w:rPr>
              <w:t>Outside counsel's interview questions to Keith Brannigan, a former employee (terminated 11/30/2022, no continuing relationship), at a personal email. ACP extension to former employees under Upjohn is unsettled; log describes him as a "company witness." Questions reflect counsel's mental impressions, so WP is the stronger basis. Log omits cc Torano.</w:t>
            </w:r>
          </w:p>
        </w:tc>
        <w:tc>
          <w:tcPr>
            <w:tcW w:type="dxa" w:w="2016"/>
          </w:tcPr>
          <w:p>
            <w:r/>
            <w:r>
              <w:rPr>
                <w:sz w:val="18"/>
              </w:rPr>
              <w:t>Re-designate as WP (and ACP in the alternative); correct description to "former employee"; add cc. Any Brannigan responses likely not ACP-protected.</w:t>
            </w:r>
          </w:p>
        </w:tc>
      </w:tr>
      <w:tr>
        <w:tc>
          <w:tcPr>
            <w:tcW w:type="dxa" w:w="576"/>
          </w:tcPr>
          <w:p>
            <w:r/>
            <w:r>
              <w:rPr>
                <w:sz w:val="18"/>
              </w:rPr>
              <w:t>246</w:t>
            </w:r>
          </w:p>
        </w:tc>
        <w:tc>
          <w:tcPr>
            <w:tcW w:type="dxa" w:w="1872"/>
          </w:tcPr>
          <w:p>
            <w:r/>
            <w:r>
              <w:rPr>
                <w:sz w:val="18"/>
              </w:rPr>
              <w:t>January 22, 2023</w:t>
              <w:br/>
              <w:t>Catherine Marsh, Esq. → Margaret Langford, Esq.</w:t>
            </w:r>
          </w:p>
        </w:tc>
        <w:tc>
          <w:tcPr>
            <w:tcW w:type="dxa" w:w="720"/>
          </w:tcPr>
          <w:p>
            <w:r/>
            <w:r>
              <w:rPr>
                <w:sz w:val="18"/>
              </w:rPr>
              <w:t>ACP</w:t>
            </w:r>
          </w:p>
        </w:tc>
        <w:tc>
          <w:tcPr>
            <w:tcW w:type="dxa" w:w="4176"/>
          </w:tcPr>
          <w:p>
            <w:r/>
            <w:r>
              <w:rPr>
                <w:sz w:val="18"/>
              </w:rPr>
              <w:t>Supplemental expert report of testifying expert Reese. Drafts and counsel comments protected under 26(b)(4)(B)-(C), but any final report served/relied upon and facts/data considered must be produced.</w:t>
            </w:r>
          </w:p>
        </w:tc>
        <w:tc>
          <w:tcPr>
            <w:tcW w:type="dxa" w:w="2016"/>
          </w:tcPr>
          <w:p>
            <w:r/>
            <w:r>
              <w:rPr>
                <w:sz w:val="18"/>
              </w:rPr>
              <w:t>Confirm whether attachment is draft or final; produce final/considered materials.</w:t>
            </w:r>
          </w:p>
        </w:tc>
      </w:tr>
      <w:tr>
        <w:tc>
          <w:tcPr>
            <w:tcW w:type="dxa" w:w="576"/>
          </w:tcPr>
          <w:p>
            <w:r/>
            <w:r>
              <w:rPr>
                <w:sz w:val="18"/>
              </w:rPr>
              <w:t>270</w:t>
            </w:r>
          </w:p>
        </w:tc>
        <w:tc>
          <w:tcPr>
            <w:tcW w:type="dxa" w:w="1872"/>
          </w:tcPr>
          <w:p>
            <w:r/>
            <w:r>
              <w:rPr>
                <w:sz w:val="18"/>
              </w:rPr>
              <w:t>May 8, 2023</w:t>
              <w:br/>
              <w:t>Catherine Marsh, Esq. → Gregory Dane, Esq.</w:t>
            </w:r>
          </w:p>
        </w:tc>
        <w:tc>
          <w:tcPr>
            <w:tcW w:type="dxa" w:w="720"/>
          </w:tcPr>
          <w:p>
            <w:r/>
            <w:r>
              <w:rPr>
                <w:sz w:val="18"/>
              </w:rPr>
              <w:t>JCI</w:t>
            </w:r>
          </w:p>
        </w:tc>
        <w:tc>
          <w:tcPr>
            <w:tcW w:type="dxa" w:w="4176"/>
          </w:tcPr>
          <w:p>
            <w:r/>
            <w:r>
              <w:rPr>
                <w:sz w:val="18"/>
              </w:rPr>
              <w:t>JCI claimed for communication with Pacific Mutual in-house counsel re "Insurance Coverage Coordination." Pacific Mutual CIA §2.5 and §7.2 exclude coverage matters, and the GC's board memo (#177) anticipates Pacific Mutual will dispute coverage (adverse interest). Coverage-related content falls outside the CIA.</w:t>
            </w:r>
          </w:p>
        </w:tc>
        <w:tc>
          <w:tcPr>
            <w:tcW w:type="dxa" w:w="2016"/>
          </w:tcPr>
          <w:p>
            <w:r/>
            <w:r>
              <w:rPr>
                <w:sz w:val="18"/>
              </w:rPr>
              <w:t>Review document; maintain only liability-defense content within CIA scope; otherwise withdraw or redact.</w:t>
            </w:r>
          </w:p>
        </w:tc>
      </w:tr>
      <w:tr>
        <w:tc>
          <w:tcPr>
            <w:tcW w:type="dxa" w:w="576"/>
          </w:tcPr>
          <w:p>
            <w:r/>
            <w:r>
              <w:rPr>
                <w:sz w:val="18"/>
              </w:rPr>
              <w:t>281</w:t>
            </w:r>
          </w:p>
        </w:tc>
        <w:tc>
          <w:tcPr>
            <w:tcW w:type="dxa" w:w="1872"/>
          </w:tcPr>
          <w:p>
            <w:r/>
            <w:r>
              <w:rPr>
                <w:sz w:val="18"/>
              </w:rPr>
              <w:t>June 18, 2023</w:t>
              <w:br/>
              <w:t>Catherine Marsh, Esq. → Gregory Dane, Esq.</w:t>
            </w:r>
          </w:p>
        </w:tc>
        <w:tc>
          <w:tcPr>
            <w:tcW w:type="dxa" w:w="720"/>
          </w:tcPr>
          <w:p>
            <w:r/>
            <w:r>
              <w:rPr>
                <w:sz w:val="18"/>
              </w:rPr>
              <w:t>JCI</w:t>
            </w:r>
          </w:p>
        </w:tc>
        <w:tc>
          <w:tcPr>
            <w:tcW w:type="dxa" w:w="4176"/>
          </w:tcPr>
          <w:p>
            <w:r/>
            <w:r>
              <w:rPr>
                <w:sz w:val="18"/>
              </w:rPr>
              <w:t>JCI claimed for communication with Pacific Mutual in-house counsel re "Updated Coverage Analysis." Pacific Mutual CIA §2.5 and §7.2 exclude coverage matters, and the GC's board memo (#177) anticipates Pacific Mutual will dispute coverage (adverse interest). Coverage-related content falls outside the CIA.</w:t>
            </w:r>
          </w:p>
        </w:tc>
        <w:tc>
          <w:tcPr>
            <w:tcW w:type="dxa" w:w="2016"/>
          </w:tcPr>
          <w:p>
            <w:r/>
            <w:r>
              <w:rPr>
                <w:sz w:val="18"/>
              </w:rPr>
              <w:t>Review document; maintain only liability-defense content within CIA scope; otherwise withdraw or redact.</w:t>
            </w:r>
          </w:p>
        </w:tc>
      </w:tr>
      <w:tr>
        <w:tc>
          <w:tcPr>
            <w:tcW w:type="dxa" w:w="576"/>
          </w:tcPr>
          <w:p>
            <w:r/>
            <w:r>
              <w:rPr>
                <w:sz w:val="18"/>
              </w:rPr>
              <w:t>287</w:t>
            </w:r>
          </w:p>
        </w:tc>
        <w:tc>
          <w:tcPr>
            <w:tcW w:type="dxa" w:w="1872"/>
          </w:tcPr>
          <w:p>
            <w:r/>
            <w:r>
              <w:rPr>
                <w:sz w:val="18"/>
              </w:rPr>
              <w:t>July 18, 2023</w:t>
              <w:br/>
              <w:t>Arjun Kapadia, Esq. → William Haney</w:t>
            </w:r>
          </w:p>
        </w:tc>
        <w:tc>
          <w:tcPr>
            <w:tcW w:type="dxa" w:w="720"/>
          </w:tcPr>
          <w:p>
            <w:r/>
            <w:r>
              <w:rPr>
                <w:sz w:val="18"/>
              </w:rPr>
              <w:t>ACP</w:t>
            </w:r>
          </w:p>
        </w:tc>
        <w:tc>
          <w:tcPr>
            <w:tcW w:type="dxa" w:w="4176"/>
          </w:tcPr>
          <w:p>
            <w:r/>
            <w:r>
              <w:rPr>
                <w:sz w:val="18"/>
              </w:rPr>
              <w:t>Deputy GC to CFO re settlement reserve accounting treatment - same predominant-purpose and auditor-disclosure risks as #121.</w:t>
            </w:r>
          </w:p>
        </w:tc>
        <w:tc>
          <w:tcPr>
            <w:tcW w:type="dxa" w:w="2016"/>
          </w:tcPr>
          <w:p>
            <w:r/>
            <w:r>
              <w:rPr>
                <w:sz w:val="18"/>
              </w:rPr>
              <w:t>Review document; confirm legal purpose and no auditor disclosure.</w:t>
            </w:r>
          </w:p>
        </w:tc>
      </w:tr>
      <w:tr>
        <w:tc>
          <w:tcPr>
            <w:tcW w:type="dxa" w:w="576"/>
          </w:tcPr>
          <w:p>
            <w:r/>
            <w:r>
              <w:rPr>
                <w:sz w:val="18"/>
              </w:rPr>
              <w:t>299</w:t>
            </w:r>
          </w:p>
        </w:tc>
        <w:tc>
          <w:tcPr>
            <w:tcW w:type="dxa" w:w="1872"/>
          </w:tcPr>
          <w:p>
            <w:r/>
            <w:r>
              <w:rPr>
                <w:sz w:val="18"/>
              </w:rPr>
              <w:t>September 18, 2023</w:t>
              <w:br/>
              <w:t>Catherine Marsh, Esq. → Gregory Dane, Esq.</w:t>
            </w:r>
          </w:p>
        </w:tc>
        <w:tc>
          <w:tcPr>
            <w:tcW w:type="dxa" w:w="720"/>
          </w:tcPr>
          <w:p>
            <w:r/>
            <w:r>
              <w:rPr>
                <w:sz w:val="18"/>
              </w:rPr>
              <w:t>JCI</w:t>
            </w:r>
          </w:p>
        </w:tc>
        <w:tc>
          <w:tcPr>
            <w:tcW w:type="dxa" w:w="4176"/>
          </w:tcPr>
          <w:p>
            <w:r/>
            <w:r>
              <w:rPr>
                <w:sz w:val="18"/>
              </w:rPr>
              <w:t>JCI claimed for communication with Pacific Mutual in-house counsel re "Trial Coverage Update." Pacific Mutual CIA §2.5 and §7.2 exclude coverage matters, and the GC's board memo (#177) anticipates Pacific Mutual will dispute coverage (adverse interest). Coverage-related content falls outside the CIA.</w:t>
            </w:r>
          </w:p>
        </w:tc>
        <w:tc>
          <w:tcPr>
            <w:tcW w:type="dxa" w:w="2016"/>
          </w:tcPr>
          <w:p>
            <w:r/>
            <w:r>
              <w:rPr>
                <w:sz w:val="18"/>
              </w:rPr>
              <w:t>Review document; maintain only liability-defense content within CIA scope; otherwise withdraw or redact.</w:t>
            </w:r>
          </w:p>
        </w:tc>
      </w:tr>
    </w:tbl>
    <w:p/>
    <w:p>
      <w:pPr>
        <w:pStyle w:val="Heading2"/>
      </w:pPr>
      <w:r>
        <w:t>D. Category 2 — Defensible, but Log Correction Required (16 entries)</w:t>
      </w:r>
    </w:p>
    <w:p>
      <w:r>
        <w:rPr>
          <w:b w:val="0"/>
          <w:i w:val="0"/>
        </w:rPr>
        <w:t>These documents are privileged in substance, but the log entries misstate the date, subject or recipients, or use descriptions too generic to meet Rule 26(b)(5)(A). Two sampled documents contain internal anachronisms that need a metadata check before we rely on them. #93 refers to fees "through June 2024" in an April 2021 email. #184, dated March 2022, says Reese "has been formally designated," but the designation was January 2024. The signature block in #189 does not match Langford's other documents. The Log Corrections sheet lists the specific corrections.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576"/>
            <w:shd w:val="clear" w:color="auto" w:fill="1F3864"/>
          </w:tcPr>
          <w:p>
            <w:r/>
            <w:r>
              <w:rPr>
                <w:b/>
                <w:color w:val="FFFFFF"/>
                <w:sz w:val="18"/>
              </w:rPr>
              <w:t>#</w:t>
            </w:r>
          </w:p>
        </w:tc>
        <w:tc>
          <w:tcPr>
            <w:tcW w:type="dxa" w:w="1872"/>
            <w:shd w:val="clear" w:color="auto" w:fill="1F3864"/>
          </w:tcPr>
          <w:p>
            <w:r/>
            <w:r>
              <w:rPr>
                <w:b/>
                <w:color w:val="FFFFFF"/>
                <w:sz w:val="18"/>
              </w:rPr>
              <w:t>Date / Parties</w:t>
            </w:r>
          </w:p>
        </w:tc>
        <w:tc>
          <w:tcPr>
            <w:tcW w:type="dxa" w:w="720"/>
            <w:shd w:val="clear" w:color="auto" w:fill="1F3864"/>
          </w:tcPr>
          <w:p>
            <w:r/>
            <w:r>
              <w:rPr>
                <w:b/>
                <w:color w:val="FFFFFF"/>
                <w:sz w:val="18"/>
              </w:rPr>
              <w:t>Basis</w:t>
            </w:r>
          </w:p>
        </w:tc>
        <w:tc>
          <w:tcPr>
            <w:tcW w:type="dxa" w:w="4176"/>
            <w:shd w:val="clear" w:color="auto" w:fill="1F3864"/>
          </w:tcPr>
          <w:p>
            <w:r/>
            <w:r>
              <w:rPr>
                <w:b/>
                <w:color w:val="FFFFFF"/>
                <w:sz w:val="18"/>
              </w:rPr>
              <w:t>Deficiency</w:t>
            </w:r>
          </w:p>
        </w:tc>
        <w:tc>
          <w:tcPr>
            <w:tcW w:type="dxa" w:w="2016"/>
            <w:shd w:val="clear" w:color="auto" w:fill="1F3864"/>
          </w:tcPr>
          <w:p>
            <w:r/>
            <w:r>
              <w:rPr>
                <w:b/>
                <w:color w:val="FFFFFF"/>
                <w:sz w:val="18"/>
              </w:rPr>
              <w:t>Action</w:t>
            </w:r>
          </w:p>
        </w:tc>
      </w:tr>
      <w:tr>
        <w:tc>
          <w:tcPr>
            <w:tcW w:type="dxa" w:w="576"/>
          </w:tcPr>
          <w:p>
            <w:r/>
            <w:r>
              <w:rPr>
                <w:sz w:val="18"/>
              </w:rPr>
              <w:t>25</w:t>
            </w:r>
          </w:p>
        </w:tc>
        <w:tc>
          <w:tcPr>
            <w:tcW w:type="dxa" w:w="1872"/>
          </w:tcPr>
          <w:p>
            <w:r/>
            <w:r>
              <w:rPr>
                <w:sz w:val="18"/>
              </w:rPr>
              <w:t>April 10, 2020</w:t>
              <w:br/>
              <w:t>Margaret Langford, Esq. → Donald Pruitt</w:t>
            </w:r>
          </w:p>
        </w:tc>
        <w:tc>
          <w:tcPr>
            <w:tcW w:type="dxa" w:w="720"/>
          </w:tcPr>
          <w:p>
            <w:r/>
            <w:r>
              <w:rPr>
                <w:sz w:val="18"/>
              </w:rPr>
              <w:t>ACP</w:t>
            </w:r>
          </w:p>
        </w:tc>
        <w:tc>
          <w:tcPr>
            <w:tcW w:type="dxa" w:w="4176"/>
          </w:tcPr>
          <w:p>
            <w:r/>
            <w:r>
              <w:rPr>
                <w:sz w:val="18"/>
              </w:rPr>
              <w:t>Substantively privileged: GC Langford giving legal advice on NJDEP PFAS reporting. Log date (4/10/2020) conflicts with document date (4/10/2019).</w:t>
            </w:r>
          </w:p>
        </w:tc>
        <w:tc>
          <w:tcPr>
            <w:tcW w:type="dxa" w:w="2016"/>
          </w:tcPr>
          <w:p>
            <w:r/>
            <w:r>
              <w:rPr>
                <w:sz w:val="18"/>
              </w:rPr>
              <w:t>Maintain ACP; correct date to April 10, 2019.</w:t>
            </w:r>
          </w:p>
        </w:tc>
      </w:tr>
      <w:tr>
        <w:tc>
          <w:tcPr>
            <w:tcW w:type="dxa" w:w="576"/>
          </w:tcPr>
          <w:p>
            <w:r/>
            <w:r>
              <w:rPr>
                <w:sz w:val="18"/>
              </w:rPr>
              <w:t>76</w:t>
            </w:r>
          </w:p>
        </w:tc>
        <w:tc>
          <w:tcPr>
            <w:tcW w:type="dxa" w:w="1872"/>
          </w:tcPr>
          <w:p>
            <w:r/>
            <w:r>
              <w:rPr>
                <w:sz w:val="18"/>
              </w:rPr>
              <w:t>December 18, 2020</w:t>
              <w:br/>
              <w:t>Catherine Marsh, Esq. → Margaret Langford, Esq.</w:t>
            </w:r>
          </w:p>
        </w:tc>
        <w:tc>
          <w:tcPr>
            <w:tcW w:type="dxa" w:w="720"/>
          </w:tcPr>
          <w:p>
            <w:r/>
            <w:r>
              <w:rPr>
                <w:sz w:val="18"/>
              </w:rPr>
              <w:t>ACP</w:t>
            </w:r>
          </w:p>
        </w:tc>
        <w:tc>
          <w:tcPr>
            <w:tcW w:type="dxa" w:w="4176"/>
          </w:tcPr>
          <w:p>
            <w:r/>
            <w:r>
              <w:rPr>
                <w:sz w:val="18"/>
              </w:rPr>
              <w:t>Outside counsel to GC (cc CLM paralegal - agent, no waiver) on discovery/production strategy: privileged. Log date 12/18/2020 conflicts with document date 9/22/2021.</w:t>
            </w:r>
          </w:p>
        </w:tc>
        <w:tc>
          <w:tcPr>
            <w:tcW w:type="dxa" w:w="2016"/>
          </w:tcPr>
          <w:p>
            <w:r/>
            <w:r>
              <w:rPr>
                <w:sz w:val="18"/>
              </w:rPr>
              <w:t>Maintain; correct date.</w:t>
            </w:r>
          </w:p>
        </w:tc>
      </w:tr>
      <w:tr>
        <w:tc>
          <w:tcPr>
            <w:tcW w:type="dxa" w:w="576"/>
          </w:tcPr>
          <w:p>
            <w:r/>
            <w:r>
              <w:rPr>
                <w:sz w:val="18"/>
              </w:rPr>
              <w:t>93</w:t>
            </w:r>
          </w:p>
        </w:tc>
        <w:tc>
          <w:tcPr>
            <w:tcW w:type="dxa" w:w="1872"/>
          </w:tcPr>
          <w:p>
            <w:r/>
            <w:r>
              <w:rPr>
                <w:sz w:val="18"/>
              </w:rPr>
              <w:t>May 15, 2021</w:t>
              <w:br/>
              <w:t>Catherine Marsh, Esq. → Arjun Kapadia, Esq.</w:t>
            </w:r>
          </w:p>
        </w:tc>
        <w:tc>
          <w:tcPr>
            <w:tcW w:type="dxa" w:w="720"/>
          </w:tcPr>
          <w:p>
            <w:r/>
            <w:r>
              <w:rPr>
                <w:sz w:val="18"/>
              </w:rPr>
              <w:t>ACP/WP</w:t>
            </w:r>
          </w:p>
        </w:tc>
        <w:tc>
          <w:tcPr>
            <w:tcW w:type="dxa" w:w="4176"/>
          </w:tcPr>
          <w:p>
            <w:r/>
            <w:r>
              <w:rPr>
                <w:sz w:val="18"/>
              </w:rPr>
              <w:t>Outside counsel to Deputy GC (cc paralegal) on expert retention strategy - ACP/WP defensible. But log date (5/15/2021) conflicts with document date (4/14/2021), and the document references fees "through June 2024" - an anachronism that must be resolved before the entry is defended.</w:t>
            </w:r>
          </w:p>
        </w:tc>
        <w:tc>
          <w:tcPr>
            <w:tcW w:type="dxa" w:w="2016"/>
          </w:tcPr>
          <w:p>
            <w:r/>
            <w:r>
              <w:rPr>
                <w:sz w:val="18"/>
              </w:rPr>
              <w:t>Maintain; correct date; verify document integrity/metadata.</w:t>
            </w:r>
          </w:p>
        </w:tc>
      </w:tr>
      <w:tr>
        <w:tc>
          <w:tcPr>
            <w:tcW w:type="dxa" w:w="576"/>
          </w:tcPr>
          <w:p>
            <w:r/>
            <w:r>
              <w:rPr>
                <w:sz w:val="18"/>
              </w:rPr>
              <w:t>104</w:t>
            </w:r>
          </w:p>
        </w:tc>
        <w:tc>
          <w:tcPr>
            <w:tcW w:type="dxa" w:w="1872"/>
          </w:tcPr>
          <w:p>
            <w:r/>
            <w:r>
              <w:rPr>
                <w:sz w:val="18"/>
              </w:rPr>
              <w:t>July 22, 2021</w:t>
              <w:br/>
              <w:t>Nadia El-Amin, Esq. → DataStream Document Solutions LLC</w:t>
            </w:r>
          </w:p>
        </w:tc>
        <w:tc>
          <w:tcPr>
            <w:tcW w:type="dxa" w:w="720"/>
          </w:tcPr>
          <w:p>
            <w:r/>
            <w:r>
              <w:rPr>
                <w:sz w:val="18"/>
              </w:rPr>
              <w:t>WP</w:t>
            </w:r>
          </w:p>
        </w:tc>
        <w:tc>
          <w:tcPr>
            <w:tcW w:type="dxa" w:w="4176"/>
          </w:tcPr>
          <w:p>
            <w:r/>
            <w:r>
              <w:rPr>
                <w:sz w:val="18"/>
              </w:rPr>
              <w:t>Work product to DataStream (litigation vendor retained by CLM - agent; disclosure to non-adversary does not waive WP). Log date (7/22/2021) conflicts with document (10/14/2021); recipient should name Jason Falk; cc Torano omitted.</w:t>
            </w:r>
          </w:p>
        </w:tc>
        <w:tc>
          <w:tcPr>
            <w:tcW w:type="dxa" w:w="2016"/>
          </w:tcPr>
          <w:p>
            <w:r/>
            <w:r>
              <w:rPr>
                <w:sz w:val="18"/>
              </w:rPr>
              <w:t>Maintain WP; correct date, recipient and cc.</w:t>
            </w:r>
          </w:p>
        </w:tc>
      </w:tr>
      <w:tr>
        <w:tc>
          <w:tcPr>
            <w:tcW w:type="dxa" w:w="576"/>
          </w:tcPr>
          <w:p>
            <w:r/>
            <w:r>
              <w:rPr>
                <w:sz w:val="18"/>
              </w:rPr>
              <w:t>108</w:t>
            </w:r>
          </w:p>
        </w:tc>
        <w:tc>
          <w:tcPr>
            <w:tcW w:type="dxa" w:w="1872"/>
          </w:tcPr>
          <w:p>
            <w:r/>
            <w:r>
              <w:rPr>
                <w:sz w:val="18"/>
              </w:rPr>
              <w:t>August 10, 2021</w:t>
              <w:br/>
              <w:t>Nadia El-Amin, Esq. → DataStream Document Solutions LLC</w:t>
            </w:r>
          </w:p>
        </w:tc>
        <w:tc>
          <w:tcPr>
            <w:tcW w:type="dxa" w:w="720"/>
          </w:tcPr>
          <w:p>
            <w:r/>
            <w:r>
              <w:rPr>
                <w:sz w:val="18"/>
              </w:rPr>
              <w:t>WP</w:t>
            </w:r>
          </w:p>
        </w:tc>
        <w:tc>
          <w:tcPr>
            <w:tcW w:type="dxa" w:w="4176"/>
          </w:tcPr>
          <w:p>
            <w:r/>
            <w:r>
              <w:rPr>
                <w:sz w:val="18"/>
              </w:rPr>
              <w:t>Work product to DataStream re coding categories and privilege priorities - defensible. Log date (8/10/2021) conflicts with document (10/14/2021); recipient should name Jordan Kessler.</w:t>
            </w:r>
          </w:p>
        </w:tc>
        <w:tc>
          <w:tcPr>
            <w:tcW w:type="dxa" w:w="2016"/>
          </w:tcPr>
          <w:p>
            <w:r/>
            <w:r>
              <w:rPr>
                <w:sz w:val="18"/>
              </w:rPr>
              <w:t>Maintain WP; correct date and recipient.</w:t>
            </w:r>
          </w:p>
        </w:tc>
      </w:tr>
      <w:tr>
        <w:tc>
          <w:tcPr>
            <w:tcW w:type="dxa" w:w="576"/>
          </w:tcPr>
          <w:p>
            <w:r/>
            <w:r>
              <w:rPr>
                <w:sz w:val="18"/>
              </w:rPr>
              <w:t>147</w:t>
            </w:r>
          </w:p>
        </w:tc>
        <w:tc>
          <w:tcPr>
            <w:tcW w:type="dxa" w:w="1872"/>
          </w:tcPr>
          <w:p>
            <w:r/>
            <w:r>
              <w:rPr>
                <w:sz w:val="18"/>
              </w:rPr>
              <w:t>October 5, 2021</w:t>
              <w:br/>
              <w:t>Margaret Langford, Esq. → Arjun Kapadia, Esq.</w:t>
            </w:r>
          </w:p>
        </w:tc>
        <w:tc>
          <w:tcPr>
            <w:tcW w:type="dxa" w:w="720"/>
          </w:tcPr>
          <w:p>
            <w:r/>
            <w:r>
              <w:rPr>
                <w:sz w:val="18"/>
              </w:rPr>
              <w:t>ACP</w:t>
            </w:r>
          </w:p>
        </w:tc>
        <w:tc>
          <w:tcPr>
            <w:tcW w:type="dxa" w:w="4176"/>
          </w:tcPr>
          <w:p>
            <w:r/>
            <w:r>
              <w:rPr>
                <w:sz w:val="18"/>
              </w:rPr>
              <w:t>Substantively privileged (GC to Deputy GC re §113(f) strategy). Log date (10/5/2021) vs document (10/18/2021); log subject "Litigation Update" vs actual "CERCLA Contribution Claim Analysis"; description "Confidential communication re: legal matter" is insufficient under Rule 26(b)(5)(A).</w:t>
            </w:r>
          </w:p>
        </w:tc>
        <w:tc>
          <w:tcPr>
            <w:tcW w:type="dxa" w:w="2016"/>
          </w:tcPr>
          <w:p>
            <w:r/>
            <w:r>
              <w:rPr>
                <w:sz w:val="18"/>
              </w:rPr>
              <w:t>Maintain; correct date, subject, description.</w:t>
            </w:r>
          </w:p>
        </w:tc>
      </w:tr>
      <w:tr>
        <w:tc>
          <w:tcPr>
            <w:tcW w:type="dxa" w:w="576"/>
          </w:tcPr>
          <w:p>
            <w:r/>
            <w:r>
              <w:rPr>
                <w:sz w:val="18"/>
              </w:rPr>
              <w:t>152</w:t>
            </w:r>
          </w:p>
        </w:tc>
        <w:tc>
          <w:tcPr>
            <w:tcW w:type="dxa" w:w="1872"/>
          </w:tcPr>
          <w:p>
            <w:r/>
            <w:r>
              <w:rPr>
                <w:sz w:val="18"/>
              </w:rPr>
              <w:t>November 12, 2021</w:t>
              <w:br/>
              <w:t>Catherine Marsh, Esq. → Philip Torano, Esq.</w:t>
            </w:r>
          </w:p>
        </w:tc>
        <w:tc>
          <w:tcPr>
            <w:tcW w:type="dxa" w:w="720"/>
          </w:tcPr>
          <w:p>
            <w:r/>
            <w:r>
              <w:rPr>
                <w:sz w:val="18"/>
              </w:rPr>
              <w:t>ACP</w:t>
            </w:r>
          </w:p>
        </w:tc>
        <w:tc>
          <w:tcPr>
            <w:tcW w:type="dxa" w:w="4176"/>
          </w:tcPr>
          <w:p>
            <w:r/>
            <w:r>
              <w:rPr>
                <w:sz w:val="18"/>
              </w:rPr>
              <w:t>Internal CLM partner-to-associate email re MSJ strategy - core opinion work product. Log date (11/12/2021) vs document (10/14/2022); description "Attorney-client privileged communication" is conclusory; WP is the stronger basis.</w:t>
            </w:r>
          </w:p>
        </w:tc>
        <w:tc>
          <w:tcPr>
            <w:tcW w:type="dxa" w:w="2016"/>
          </w:tcPr>
          <w:p>
            <w:r/>
            <w:r>
              <w:rPr>
                <w:sz w:val="18"/>
              </w:rPr>
              <w:t>Maintain; add WP basis; correct date and description.</w:t>
            </w:r>
          </w:p>
        </w:tc>
      </w:tr>
      <w:tr>
        <w:tc>
          <w:tcPr>
            <w:tcW w:type="dxa" w:w="576"/>
          </w:tcPr>
          <w:p>
            <w:r/>
            <w:r>
              <w:rPr>
                <w:sz w:val="18"/>
              </w:rPr>
              <w:t>158</w:t>
            </w:r>
          </w:p>
        </w:tc>
        <w:tc>
          <w:tcPr>
            <w:tcW w:type="dxa" w:w="1872"/>
          </w:tcPr>
          <w:p>
            <w:r/>
            <w:r>
              <w:rPr>
                <w:sz w:val="18"/>
              </w:rPr>
              <w:t>October 22, 2021</w:t>
              <w:br/>
              <w:t>Catherine Marsh, Esq. → James Whitmore, Esq.</w:t>
            </w:r>
          </w:p>
        </w:tc>
        <w:tc>
          <w:tcPr>
            <w:tcW w:type="dxa" w:w="720"/>
          </w:tcPr>
          <w:p>
            <w:r/>
            <w:r>
              <w:rPr>
                <w:sz w:val="18"/>
              </w:rPr>
              <w:t>JCI</w:t>
            </w:r>
          </w:p>
        </w:tc>
        <w:tc>
          <w:tcPr>
            <w:tcW w:type="dxa" w:w="4176"/>
          </w:tcPr>
          <w:p>
            <w:r/>
            <w:r>
              <w:rPr>
                <w:sz w:val="18"/>
              </w:rPr>
              <w:t>Post-CIA JCI coordination of deposition prep - defensible. Log omits cc: Philip Torano and Rachel Dunn.</w:t>
            </w:r>
          </w:p>
        </w:tc>
        <w:tc>
          <w:tcPr>
            <w:tcW w:type="dxa" w:w="2016"/>
          </w:tcPr>
          <w:p>
            <w:r/>
            <w:r>
              <w:rPr>
                <w:sz w:val="18"/>
              </w:rPr>
              <w:t>Maintain; add cc recipients.</w:t>
            </w:r>
          </w:p>
        </w:tc>
      </w:tr>
      <w:tr>
        <w:tc>
          <w:tcPr>
            <w:tcW w:type="dxa" w:w="576"/>
          </w:tcPr>
          <w:p>
            <w:r/>
            <w:r>
              <w:rPr>
                <w:sz w:val="18"/>
              </w:rPr>
              <w:t>168</w:t>
            </w:r>
          </w:p>
        </w:tc>
        <w:tc>
          <w:tcPr>
            <w:tcW w:type="dxa" w:w="1872"/>
          </w:tcPr>
          <w:p>
            <w:r/>
            <w:r>
              <w:rPr>
                <w:sz w:val="18"/>
              </w:rPr>
              <w:t>February 8, 2022</w:t>
              <w:br/>
              <w:t>Philip Torano, Esq. → Catherine Marsh, Esq.</w:t>
            </w:r>
          </w:p>
        </w:tc>
        <w:tc>
          <w:tcPr>
            <w:tcW w:type="dxa" w:w="720"/>
          </w:tcPr>
          <w:p>
            <w:r/>
            <w:r>
              <w:rPr>
                <w:sz w:val="18"/>
              </w:rPr>
              <w:t>WP</w:t>
            </w:r>
          </w:p>
        </w:tc>
        <w:tc>
          <w:tcPr>
            <w:tcW w:type="dxa" w:w="4176"/>
          </w:tcPr>
          <w:p>
            <w:r/>
            <w:r>
              <w:rPr>
                <w:sz w:val="18"/>
              </w:rPr>
              <w:t>Associate research memo to partner analyzing §113(f) contribution claims - opinion WP. Log date (2/8/2022) vs document (10/14/2021); subject "Re: Research Memo" and description "Privileged and confidential" are insufficient.</w:t>
            </w:r>
          </w:p>
        </w:tc>
        <w:tc>
          <w:tcPr>
            <w:tcW w:type="dxa" w:w="2016"/>
          </w:tcPr>
          <w:p>
            <w:r/>
            <w:r>
              <w:rPr>
                <w:sz w:val="18"/>
              </w:rPr>
              <w:t>Maintain; correct date, subject, description.</w:t>
            </w:r>
          </w:p>
        </w:tc>
      </w:tr>
      <w:tr>
        <w:tc>
          <w:tcPr>
            <w:tcW w:type="dxa" w:w="576"/>
          </w:tcPr>
          <w:p>
            <w:r/>
            <w:r>
              <w:rPr>
                <w:sz w:val="18"/>
              </w:rPr>
              <w:t>184</w:t>
            </w:r>
          </w:p>
        </w:tc>
        <w:tc>
          <w:tcPr>
            <w:tcW w:type="dxa" w:w="1872"/>
          </w:tcPr>
          <w:p>
            <w:r/>
            <w:r>
              <w:rPr>
                <w:sz w:val="18"/>
              </w:rPr>
              <w:t>March 5, 2022</w:t>
              <w:br/>
              <w:t>Catherine Marsh, Esq. → James Whitmore, Esq.</w:t>
            </w:r>
          </w:p>
        </w:tc>
        <w:tc>
          <w:tcPr>
            <w:tcW w:type="dxa" w:w="720"/>
          </w:tcPr>
          <w:p>
            <w:r/>
            <w:r>
              <w:rPr>
                <w:sz w:val="18"/>
              </w:rPr>
              <w:t>JCI</w:t>
            </w:r>
          </w:p>
        </w:tc>
        <w:tc>
          <w:tcPr>
            <w:tcW w:type="dxa" w:w="4176"/>
          </w:tcPr>
          <w:p>
            <w:r/>
            <w:r>
              <w:rPr>
                <w:sz w:val="18"/>
              </w:rPr>
              <w:t>Post-CIA JCI research sharing - defensible. Log omits cc Torano and Dunn. Note: email (3/5/2022) states Reese "has been formally designated as a testifying expert," but designation occurred 1/15/2024 - verify date/authenticity.</w:t>
            </w:r>
          </w:p>
        </w:tc>
        <w:tc>
          <w:tcPr>
            <w:tcW w:type="dxa" w:w="2016"/>
          </w:tcPr>
          <w:p>
            <w:r/>
            <w:r>
              <w:rPr>
                <w:sz w:val="18"/>
              </w:rPr>
              <w:t>Maintain; add cc; verify date.</w:t>
            </w:r>
          </w:p>
        </w:tc>
      </w:tr>
      <w:tr>
        <w:tc>
          <w:tcPr>
            <w:tcW w:type="dxa" w:w="576"/>
          </w:tcPr>
          <w:p>
            <w:r/>
            <w:r>
              <w:rPr>
                <w:sz w:val="18"/>
              </w:rPr>
              <w:t>189</w:t>
            </w:r>
          </w:p>
        </w:tc>
        <w:tc>
          <w:tcPr>
            <w:tcW w:type="dxa" w:w="1872"/>
          </w:tcPr>
          <w:p>
            <w:r/>
            <w:r>
              <w:rPr>
                <w:sz w:val="18"/>
              </w:rPr>
              <w:t>July 18, 2022</w:t>
              <w:br/>
              <w:t>Margaret Langford, Esq. → Catherine Marsh, Esq.</w:t>
            </w:r>
          </w:p>
        </w:tc>
        <w:tc>
          <w:tcPr>
            <w:tcW w:type="dxa" w:w="720"/>
          </w:tcPr>
          <w:p>
            <w:r/>
            <w:r>
              <w:rPr>
                <w:sz w:val="18"/>
              </w:rPr>
              <w:t>ACP</w:t>
            </w:r>
          </w:p>
        </w:tc>
        <w:tc>
          <w:tcPr>
            <w:tcW w:type="dxa" w:w="4176"/>
          </w:tcPr>
          <w:p>
            <w:r/>
            <w:r>
              <w:rPr>
                <w:sz w:val="18"/>
              </w:rPr>
              <w:t>GC request to outside counsel for advice on reserve adequacy and coverage - privileged. Log date (7/18/2022) vs document (4/18/2023); subject "Discussion" insufficient. Signature block (SVP &amp; GC, "One Thornfield Plaza, Newark") inconsistent with all other Langford documents - verify authenticity/metadata.</w:t>
            </w:r>
          </w:p>
        </w:tc>
        <w:tc>
          <w:tcPr>
            <w:tcW w:type="dxa" w:w="2016"/>
          </w:tcPr>
          <w:p>
            <w:r/>
            <w:r>
              <w:rPr>
                <w:sz w:val="18"/>
              </w:rPr>
              <w:t>Maintain; correct date/subject/description; verify document.</w:t>
            </w:r>
          </w:p>
        </w:tc>
      </w:tr>
      <w:tr>
        <w:tc>
          <w:tcPr>
            <w:tcW w:type="dxa" w:w="576"/>
          </w:tcPr>
          <w:p>
            <w:r/>
            <w:r>
              <w:rPr>
                <w:sz w:val="18"/>
              </w:rPr>
              <w:t>201</w:t>
            </w:r>
          </w:p>
        </w:tc>
        <w:tc>
          <w:tcPr>
            <w:tcW w:type="dxa" w:w="1872"/>
          </w:tcPr>
          <w:p>
            <w:r/>
            <w:r>
              <w:rPr>
                <w:sz w:val="18"/>
              </w:rPr>
              <w:t>August 30, 2022</w:t>
              <w:br/>
              <w:t>Catherine Marsh, Esq. → Margaret Langford, Esq.</w:t>
            </w:r>
          </w:p>
        </w:tc>
        <w:tc>
          <w:tcPr>
            <w:tcW w:type="dxa" w:w="720"/>
          </w:tcPr>
          <w:p>
            <w:r/>
            <w:r>
              <w:rPr>
                <w:sz w:val="18"/>
              </w:rPr>
              <w:t>ACP</w:t>
            </w:r>
          </w:p>
        </w:tc>
        <w:tc>
          <w:tcPr>
            <w:tcW w:type="dxa" w:w="4176"/>
          </w:tcPr>
          <w:p>
            <w:r/>
            <w:r>
              <w:rPr>
                <w:sz w:val="18"/>
              </w:rPr>
              <w:t>Outside counsel to GC re cross-claim strategy - privileged. Log date (8/30/2022) vs document (10/18/2022); subject "Update" and description "Privileged communication re: legal matter" insufficient.</w:t>
            </w:r>
          </w:p>
        </w:tc>
        <w:tc>
          <w:tcPr>
            <w:tcW w:type="dxa" w:w="2016"/>
          </w:tcPr>
          <w:p>
            <w:r/>
            <w:r>
              <w:rPr>
                <w:sz w:val="18"/>
              </w:rPr>
              <w:t>Maintain; correct date, subject, description.</w:t>
            </w:r>
          </w:p>
        </w:tc>
      </w:tr>
      <w:tr>
        <w:tc>
          <w:tcPr>
            <w:tcW w:type="dxa" w:w="576"/>
          </w:tcPr>
          <w:p>
            <w:r/>
            <w:r>
              <w:rPr>
                <w:sz w:val="18"/>
              </w:rPr>
              <w:t>221</w:t>
            </w:r>
          </w:p>
        </w:tc>
        <w:tc>
          <w:tcPr>
            <w:tcW w:type="dxa" w:w="1872"/>
          </w:tcPr>
          <w:p>
            <w:r/>
            <w:r>
              <w:rPr>
                <w:sz w:val="18"/>
              </w:rPr>
              <w:t>March 32, 2023</w:t>
              <w:br/>
              <w:t>Philip Torano, Esq. → Catherine Marsh, Esq.</w:t>
            </w:r>
          </w:p>
        </w:tc>
        <w:tc>
          <w:tcPr>
            <w:tcW w:type="dxa" w:w="720"/>
          </w:tcPr>
          <w:p>
            <w:r/>
            <w:r>
              <w:rPr>
                <w:sz w:val="18"/>
              </w:rPr>
              <w:t>WP</w:t>
            </w:r>
          </w:p>
        </w:tc>
        <w:tc>
          <w:tcPr>
            <w:tcW w:type="dxa" w:w="4176"/>
          </w:tcPr>
          <w:p>
            <w:r/>
            <w:r>
              <w:rPr>
                <w:sz w:val="18"/>
              </w:rPr>
              <w:t>Invalid date "March 32, 2023." Otherwise plausible internal CLM work product.</w:t>
            </w:r>
          </w:p>
        </w:tc>
        <w:tc>
          <w:tcPr>
            <w:tcW w:type="dxa" w:w="2016"/>
          </w:tcPr>
          <w:p>
            <w:r/>
            <w:r>
              <w:rPr>
                <w:sz w:val="18"/>
              </w:rPr>
              <w:t>Correct date from metadata.</w:t>
            </w:r>
          </w:p>
        </w:tc>
      </w:tr>
      <w:tr>
        <w:tc>
          <w:tcPr>
            <w:tcW w:type="dxa" w:w="576"/>
          </w:tcPr>
          <w:p>
            <w:r/>
            <w:r>
              <w:rPr>
                <w:sz w:val="18"/>
              </w:rPr>
              <w:t>222</w:t>
            </w:r>
          </w:p>
        </w:tc>
        <w:tc>
          <w:tcPr>
            <w:tcW w:type="dxa" w:w="1872"/>
          </w:tcPr>
          <w:p>
            <w:r/>
            <w:r>
              <w:rPr>
                <w:sz w:val="18"/>
              </w:rPr>
              <w:t>February 30, 2022</w:t>
              <w:br/>
              <w:t>Nadia El-Amin, Esq. → Philip Torano, Esq.</w:t>
            </w:r>
          </w:p>
        </w:tc>
        <w:tc>
          <w:tcPr>
            <w:tcW w:type="dxa" w:w="720"/>
          </w:tcPr>
          <w:p>
            <w:r/>
            <w:r>
              <w:rPr>
                <w:sz w:val="18"/>
              </w:rPr>
              <w:t>WP</w:t>
            </w:r>
          </w:p>
        </w:tc>
        <w:tc>
          <w:tcPr>
            <w:tcW w:type="dxa" w:w="4176"/>
          </w:tcPr>
          <w:p>
            <w:r/>
            <w:r>
              <w:rPr>
                <w:sz w:val="18"/>
              </w:rPr>
              <w:t>Invalid date "February 30, 2022." Otherwise plausible internal CLM work product.</w:t>
            </w:r>
          </w:p>
        </w:tc>
        <w:tc>
          <w:tcPr>
            <w:tcW w:type="dxa" w:w="2016"/>
          </w:tcPr>
          <w:p>
            <w:r/>
            <w:r>
              <w:rPr>
                <w:sz w:val="18"/>
              </w:rPr>
              <w:t>Correct date from metadata.</w:t>
            </w:r>
          </w:p>
        </w:tc>
      </w:tr>
      <w:tr>
        <w:tc>
          <w:tcPr>
            <w:tcW w:type="dxa" w:w="576"/>
          </w:tcPr>
          <w:p>
            <w:r/>
            <w:r>
              <w:rPr>
                <w:sz w:val="18"/>
              </w:rPr>
              <w:t>245</w:t>
            </w:r>
          </w:p>
        </w:tc>
        <w:tc>
          <w:tcPr>
            <w:tcW w:type="dxa" w:w="1872"/>
          </w:tcPr>
          <w:p>
            <w:r/>
            <w:r>
              <w:rPr>
                <w:sz w:val="18"/>
              </w:rPr>
              <w:t>August 14, 2023</w:t>
              <w:br/>
              <w:t>Arjun Kapadia, Esq. → Catherine Marsh, Esq.</w:t>
            </w:r>
          </w:p>
        </w:tc>
        <w:tc>
          <w:tcPr>
            <w:tcW w:type="dxa" w:w="720"/>
          </w:tcPr>
          <w:p>
            <w:r/>
            <w:r>
              <w:rPr>
                <w:sz w:val="18"/>
              </w:rPr>
              <w:t>ACP</w:t>
            </w:r>
          </w:p>
        </w:tc>
        <w:tc>
          <w:tcPr>
            <w:tcW w:type="dxa" w:w="4176"/>
          </w:tcPr>
          <w:p>
            <w:r/>
            <w:r>
              <w:rPr>
                <w:sz w:val="18"/>
              </w:rPr>
              <w:t>Deputy GC to outside counsel re allocation strategy - privileged. Log date (8/14/2023) vs document (11/17/2023); subject "Status" and description "Attorney-client privileged" insufficient.</w:t>
            </w:r>
          </w:p>
        </w:tc>
        <w:tc>
          <w:tcPr>
            <w:tcW w:type="dxa" w:w="2016"/>
          </w:tcPr>
          <w:p>
            <w:r/>
            <w:r>
              <w:rPr>
                <w:sz w:val="18"/>
              </w:rPr>
              <w:t>Maintain; correct date, subject, description.</w:t>
            </w:r>
          </w:p>
        </w:tc>
      </w:tr>
      <w:tr>
        <w:tc>
          <w:tcPr>
            <w:tcW w:type="dxa" w:w="576"/>
          </w:tcPr>
          <w:p>
            <w:r/>
            <w:r>
              <w:rPr>
                <w:sz w:val="18"/>
              </w:rPr>
              <w:t>267</w:t>
            </w:r>
          </w:p>
        </w:tc>
        <w:tc>
          <w:tcPr>
            <w:tcW w:type="dxa" w:w="1872"/>
          </w:tcPr>
          <w:p>
            <w:r/>
            <w:r>
              <w:rPr>
                <w:sz w:val="18"/>
              </w:rPr>
              <w:t>January 22, 2024</w:t>
              <w:br/>
              <w:t>Catherine Marsh, Esq. → Margaret Langford, Esq.</w:t>
            </w:r>
          </w:p>
        </w:tc>
        <w:tc>
          <w:tcPr>
            <w:tcW w:type="dxa" w:w="720"/>
          </w:tcPr>
          <w:p>
            <w:r/>
            <w:r>
              <w:rPr>
                <w:sz w:val="18"/>
              </w:rPr>
              <w:t>ACP</w:t>
            </w:r>
          </w:p>
        </w:tc>
        <w:tc>
          <w:tcPr>
            <w:tcW w:type="dxa" w:w="4176"/>
          </w:tcPr>
          <w:p>
            <w:r/>
            <w:r>
              <w:rPr>
                <w:sz w:val="18"/>
              </w:rPr>
              <w:t>Outside counsel to GC with allocation analysis and draft attachment - privileged/WP. Log date (1/22/2024) vs document (4/18/2023); subject "Confidential" and description insufficient; attachment not logged.</w:t>
            </w:r>
          </w:p>
        </w:tc>
        <w:tc>
          <w:tcPr>
            <w:tcW w:type="dxa" w:w="2016"/>
          </w:tcPr>
          <w:p>
            <w:r/>
            <w:r>
              <w:rPr>
                <w:sz w:val="18"/>
              </w:rPr>
              <w:t>Maintain; correct date/subject/description; log attachment.</w:t>
            </w:r>
          </w:p>
        </w:tc>
      </w:tr>
    </w:tbl>
    <w:p/>
    <w:p>
      <w:pPr>
        <w:pStyle w:val="Heading2"/>
      </w:pPr>
      <w:r>
        <w:t>E. Category 1 — Defensible (249 entries)</w:t>
      </w:r>
    </w:p>
    <w:p>
      <w:r>
        <w:rPr>
          <w:b w:val="0"/>
          <w:i w:val="0"/>
        </w:rPr>
        <w:t>The three sampled entries in this category (#37, #143, #167) are properly supported. #37 is Deputy GC legal advice on vendor indemnity. #143 and #167 are counsel-to-counsel communications made after the Garfield CIA took effect and within its scope. The other 246 entries fall into categories that are normally defensible: CLM research memos and draft pleadings (WP); communications between CLM and the GC or Deputy GC; legal advice from the GC or Deputy GC to operational staff on specific regulatory questions after March 15, 2019; and joint defense communications after August 3, 2021. We did not sample any GC/Deputy GC communications with operations staff (e.g., #47, 80, 100, 133, 173, 194, 212, 248, 257, 266) or with the CFO (#61, 239). Because the sample showed so many mixed-purpose documents, these entries should get a primary-purpose spot-check.</w:t>
      </w:r>
    </w:p>
    <w:p>
      <w:pPr>
        <w:pStyle w:val="Heading1"/>
      </w:pPr>
      <w:r>
        <w:t>V. Clawback and Waiver-Containment Candidates</w:t>
      </w:r>
    </w:p>
    <w:p>
      <w:r>
        <w:rPr>
          <w:b w:val="0"/>
          <w:i w:val="0"/>
        </w:rPr>
        <w:t>The enclosed workbook lists 10 candidate items, ranked by priority. For each one, it analyzes whether FRE 502(b) clawback is available (inadvertence, reasonable precautions, prompt correction) and the risk of subject-matter waiver under FRE 502(a). The main conclusions are:</w:t>
      </w:r>
    </w:p>
    <w:p>
      <w:pPr>
        <w:pStyle w:val="ListBullet"/>
      </w:pPr>
      <w:r>
        <w:t>Clawback is not realistically available for #128 (NJDEP) or #102 (Ridgeline). The GC disclosed both documents deliberately. The goal should be to limit the waiver to those documents: do not use them affirmatively, and prepare to oppose subject-matter waiver.</w:t>
      </w:r>
    </w:p>
    <w:p>
      <w:pPr>
        <w:pStyle w:val="ListBullet"/>
      </w:pPr>
      <w:r>
        <w:t>#78 (the forward to Graystone) is the strongest candidate for a 502(b) argument. The employee who forwarded it could not waive privilege for the company, and counsel had told him in writing not to share it. But the forward went undetected for years, and Reese's later designation as a testifying expert may make the email discoverable regardless, if he considered it. Send a sequestration demand to Graystone now.</w:t>
      </w:r>
    </w:p>
    <w:p>
      <w:pPr>
        <w:pStyle w:val="ListBullet"/>
      </w:pPr>
      <w:r>
        <w:t>#85 and #91 (shared with Garfield before the CIA) can be defended only with an informal common-interest argument under Teleglobe. The Garfield CIA's own recitals seriously undercut that argument.</w:t>
      </w:r>
    </w:p>
    <w:p>
      <w:pPr>
        <w:pStyle w:val="ListBullet"/>
      </w:pPr>
      <w:r>
        <w:t>#177, #44, #119, #156 and the Reese expert file (#199, with drafts in #155 and #246) need a redaction and segregation protocol for production. If any unredacted version has already gone out, send a clawback notice immediately. If the Court has not entered a FRE 502(d) order, we recommend seeking one before the next production.</w:t>
      </w:r>
    </w:p>
    <w:p>
      <w:pPr>
        <w:pStyle w:val="Heading1"/>
      </w:pPr>
      <w:r>
        <w:t>VI. Recommendations</w:t>
      </w:r>
    </w:p>
    <w:p>
      <w:pPr>
        <w:pStyle w:val="ListNumber"/>
      </w:pPr>
      <w:r>
        <w:t>Before the log is re-served, withdraw the 27 Category 4 claims and correct the 5 Category 5 entries, so the log accurately describes the documents actually withheld.</w:t>
      </w:r>
    </w:p>
    <w:p>
      <w:pPr>
        <w:pStyle w:val="ListNumber"/>
      </w:pPr>
      <w:r>
        <w:t>Correct all 26 metadata errors listed in the Log Corrections sheet. Replace every generic description with a subject-matter description.</w:t>
      </w:r>
    </w:p>
    <w:p>
      <w:pPr>
        <w:pStyle w:val="ListNumber"/>
      </w:pPr>
      <w:r>
        <w:t>Escalate #128 and #102 to the client (Langford) right away. Both involve disclosures by the GC herself, which is sensitive, and they may affect the settlement posture with NJDEP and communications with the insurer.</w:t>
      </w:r>
    </w:p>
    <w:p>
      <w:pPr>
        <w:pStyle w:val="ListNumber"/>
      </w:pPr>
      <w:r>
        <w:t>Run a document-level check on the 246 unsampled entries. Prioritize: (a) Langford→operations entries from 2019–2020; (b) Deputy GC→CFO entries on reserves and accounting (#121, 287), including whether anything went to Pendleton (the outside auditors); (c) JCI entries with Pacific Mutual on coverage; (d) all entries dated out of chronological sequence, since in the sample these were strongly associated with mis-dated or misattributed documents.</w:t>
      </w:r>
    </w:p>
    <w:p>
      <w:pPr>
        <w:pStyle w:val="ListNumber"/>
      </w:pPr>
      <w:r>
        <w:t>Prepare now to defend #72 against a crime-fraud challenge, including the actual timing of the NJDEP notification.</w:t>
      </w:r>
    </w:p>
    <w:p>
      <w:pPr>
        <w:pStyle w:val="ListNumber"/>
      </w:pPr>
      <w:r>
        <w:t>Expert file: produce #199 and the facts and data Reese considered. Keep protecting drafts and counsel communications. Also note that director "Marcus Lindgren" on the Board distribution list (#177) has the same name as a candidate expert whom #93 describes as having "no prior relationship with Thornfield." Confirm whether they are the same person before any expert designation.</w:t>
      </w:r>
    </w:p>
    <w:p>
      <w:pPr>
        <w:pStyle w:val="ListNumber"/>
      </w:pPr>
      <w:r>
        <w:t>Implement a written privilege protocol that addresses the recurring errors: attorney role dates, non-lawyer "regulatory counsel," vendors and consultants, mixed-purpose emails, and CIA effective dates and scope.</w:t>
      </w:r>
    </w:p>
    <w:p>
      <w:pPr>
        <w:pStyle w:val="Heading1"/>
      </w:pPr>
      <w:r>
        <w:t>VII. Limitations</w:t>
      </w:r>
    </w:p>
    <w:p>
      <w:r>
        <w:rPr>
          <w:b w:val="0"/>
          <w:i w:val="0"/>
        </w:rPr>
        <w:t>This analysis relies on the privilege log, the 49 sample documents and the governing documents provided. We did not have native metadata, the documents behind the 263 unsampled entries, production history, or any protective or 502(d) order. The legal standards are summarized at a general level and should be confirmed against current District of New Jersey authority before any motion practice.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