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17365D"/>
          <w:sz w:val="46"/>
        </w:rPr>
        <w:t>OPPOSITION ISSUES MEMORANDUM</w:t>
      </w:r>
    </w:p>
    <w:p>
      <w:pPr>
        <w:spacing w:after="240"/>
      </w:pPr>
      <w:r>
        <w:rPr>
          <w:b/>
          <w:color w:val="375F91"/>
          <w:sz w:val="28"/>
        </w:rPr>
        <w:t>Pinnacle Staffing Solutions, Inc. v. DataCore Systems, Inc.</w:t>
      </w:r>
    </w:p>
    <w:tbl>
      <w:tblPr>
        <w:tblW w:type="auto" w:w="0"/>
        <w:jc w:val="left"/>
        <w:tblLayout w:type="fixed"/>
        <w:tblLook w:firstColumn="1" w:firstRow="1" w:lastColumn="0" w:lastRow="0" w:noHBand="0" w:noVBand="1" w:val="04A0"/>
      </w:tblPr>
      <w:tblGrid>
        <w:gridCol w:w="4939"/>
        <w:gridCol w:w="4939"/>
      </w:tblGrid>
      <w:tr>
        <w:trPr>
          <w:cantSplit/>
        </w:trPr>
        <w:tc>
          <w:tcPr>
            <w:tcW w:type="dxa" w:w="1555"/>
            <w:shd w:fill="D9E5F2"/>
            <w:tcMar>
              <w:top w:w="75" w:type="dxa"/>
              <w:start w:w="100" w:type="dxa"/>
              <w:bottom w:w="75" w:type="dxa"/>
              <w:end w:w="100" w:type="dxa"/>
            </w:tcMar>
          </w:tcPr>
          <w:p>
            <w:pPr>
              <w:spacing w:after="0"/>
            </w:pPr>
            <w:r>
              <w:rPr>
                <w:b/>
                <w:color w:val="1F4E79"/>
                <w:sz w:val="17"/>
              </w:rPr>
              <w:t>TO</w:t>
            </w:r>
          </w:p>
        </w:tc>
        <w:tc>
          <w:tcPr>
            <w:tcW w:type="dxa" w:w="9072"/>
            <w:tcMar>
              <w:top w:w="75" w:type="dxa"/>
              <w:start w:w="100" w:type="dxa"/>
              <w:bottom w:w="75" w:type="dxa"/>
              <w:end w:w="100" w:type="dxa"/>
            </w:tcMar>
          </w:tcPr>
          <w:p>
            <w:pPr>
              <w:spacing w:after="0"/>
            </w:pPr>
            <w:r>
              <w:rPr>
                <w:sz w:val="18"/>
              </w:rPr>
              <w:t>Pinnacle litigation team</w:t>
            </w:r>
          </w:p>
        </w:tc>
      </w:tr>
      <w:tr>
        <w:trPr>
          <w:cantSplit/>
        </w:trPr>
        <w:tc>
          <w:tcPr>
            <w:tcW w:type="dxa" w:w="1555"/>
            <w:shd w:fill="D9E5F2"/>
            <w:tcMar>
              <w:top w:w="75" w:type="dxa"/>
              <w:start w:w="100" w:type="dxa"/>
              <w:bottom w:w="75" w:type="dxa"/>
              <w:end w:w="100" w:type="dxa"/>
            </w:tcMar>
          </w:tcPr>
          <w:p>
            <w:pPr>
              <w:spacing w:after="0"/>
            </w:pPr>
            <w:r>
              <w:rPr>
                <w:b/>
                <w:color w:val="1F4E79"/>
                <w:sz w:val="17"/>
              </w:rPr>
              <w:t>RE</w:t>
            </w:r>
          </w:p>
        </w:tc>
        <w:tc>
          <w:tcPr>
            <w:tcW w:type="dxa" w:w="9072"/>
            <w:tcMar>
              <w:top w:w="75" w:type="dxa"/>
              <w:start w:w="100" w:type="dxa"/>
              <w:bottom w:w="75" w:type="dxa"/>
              <w:end w:w="100" w:type="dxa"/>
            </w:tcMar>
          </w:tcPr>
          <w:p>
            <w:pPr>
              <w:spacing w:after="0"/>
            </w:pPr>
            <w:r>
              <w:rPr>
                <w:sz w:val="18"/>
              </w:rPr>
              <w:t>DataCore’s motion to dismiss; review of Complaint, MSA, Whitford declaration, and supplied email chains</w:t>
            </w:r>
          </w:p>
        </w:tc>
      </w:tr>
      <w:tr>
        <w:trPr>
          <w:cantSplit/>
        </w:trPr>
        <w:tc>
          <w:tcPr>
            <w:tcW w:type="dxa" w:w="1555"/>
            <w:shd w:fill="D9E5F2"/>
            <w:tcMar>
              <w:top w:w="75" w:type="dxa"/>
              <w:start w:w="100" w:type="dxa"/>
              <w:bottom w:w="75" w:type="dxa"/>
              <w:end w:w="100" w:type="dxa"/>
            </w:tcMar>
          </w:tcPr>
          <w:p>
            <w:pPr>
              <w:spacing w:after="0"/>
            </w:pPr>
            <w:r>
              <w:rPr>
                <w:b/>
                <w:color w:val="1F4E79"/>
                <w:sz w:val="17"/>
              </w:rPr>
              <w:t>RECORD</w:t>
            </w:r>
          </w:p>
        </w:tc>
        <w:tc>
          <w:tcPr>
            <w:tcW w:type="dxa" w:w="9072"/>
            <w:tcMar>
              <w:top w:w="75" w:type="dxa"/>
              <w:start w:w="100" w:type="dxa"/>
              <w:bottom w:w="75" w:type="dxa"/>
              <w:end w:w="100" w:type="dxa"/>
            </w:tcMar>
          </w:tcPr>
          <w:p>
            <w:pPr>
              <w:spacing w:after="0"/>
            </w:pPr>
            <w:r>
              <w:rPr>
                <w:sz w:val="18"/>
              </w:rPr>
              <w:t>N.D. Ga. Case No. 1:24-cv-01287-RWS; motion filed May 20, 2024</w:t>
            </w:r>
          </w:p>
        </w:tc>
      </w:tr>
      <w:tr>
        <w:trPr>
          <w:cantSplit/>
        </w:trPr>
        <w:tc>
          <w:tcPr>
            <w:tcW w:type="dxa" w:w="1555"/>
            <w:shd w:fill="D9E5F2"/>
            <w:tcMar>
              <w:top w:w="75" w:type="dxa"/>
              <w:start w:w="100" w:type="dxa"/>
              <w:bottom w:w="75" w:type="dxa"/>
              <w:end w:w="100" w:type="dxa"/>
            </w:tcMar>
          </w:tcPr>
          <w:p>
            <w:pPr>
              <w:spacing w:after="0"/>
            </w:pPr>
            <w:r>
              <w:rPr>
                <w:b/>
                <w:color w:val="1F4E79"/>
                <w:sz w:val="17"/>
              </w:rPr>
              <w:t>PURPOSE</w:t>
            </w:r>
          </w:p>
        </w:tc>
        <w:tc>
          <w:tcPr>
            <w:tcW w:type="dxa" w:w="9072"/>
            <w:tcMar>
              <w:top w:w="75" w:type="dxa"/>
              <w:start w:w="100" w:type="dxa"/>
              <w:bottom w:w="75" w:type="dxa"/>
              <w:end w:w="100" w:type="dxa"/>
            </w:tcMar>
          </w:tcPr>
          <w:p>
            <w:pPr>
              <w:spacing w:after="0"/>
            </w:pPr>
            <w:r>
              <w:rPr>
                <w:sz w:val="18"/>
              </w:rPr>
              <w:t>Issue-spotting and opposition strategy; not a filed brief</w:t>
            </w:r>
          </w:p>
        </w:tc>
      </w:tr>
    </w:tbl>
    <w:p/>
    <w:tbl>
      <w:tblPr>
        <w:tblW w:type="auto" w:w="0"/>
        <w:jc w:val="center"/>
        <w:tblLook w:firstColumn="1" w:firstRow="1" w:lastColumn="0" w:lastRow="0" w:noHBand="0" w:noVBand="1" w:val="04A0"/>
      </w:tblPr>
      <w:tblGrid>
        <w:gridCol w:w="9878"/>
      </w:tblGrid>
      <w:tr>
        <w:trPr>
          <w:cantSplit/>
        </w:trPr>
        <w:tc>
          <w:tcPr>
            <w:tcW w:type="dxa" w:w="9878"/>
            <w:shd w:fill="EAF1F8"/>
            <w:tcMar>
              <w:top w:w="110" w:type="dxa"/>
              <w:start w:w="150" w:type="dxa"/>
              <w:bottom w:w="110" w:type="dxa"/>
              <w:end w:w="150" w:type="dxa"/>
            </w:tcMar>
          </w:tcPr>
          <w:p>
            <w:pPr>
              <w:spacing w:after="0"/>
            </w:pPr>
            <w:r>
              <w:rPr>
                <w:b/>
                <w:color w:val="1F4E79"/>
              </w:rPr>
              <w:t xml:space="preserve">BOTTOM LINE  </w:t>
            </w:r>
            <w:r>
              <w:t>The motion’s strongest procedural point is not dismissal but likely transfer under 28 U.S.C. § 1404(a): MSA § 14.2 is mandatory and broad. DataCore’s Rule 12(b)(3) dismissal theory is procedurally wrong under Atlantic Marine, and its Rule 12(b)(2) section addresses only general jurisdiction while largely ignoring the well-pleaded Georgia-specific contacts. On the merits, the best immediate answer is that the contract claim is not facially time-barred—Texas law generally voids contractual periods shorter than two years, and suit was filed within two years even of the earliest alleged discovery—and that the motion improperly treats remedy limitations as claim-eliminating. The fraud, negligent-misrepresentation, and GUDTPA counts are factually specific and not simply contract-performance claims, but the MSA’s unusually explicit no-reliance sentence, the gap between the sales materials and MSA exhibits, and the emails’ 5,000–6,000 projected-volume statements are material vulnerabilities that must be confronted, not glossed over.</w:t>
            </w:r>
          </w:p>
        </w:tc>
      </w:tr>
    </w:tbl>
    <w:p>
      <w:pPr>
        <w:spacing w:after="0"/>
      </w:pPr>
    </w:p>
    <w:p>
      <w:pPr>
        <w:pStyle w:val="Heading1"/>
      </w:pPr>
      <w:r>
        <w:t>I. Executive assessment and recommended asks</w:t>
      </w:r>
    </w:p>
    <w:p>
      <w:r>
        <w:t>The opposition should separate (1) jurisdiction and venue, (2) choice of law, and (3) whether the pleaded facts state each claim. The motion repeatedly collapses these inquiries—for example, it reasons from the general-jurisdiction test to conclude there is no personal jurisdiction, treats a forum clause as a Rule 12(b)(3) venue defect, and assumes the Texas clause governs every tort and statutory count. The supplied record supports a targeted opposition, not a claim that every issue is risk-free.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71"/>
            <w:shd w:fill="17365D"/>
            <w:tcMar>
              <w:top w:w="70" w:type="dxa"/>
              <w:start w:w="85" w:type="dxa"/>
              <w:bottom w:w="70" w:type="dxa"/>
              <w:end w:w="85" w:type="dxa"/>
            </w:tcMar>
            <w:vAlign w:val="center"/>
          </w:tcPr>
          <w:p>
            <w:pPr>
              <w:spacing w:after="0"/>
            </w:pPr>
            <w:r>
              <w:rPr>
                <w:rFonts w:ascii="Aptos" w:hAnsi="Aptos"/>
                <w:b/>
                <w:color w:val="FFFFFF"/>
                <w:sz w:val="16"/>
              </w:rPr>
              <w:t>Issue</w:t>
            </w:r>
          </w:p>
        </w:tc>
        <w:tc>
          <w:tcPr>
            <w:tcW w:type="dxa" w:w="4536"/>
            <w:shd w:fill="17365D"/>
            <w:tcMar>
              <w:top w:w="70" w:type="dxa"/>
              <w:start w:w="85" w:type="dxa"/>
              <w:bottom w:w="70" w:type="dxa"/>
              <w:end w:w="85" w:type="dxa"/>
            </w:tcMar>
            <w:vAlign w:val="center"/>
          </w:tcPr>
          <w:p>
            <w:pPr>
              <w:spacing w:after="0"/>
            </w:pPr>
            <w:r>
              <w:rPr>
                <w:rFonts w:ascii="Aptos" w:hAnsi="Aptos"/>
                <w:b/>
                <w:color w:val="FFFFFF"/>
                <w:sz w:val="16"/>
              </w:rPr>
              <w:t>Best opposition point</w:t>
            </w:r>
          </w:p>
        </w:tc>
        <w:tc>
          <w:tcPr>
            <w:tcW w:type="dxa" w:w="4680"/>
            <w:shd w:fill="17365D"/>
            <w:tcMar>
              <w:top w:w="70" w:type="dxa"/>
              <w:start w:w="85" w:type="dxa"/>
              <w:bottom w:w="70" w:type="dxa"/>
              <w:end w:w="85" w:type="dxa"/>
            </w:tcMar>
            <w:vAlign w:val="center"/>
          </w:tcPr>
          <w:p>
            <w:pPr>
              <w:spacing w:after="0"/>
            </w:pPr>
            <w:r>
              <w:rPr>
                <w:rFonts w:ascii="Aptos" w:hAnsi="Aptos"/>
                <w:b/>
                <w:color w:val="FFFFFF"/>
                <w:sz w:val="16"/>
              </w:rPr>
              <w:t>Risk / recommended response</w:t>
            </w:r>
          </w:p>
        </w:tc>
      </w:tr>
      <w:tr>
        <w:trPr>
          <w:cantSplit/>
        </w:trPr>
        <w:tc>
          <w:tcPr>
            <w:tcW w:type="dxa" w:w="1771"/>
            <w:tcMar>
              <w:top w:w="70" w:type="dxa"/>
              <w:start w:w="85" w:type="dxa"/>
              <w:bottom w:w="70" w:type="dxa"/>
              <w:end w:w="85" w:type="dxa"/>
            </w:tcMar>
            <w:vAlign w:val="top"/>
          </w:tcPr>
          <w:p>
            <w:pPr>
              <w:spacing w:after="0" w:line="240" w:lineRule="auto"/>
            </w:pPr>
            <w:r>
              <w:rPr>
                <w:rFonts w:ascii="Aptos" w:hAnsi="Aptos"/>
                <w:sz w:val="16"/>
              </w:rPr>
              <w:t>Rule 12(b)(1)</w:t>
            </w:r>
          </w:p>
        </w:tc>
        <w:tc>
          <w:tcPr>
            <w:tcW w:type="dxa" w:w="4536"/>
            <w:tcMar>
              <w:top w:w="70" w:type="dxa"/>
              <w:start w:w="85" w:type="dxa"/>
              <w:bottom w:w="70" w:type="dxa"/>
              <w:end w:w="85" w:type="dxa"/>
            </w:tcMar>
            <w:vAlign w:val="top"/>
          </w:tcPr>
          <w:p>
            <w:pPr>
              <w:spacing w:after="0" w:line="240" w:lineRule="auto"/>
            </w:pPr>
            <w:r>
              <w:rPr>
                <w:rFonts w:ascii="Aptos" w:hAnsi="Aptos"/>
                <w:sz w:val="16"/>
              </w:rPr>
              <w:t>DataCore concedes the pleaded amount likely exceeds $75,000 and does not formally seek dismissal. The paid fees and alleged business losses independently clear the threshold.</w:t>
            </w:r>
          </w:p>
        </w:tc>
        <w:tc>
          <w:tcPr>
            <w:tcW w:type="dxa" w:w="4680"/>
            <w:tcMar>
              <w:top w:w="70" w:type="dxa"/>
              <w:start w:w="85" w:type="dxa"/>
              <w:bottom w:w="70" w:type="dxa"/>
              <w:end w:w="85" w:type="dxa"/>
            </w:tcMar>
            <w:vAlign w:val="top"/>
          </w:tcPr>
          <w:p>
            <w:pPr>
              <w:spacing w:after="0" w:line="240" w:lineRule="auto"/>
            </w:pPr>
            <w:r>
              <w:rPr>
                <w:rFonts w:ascii="Aptos" w:hAnsi="Aptos"/>
                <w:sz w:val="16"/>
              </w:rPr>
              <w:t>State the point briefly; a merits dispute about proof or recoverability is not a jurisdictional amount ruling at pleading stage.</w:t>
            </w:r>
          </w:p>
        </w:tc>
      </w:tr>
      <w:tr>
        <w:trPr>
          <w:cantSplit/>
        </w:trPr>
        <w:tc>
          <w:tcPr>
            <w:tcW w:type="dxa" w:w="1771"/>
            <w:tcMar>
              <w:top w:w="70" w:type="dxa"/>
              <w:start w:w="85" w:type="dxa"/>
              <w:bottom w:w="70" w:type="dxa"/>
              <w:end w:w="85" w:type="dxa"/>
            </w:tcMar>
            <w:vAlign w:val="top"/>
            <w:shd w:fill="F4F7FA"/>
          </w:tcPr>
          <w:p>
            <w:pPr>
              <w:spacing w:after="0" w:line="240" w:lineRule="auto"/>
            </w:pPr>
            <w:r>
              <w:rPr>
                <w:rFonts w:ascii="Aptos" w:hAnsi="Aptos"/>
                <w:sz w:val="16"/>
              </w:rPr>
              <w:t>Rule 12(b)(2)</w:t>
            </w:r>
          </w:p>
        </w:tc>
        <w:tc>
          <w:tcPr>
            <w:tcW w:type="dxa" w:w="4536"/>
            <w:tcMar>
              <w:top w:w="70" w:type="dxa"/>
              <w:start w:w="85" w:type="dxa"/>
              <w:bottom w:w="70" w:type="dxa"/>
              <w:end w:w="85" w:type="dxa"/>
            </w:tcMar>
            <w:vAlign w:val="top"/>
            <w:shd w:fill="F4F7FA"/>
          </w:tcPr>
          <w:p>
            <w:pPr>
              <w:spacing w:after="0" w:line="240" w:lineRule="auto"/>
            </w:pPr>
            <w:r>
              <w:rPr>
                <w:rFonts w:ascii="Aptos" w:hAnsi="Aptos"/>
                <w:sz w:val="16"/>
              </w:rPr>
              <w:t>Specific jurisdiction is plausibly alleged: an Atlanta office and staff, an Atlanta-based regional VP who made the alleged statements there, direct solicitation to a Georgia company, execution from Georgia, and Georgia implementation/injury. The declaration does not deny these core facts.</w:t>
            </w:r>
          </w:p>
        </w:tc>
        <w:tc>
          <w:tcPr>
            <w:tcW w:type="dxa" w:w="4680"/>
            <w:tcMar>
              <w:top w:w="70" w:type="dxa"/>
              <w:start w:w="85" w:type="dxa"/>
              <w:bottom w:w="70" w:type="dxa"/>
              <w:end w:w="85" w:type="dxa"/>
            </w:tcMar>
            <w:vAlign w:val="top"/>
            <w:shd w:fill="F4F7FA"/>
          </w:tcPr>
          <w:p>
            <w:pPr>
              <w:spacing w:after="0" w:line="240" w:lineRule="auto"/>
            </w:pPr>
            <w:r>
              <w:rPr>
                <w:rFonts w:ascii="Aptos" w:hAnsi="Aptos"/>
                <w:sz w:val="16"/>
              </w:rPr>
              <w:t>Do not rely on general jurisdiction. Ask for limited jurisdictional discovery if the Court considers Whitford’s declaration a factual challenge.</w:t>
            </w:r>
          </w:p>
        </w:tc>
      </w:tr>
      <w:tr>
        <w:trPr>
          <w:cantSplit/>
        </w:trPr>
        <w:tc>
          <w:tcPr>
            <w:tcW w:type="dxa" w:w="1771"/>
            <w:tcMar>
              <w:top w:w="70" w:type="dxa"/>
              <w:start w:w="85" w:type="dxa"/>
              <w:bottom w:w="70" w:type="dxa"/>
              <w:end w:w="85" w:type="dxa"/>
            </w:tcMar>
            <w:vAlign w:val="top"/>
          </w:tcPr>
          <w:p>
            <w:pPr>
              <w:spacing w:after="0" w:line="240" w:lineRule="auto"/>
            </w:pPr>
            <w:r>
              <w:rPr>
                <w:rFonts w:ascii="Aptos" w:hAnsi="Aptos"/>
                <w:sz w:val="16"/>
              </w:rPr>
              <w:t>Rule 12(b)(3) / forum</w:t>
            </w:r>
          </w:p>
        </w:tc>
        <w:tc>
          <w:tcPr>
            <w:tcW w:type="dxa" w:w="4536"/>
            <w:tcMar>
              <w:top w:w="70" w:type="dxa"/>
              <w:start w:w="85" w:type="dxa"/>
              <w:bottom w:w="70" w:type="dxa"/>
              <w:end w:w="85" w:type="dxa"/>
            </w:tcMar>
            <w:vAlign w:val="top"/>
          </w:tcPr>
          <w:p>
            <w:pPr>
              <w:spacing w:after="0" w:line="240" w:lineRule="auto"/>
            </w:pPr>
            <w:r>
              <w:rPr>
                <w:rFonts w:ascii="Aptos" w:hAnsi="Aptos"/>
                <w:sz w:val="16"/>
              </w:rPr>
              <w:t>Under Atlantic Marine, a forum-selection clause does not make venue “improper” under Rule 12(b)(3); a clause selecting another federal court is enforced through § 1404(a). Venue is otherwise plausibly proper under § 1391(b)(2).</w:t>
            </w:r>
          </w:p>
        </w:tc>
        <w:tc>
          <w:tcPr>
            <w:tcW w:type="dxa" w:w="4680"/>
            <w:tcMar>
              <w:top w:w="70" w:type="dxa"/>
              <w:start w:w="85" w:type="dxa"/>
              <w:bottom w:w="70" w:type="dxa"/>
              <w:end w:w="85" w:type="dxa"/>
            </w:tcMar>
            <w:vAlign w:val="top"/>
          </w:tcPr>
          <w:p>
            <w:pPr>
              <w:spacing w:after="0" w:line="240" w:lineRule="auto"/>
            </w:pPr>
            <w:r>
              <w:rPr>
                <w:rFonts w:ascii="Aptos" w:hAnsi="Aptos"/>
                <w:sz w:val="16"/>
              </w:rPr>
              <w:t>Substantial transfer risk: § 14.2 says “any dispute, claim, or controversy” arising out of or relating to the MSA and expressly covers scope/applicability. Preserve arguments on statutory/tort scope, but prepare for transfer to W.D. Tex., Austin Division rather than merits dismissal.</w:t>
            </w:r>
          </w:p>
        </w:tc>
      </w:tr>
      <w:tr>
        <w:trPr>
          <w:cantSplit/>
        </w:trPr>
        <w:tc>
          <w:tcPr>
            <w:tcW w:type="dxa" w:w="1771"/>
            <w:tcMar>
              <w:top w:w="70" w:type="dxa"/>
              <w:start w:w="85" w:type="dxa"/>
              <w:bottom w:w="70" w:type="dxa"/>
              <w:end w:w="85" w:type="dxa"/>
            </w:tcMar>
            <w:vAlign w:val="top"/>
            <w:shd w:fill="F4F7FA"/>
          </w:tcPr>
          <w:p>
            <w:pPr>
              <w:spacing w:after="0" w:line="240" w:lineRule="auto"/>
            </w:pPr>
            <w:r>
              <w:rPr>
                <w:rFonts w:ascii="Aptos" w:hAnsi="Aptos"/>
                <w:sz w:val="16"/>
              </w:rPr>
              <w:t>Count I—contract</w:t>
            </w:r>
          </w:p>
        </w:tc>
        <w:tc>
          <w:tcPr>
            <w:tcW w:type="dxa" w:w="4536"/>
            <w:tcMar>
              <w:top w:w="70" w:type="dxa"/>
              <w:start w:w="85" w:type="dxa"/>
              <w:bottom w:w="70" w:type="dxa"/>
              <w:end w:w="85" w:type="dxa"/>
            </w:tcMar>
            <w:vAlign w:val="top"/>
            <w:shd w:fill="F4F7FA"/>
          </w:tcPr>
          <w:p>
            <w:pPr>
              <w:spacing w:after="0" w:line="240" w:lineRule="auto"/>
            </w:pPr>
            <w:r>
              <w:rPr>
                <w:rFonts w:ascii="Aptos" w:hAnsi="Aptos"/>
                <w:sz w:val="16"/>
              </w:rPr>
              <w:t>A one-year clause is vulnerable under Tex. Civ. Prac. &amp; Rem. Code § 16.070; the complaint also pleads a later failure-to-cure/patch event and suit was filed within one year of April 15, 2023. Direct damages can remain even if the cap and consequential-loss waiver apply.</w:t>
            </w:r>
          </w:p>
        </w:tc>
        <w:tc>
          <w:tcPr>
            <w:tcW w:type="dxa" w:w="4680"/>
            <w:tcMar>
              <w:top w:w="70" w:type="dxa"/>
              <w:start w:w="85" w:type="dxa"/>
              <w:bottom w:w="70" w:type="dxa"/>
              <w:end w:w="85" w:type="dxa"/>
            </w:tcMar>
            <w:vAlign w:val="top"/>
            <w:shd w:fill="F4F7FA"/>
          </w:tcPr>
          <w:p>
            <w:pPr>
              <w:spacing w:after="0" w:line="240" w:lineRule="auto"/>
            </w:pPr>
            <w:r>
              <w:rPr>
                <w:rFonts w:ascii="Aptos" w:hAnsi="Aptos"/>
                <w:sz w:val="16"/>
              </w:rPr>
              <w:t>The MSA does not expressly promise 15,000 records; Exhibit B does not name ADP, and § 4.2 permits paid custom integrations. Re-anchor breach to §§ 2.4, 3.1, 4.1, 9.1 and the generic payroll-integration commitment; do not treat the separate SOW as an incorporated term.</w:t>
            </w:r>
          </w:p>
        </w:tc>
      </w:tr>
      <w:tr>
        <w:trPr>
          <w:cantSplit/>
        </w:trPr>
        <w:tc>
          <w:tcPr>
            <w:tcW w:type="dxa" w:w="1771"/>
            <w:tcMar>
              <w:top w:w="70" w:type="dxa"/>
              <w:start w:w="85" w:type="dxa"/>
              <w:bottom w:w="70" w:type="dxa"/>
              <w:end w:w="85" w:type="dxa"/>
            </w:tcMar>
            <w:vAlign w:val="top"/>
          </w:tcPr>
          <w:p>
            <w:pPr>
              <w:spacing w:after="0" w:line="240" w:lineRule="auto"/>
            </w:pPr>
            <w:r>
              <w:rPr>
                <w:rFonts w:ascii="Aptos" w:hAnsi="Aptos"/>
                <w:sz w:val="16"/>
              </w:rPr>
              <w:t>Count II—fraud</w:t>
            </w:r>
          </w:p>
        </w:tc>
        <w:tc>
          <w:tcPr>
            <w:tcW w:type="dxa" w:w="4536"/>
            <w:tcMar>
              <w:top w:w="70" w:type="dxa"/>
              <w:start w:w="85" w:type="dxa"/>
              <w:bottom w:w="70" w:type="dxa"/>
              <w:end w:w="85" w:type="dxa"/>
            </w:tcMar>
            <w:vAlign w:val="top"/>
          </w:tcPr>
          <w:p>
            <w:pPr>
              <w:spacing w:after="0" w:line="240" w:lineRule="auto"/>
            </w:pPr>
            <w:r>
              <w:rPr>
                <w:rFonts w:ascii="Aptos" w:hAnsi="Aptos"/>
                <w:sz w:val="16"/>
              </w:rPr>
              <w:t>Complaint identifies speakers, dates, exact written statements, demos, falsity, inducement, reliance, and resulting losses. Quantified technical claims are not mere puffery.</w:t>
            </w:r>
          </w:p>
        </w:tc>
        <w:tc>
          <w:tcPr>
            <w:tcW w:type="dxa" w:w="4680"/>
            <w:tcMar>
              <w:top w:w="70" w:type="dxa"/>
              <w:start w:w="85" w:type="dxa"/>
              <w:bottom w:w="70" w:type="dxa"/>
              <w:end w:w="85" w:type="dxa"/>
            </w:tcMar>
            <w:vAlign w:val="top"/>
          </w:tcPr>
          <w:p>
            <w:pPr>
              <w:spacing w:after="0" w:line="240" w:lineRule="auto"/>
            </w:pPr>
            <w:r>
              <w:rPr>
                <w:rFonts w:ascii="Aptos" w:hAnsi="Aptos"/>
                <w:sz w:val="16"/>
              </w:rPr>
              <w:t>Section 14.7 includes an express acknowledgment of non-reliance, stronger than a bare merger clause under Texas law. Address it directly; plead the circumstances of the sales process and why the particular assurances remained justifiably relied upon.</w:t>
            </w:r>
          </w:p>
        </w:tc>
      </w:tr>
      <w:tr>
        <w:trPr>
          <w:cantSplit/>
        </w:trPr>
        <w:tc>
          <w:tcPr>
            <w:tcW w:type="dxa" w:w="1771"/>
            <w:tcMar>
              <w:top w:w="70" w:type="dxa"/>
              <w:start w:w="85" w:type="dxa"/>
              <w:bottom w:w="70" w:type="dxa"/>
              <w:end w:w="85" w:type="dxa"/>
            </w:tcMar>
            <w:vAlign w:val="top"/>
            <w:shd w:fill="F4F7FA"/>
          </w:tcPr>
          <w:p>
            <w:pPr>
              <w:spacing w:after="0" w:line="240" w:lineRule="auto"/>
            </w:pPr>
            <w:r>
              <w:rPr>
                <w:rFonts w:ascii="Aptos" w:hAnsi="Aptos"/>
                <w:sz w:val="16"/>
              </w:rPr>
              <w:t>Counts III–IV</w:t>
            </w:r>
          </w:p>
        </w:tc>
        <w:tc>
          <w:tcPr>
            <w:tcW w:type="dxa" w:w="4536"/>
            <w:tcMar>
              <w:top w:w="70" w:type="dxa"/>
              <w:start w:w="85" w:type="dxa"/>
              <w:bottom w:w="70" w:type="dxa"/>
              <w:end w:w="85" w:type="dxa"/>
            </w:tcMar>
            <w:vAlign w:val="top"/>
            <w:shd w:fill="F4F7FA"/>
          </w:tcPr>
          <w:p>
            <w:pPr>
              <w:spacing w:after="0" w:line="240" w:lineRule="auto"/>
            </w:pPr>
            <w:r>
              <w:rPr>
                <w:rFonts w:ascii="Aptos" w:hAnsi="Aptos"/>
                <w:sz w:val="16"/>
              </w:rPr>
              <w:t>Pre-contract information supplied in business can support negligent misrepresentation; a statutory GUDTPA claim based on enumerated pre-contract conduct is not automatically merged into the contract claim.</w:t>
            </w:r>
          </w:p>
        </w:tc>
        <w:tc>
          <w:tcPr>
            <w:tcW w:type="dxa" w:w="4680"/>
            <w:tcMar>
              <w:top w:w="70" w:type="dxa"/>
              <w:start w:w="85" w:type="dxa"/>
              <w:bottom w:w="70" w:type="dxa"/>
              <w:end w:w="85" w:type="dxa"/>
            </w:tcMar>
            <w:vAlign w:val="top"/>
            <w:shd w:fill="F4F7FA"/>
          </w:tcPr>
          <w:p>
            <w:pPr>
              <w:spacing w:after="0" w:line="240" w:lineRule="auto"/>
            </w:pPr>
            <w:r>
              <w:rPr>
                <w:rFonts w:ascii="Aptos" w:hAnsi="Aptos"/>
                <w:sz w:val="16"/>
              </w:rPr>
              <w:t>GUDTPA affords primarily injunctive relief; prospective likelihood of harm is thin after termination. The complaint’s asserted 10–15k “non-negotiable” need conflicts with Nance’s contemporaneous 5–6k forecast. Clarify materiality, forward need, and requested remedies.</w:t>
            </w:r>
          </w:p>
        </w:tc>
      </w:tr>
    </w:tbl>
    <w:p>
      <w:pPr>
        <w:spacing w:after="0"/>
      </w:pPr>
    </w:p>
    <w:p>
      <w:pPr>
        <w:pStyle w:val="Heading1"/>
      </w:pPr>
      <w:r>
        <w:t>II. Record points that should anchor the opposition</w:t>
      </w:r>
    </w:p>
    <w:p>
      <w:pPr>
        <w:pStyle w:val="Heading2"/>
      </w:pPr>
      <w:r>
        <w:t>A. The motion’s factual framing omits material allegations</w:t>
      </w:r>
    </w:p>
    <w:p>
      <w:pPr>
        <w:pStyle w:val="ListBullet"/>
        <w:spacing w:after="60"/>
      </w:pPr>
      <w:r/>
      <w:r>
        <w:rPr>
          <w:b/>
        </w:rPr>
        <w:t>Specific sales statements, not generic marketing alone.</w:t>
      </w:r>
      <w:r>
        <w:t xml:space="preserve"> The Jan. 10 email states TalentBridge integrates with ADP “out of the box with zero custom configuration,” requires no code or consultants, and provides bi-directional real-time data flow. Sousa also stated DataCore had Southeast staffing clients using ADP “without any issues.” The Feb. 1 chain describes these as “production-tested integrations”; the Feb. 14 email transmitted a Pinnacle-tailored capabilities document claiming 15,000 concurrent records with sub-second latency. (Sousa–Nance email chain, Jan. 10, Feb. 1, and Feb. 14, 2022.)</w:t>
      </w:r>
    </w:p>
    <w:p>
      <w:pPr>
        <w:pStyle w:val="ListBullet"/>
        <w:spacing w:after="60"/>
      </w:pPr>
      <w:r/>
      <w:r>
        <w:rPr>
          <w:b/>
        </w:rPr>
        <w:t>The written inquiry makes the ADP point especially concrete.</w:t>
      </w:r>
      <w:r>
        <w:t xml:space="preserve"> Nance told Sousa on Dec. 15 that ADP was non-negotiable and specifically asked whether integration was native or required custom development. On Jan. 12, she called Sousa’s confirmation a significant selection factor. On Feb. 9, she again asked whether the demo was production-ready and whether custom API development was needed. These facts support materiality and reliance; the unanswered Feb. 9 question is also a credibility/reliance issue the opposition should explain.</w:t>
      </w:r>
    </w:p>
    <w:p>
      <w:pPr>
        <w:pStyle w:val="ListBullet"/>
        <w:spacing w:after="60"/>
      </w:pPr>
      <w:r/>
      <w:r>
        <w:rPr>
          <w:b/>
        </w:rPr>
        <w:t>Post-sale admissions and attempted cure matter.</w:t>
      </w:r>
      <w:r>
        <w:t xml:space="preserve"> The Jan. 12, 2023 email acknowledges real ADP difficulties and that additional custom API work was required beyond what was anticipated; it says performance at scale did not meet capabilities described in the sales process and promises a Q1 patch. DataCore delivered a patch on Apr. 15, 2023 that raised stated capacity from about 4,000 to about 7,500, but did not fix ADP integration. The December 5 notice and later termination notice are pleaded (Compl. ¶¶ 62–72). This is not a record of silent acceptance.</w:t>
      </w:r>
    </w:p>
    <w:p>
      <w:pPr>
        <w:pStyle w:val="ListBullet"/>
        <w:spacing w:after="60"/>
      </w:pPr>
      <w:r/>
      <w:r>
        <w:rPr>
          <w:b/>
        </w:rPr>
        <w:t>The complaint pleads a reservation-of-rights explanation for continued payments.</w:t>
      </w:r>
      <w:r>
        <w:t xml:space="preserve"> It says payments continued to avoid default and a sudden service cutoff, preserve staffing-client operations, rely on promised remediation, mitigate losses, and under written reservation. (Compl. ¶¶ 65, 68.) DataCore’s “waiver is apparent on the face” characterization omits those allegations and the December 5 notice.</w:t>
      </w:r>
    </w:p>
    <w:p>
      <w:pPr>
        <w:pStyle w:val="Heading2"/>
      </w:pPr>
      <w:r>
        <w:t>B. Material inconsistencies and gaps to resolve before filing</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17365D"/>
            <w:tcMar>
              <w:top w:w="70" w:type="dxa"/>
              <w:start w:w="85" w:type="dxa"/>
              <w:bottom w:w="70" w:type="dxa"/>
              <w:end w:w="85" w:type="dxa"/>
            </w:tcMar>
            <w:vAlign w:val="center"/>
          </w:tcPr>
          <w:p>
            <w:pPr>
              <w:spacing w:after="0"/>
            </w:pPr>
            <w:r>
              <w:rPr>
                <w:rFonts w:ascii="Aptos" w:hAnsi="Aptos"/>
                <w:b/>
                <w:color w:val="FFFFFF"/>
                <w:sz w:val="16"/>
              </w:rPr>
              <w:t>Record issue</w:t>
            </w:r>
          </w:p>
        </w:tc>
        <w:tc>
          <w:tcPr>
            <w:tcW w:type="dxa" w:w="8107"/>
            <w:shd w:fill="17365D"/>
            <w:tcMar>
              <w:top w:w="70" w:type="dxa"/>
              <w:start w:w="85" w:type="dxa"/>
              <w:bottom w:w="70" w:type="dxa"/>
              <w:end w:w="85" w:type="dxa"/>
            </w:tcMar>
            <w:vAlign w:val="center"/>
          </w:tcPr>
          <w:p>
            <w:pPr>
              <w:spacing w:after="0"/>
            </w:pPr>
            <w:r>
              <w:rPr>
                <w:rFonts w:ascii="Aptos" w:hAnsi="Aptos"/>
                <w:b/>
                <w:color w:val="FFFFFF"/>
                <w:sz w:val="16"/>
              </w:rPr>
              <w:t>Why it matters / response needed</w:t>
            </w:r>
          </w:p>
        </w:tc>
      </w:tr>
      <w:tr>
        <w:trPr>
          <w:cantSplit/>
        </w:trPr>
        <w:tc>
          <w:tcPr>
            <w:tcW w:type="dxa" w:w="2880"/>
            <w:tcMar>
              <w:top w:w="70" w:type="dxa"/>
              <w:start w:w="85" w:type="dxa"/>
              <w:bottom w:w="70" w:type="dxa"/>
              <w:end w:w="85" w:type="dxa"/>
            </w:tcMar>
            <w:vAlign w:val="top"/>
          </w:tcPr>
          <w:p>
            <w:pPr>
              <w:spacing w:after="0" w:line="240" w:lineRule="auto"/>
            </w:pPr>
            <w:r>
              <w:rPr>
                <w:rFonts w:ascii="Aptos" w:hAnsi="Aptos"/>
                <w:sz w:val="16"/>
              </w:rPr>
              <w:t>Capacity requirement: Complaint ¶ 24 says 10,000–15,000 records were non-negotiable; Nance’s Feb. 9 email says about 3,500 at peak and a projection of 5,000–6,000 in 2–3 years.</w:t>
            </w:r>
          </w:p>
        </w:tc>
        <w:tc>
          <w:tcPr>
            <w:tcW w:type="dxa" w:w="8107"/>
            <w:tcMar>
              <w:top w:w="70" w:type="dxa"/>
              <w:start w:w="85" w:type="dxa"/>
              <w:bottom w:w="70" w:type="dxa"/>
              <w:end w:w="85" w:type="dxa"/>
            </w:tcMar>
            <w:vAlign w:val="top"/>
          </w:tcPr>
          <w:p>
            <w:pPr>
              <w:spacing w:after="0" w:line="240" w:lineRule="auto"/>
            </w:pPr>
            <w:r>
              <w:rPr>
                <w:rFonts w:ascii="Aptos" w:hAnsi="Aptos"/>
                <w:sz w:val="16"/>
              </w:rPr>
              <w:t>Do not repeat “10,000–15,000 was the actual operating minimum” without reconciling the email. Explain whether 15,000 was a life-of-contract growth/safety requirement, an operational ceiling, or a procurement differentiator, and support with contemporaneous forecasts. Acknowledge the patch’s 7,500 figure exceeded the stated 5,000–6,000 forecast while explaining remaining latency, future needs, and the separate unresolved ADP failure.</w:t>
            </w:r>
          </w:p>
        </w:tc>
      </w:tr>
      <w:tr>
        <w:trPr>
          <w:cantSplit/>
        </w:trPr>
        <w:tc>
          <w:tcPr>
            <w:tcW w:type="dxa" w:w="2880"/>
            <w:tcMar>
              <w:top w:w="70" w:type="dxa"/>
              <w:start w:w="85" w:type="dxa"/>
              <w:bottom w:w="70" w:type="dxa"/>
              <w:end w:w="85" w:type="dxa"/>
            </w:tcMar>
            <w:vAlign w:val="top"/>
            <w:shd w:fill="F4F7FA"/>
          </w:tcPr>
          <w:p>
            <w:pPr>
              <w:spacing w:after="0" w:line="240" w:lineRule="auto"/>
            </w:pPr>
            <w:r>
              <w:rPr>
                <w:rFonts w:ascii="Aptos" w:hAnsi="Aptos"/>
                <w:sz w:val="16"/>
              </w:rPr>
              <w:t>Demo environment: Jan. 10 email expressly says the Jan. 18 walkthrough would be in a “staging environment”; Nance later asked whether the demo was production-ready.</w:t>
            </w:r>
          </w:p>
        </w:tc>
        <w:tc>
          <w:tcPr>
            <w:tcW w:type="dxa" w:w="8107"/>
            <w:tcMar>
              <w:top w:w="70" w:type="dxa"/>
              <w:start w:w="85" w:type="dxa"/>
              <w:bottom w:w="70" w:type="dxa"/>
              <w:end w:w="85" w:type="dxa"/>
            </w:tcMar>
            <w:vAlign w:val="top"/>
            <w:shd w:fill="F4F7FA"/>
          </w:tcPr>
          <w:p>
            <w:pPr>
              <w:spacing w:after="0" w:line="240" w:lineRule="auto"/>
            </w:pPr>
            <w:r>
              <w:rPr>
                <w:rFonts w:ascii="Aptos" w:hAnsi="Aptos"/>
                <w:sz w:val="16"/>
              </w:rPr>
              <w:t>Complaint ¶¶ 32–34 alleges Baines called the demonstration representative of production and that the staging environment was specially configured. Identify the exact statement, attendees, and technical basis for “specially configured.” If the exact statement cannot be substantiated, place primary fraud reliance on Sousa’s written, categorical ADP assurances and the SOW rather than implying the staging label was concealed.</w:t>
            </w:r>
          </w:p>
        </w:tc>
      </w:tr>
      <w:tr>
        <w:trPr>
          <w:cantSplit/>
        </w:trPr>
        <w:tc>
          <w:tcPr>
            <w:tcW w:type="dxa" w:w="2880"/>
            <w:tcMar>
              <w:top w:w="70" w:type="dxa"/>
              <w:start w:w="85" w:type="dxa"/>
              <w:bottom w:w="70" w:type="dxa"/>
              <w:end w:w="85" w:type="dxa"/>
            </w:tcMar>
            <w:vAlign w:val="top"/>
          </w:tcPr>
          <w:p>
            <w:pPr>
              <w:spacing w:after="0" w:line="240" w:lineRule="auto"/>
            </w:pPr>
            <w:r>
              <w:rPr>
                <w:rFonts w:ascii="Aptos" w:hAnsi="Aptos"/>
                <w:sz w:val="16"/>
              </w:rPr>
              <w:t>MSA vs. separate sales materials: Sousa called the Feb. 14 capabilities document “separate from the formal” MSA; it was not incorporated. MSA Exhibit B does not name ADP or 15,000 records.</w:t>
            </w:r>
          </w:p>
        </w:tc>
        <w:tc>
          <w:tcPr>
            <w:tcW w:type="dxa" w:w="8107"/>
            <w:tcMar>
              <w:top w:w="70" w:type="dxa"/>
              <w:start w:w="85" w:type="dxa"/>
              <w:bottom w:w="70" w:type="dxa"/>
              <w:end w:w="85" w:type="dxa"/>
            </w:tcMar>
            <w:vAlign w:val="top"/>
          </w:tcPr>
          <w:p>
            <w:pPr>
              <w:spacing w:after="0" w:line="240" w:lineRule="auto"/>
            </w:pPr>
            <w:r>
              <w:rPr>
                <w:rFonts w:ascii="Aptos" w:hAnsi="Aptos"/>
                <w:sz w:val="16"/>
              </w:rPr>
              <w:t>This weakens Count I if pleaded as breach of the sales representation itself. The MSA nevertheless requires configuration of a payroll integration (Ex. B § 3(a)), provider implementation/configuration (MSA §§ 2.4(b), 3.1), standard supported integrations ( §§ 4.1–4.2), and material conformity with Documentation ( §§ 2.4(a), 9.1(b)). Plead the contractual theory through those text provisions and identify the applicable supported-integration list/documentation.</w:t>
            </w:r>
          </w:p>
        </w:tc>
      </w:tr>
      <w:tr>
        <w:trPr>
          <w:cantSplit/>
        </w:trPr>
        <w:tc>
          <w:tcPr>
            <w:tcW w:type="dxa" w:w="2880"/>
            <w:tcMar>
              <w:top w:w="70" w:type="dxa"/>
              <w:start w:w="85" w:type="dxa"/>
              <w:bottom w:w="70" w:type="dxa"/>
              <w:end w:w="85" w:type="dxa"/>
            </w:tcMar>
            <w:vAlign w:val="top"/>
            <w:shd w:fill="F4F7FA"/>
          </w:tcPr>
          <w:p>
            <w:pPr>
              <w:spacing w:after="0" w:line="240" w:lineRule="auto"/>
            </w:pPr>
            <w:r>
              <w:rPr>
                <w:rFonts w:ascii="Aptos" w:hAnsi="Aptos"/>
                <w:sz w:val="16"/>
              </w:rPr>
              <w:t>Governing law and forum are different clauses.</w:t>
            </w:r>
          </w:p>
        </w:tc>
        <w:tc>
          <w:tcPr>
            <w:tcW w:type="dxa" w:w="8107"/>
            <w:tcMar>
              <w:top w:w="70" w:type="dxa"/>
              <w:start w:w="85" w:type="dxa"/>
              <w:bottom w:w="70" w:type="dxa"/>
              <w:end w:w="85" w:type="dxa"/>
            </w:tcMar>
            <w:vAlign w:val="top"/>
            <w:shd w:fill="F4F7FA"/>
          </w:tcPr>
          <w:p>
            <w:pPr>
              <w:spacing w:after="0" w:line="240" w:lineRule="auto"/>
            </w:pPr>
            <w:r>
              <w:rPr>
                <w:rFonts w:ascii="Aptos" w:hAnsi="Aptos"/>
                <w:sz w:val="16"/>
              </w:rPr>
              <w:t>Section 14.2 is broad (“arising out of or relating to,” “any dispute, claim, or controversy,” and scope/applicability); § 14.3 instead says the Agreement is governed by Texas law and “disputes arising under” it are resolved under Texas law. Do not let the broad forum language silently rewrite the narrower governing-law text.</w:t>
            </w:r>
          </w:p>
        </w:tc>
      </w:tr>
      <w:tr>
        <w:trPr>
          <w:cantSplit/>
        </w:trPr>
        <w:tc>
          <w:tcPr>
            <w:tcW w:type="dxa" w:w="2880"/>
            <w:tcMar>
              <w:top w:w="70" w:type="dxa"/>
              <w:start w:w="85" w:type="dxa"/>
              <w:bottom w:w="70" w:type="dxa"/>
              <w:end w:w="85" w:type="dxa"/>
            </w:tcMar>
            <w:vAlign w:val="top"/>
          </w:tcPr>
          <w:p>
            <w:pPr>
              <w:spacing w:after="0" w:line="240" w:lineRule="auto"/>
            </w:pPr>
            <w:r>
              <w:rPr>
                <w:rFonts w:ascii="Aptos" w:hAnsi="Aptos"/>
                <w:sz w:val="16"/>
              </w:rPr>
              <w:t>Jan. 12 email identity discrepancy.</w:t>
            </w:r>
          </w:p>
        </w:tc>
        <w:tc>
          <w:tcPr>
            <w:tcW w:type="dxa" w:w="8107"/>
            <w:tcMar>
              <w:top w:w="70" w:type="dxa"/>
              <w:start w:w="85" w:type="dxa"/>
              <w:bottom w:w="70" w:type="dxa"/>
              <w:end w:w="85" w:type="dxa"/>
            </w:tcMar>
            <w:vAlign w:val="top"/>
          </w:tcPr>
          <w:p>
            <w:pPr>
              <w:spacing w:after="0" w:line="240" w:lineRule="auto"/>
            </w:pPr>
            <w:r>
              <w:rPr>
                <w:rFonts w:ascii="Aptos" w:hAnsi="Aptos"/>
                <w:sz w:val="16"/>
              </w:rPr>
              <w:t>The supplied .eml is from a.subramanian@datacoresystems.com but the signature reads “Anil Venkatesh”; the complaint and motion call the CTO “Anil Subramanian.” Confirm identity, signature block, original headers, and attachment/authentication before characterizing this as a named CTO admission. The email remains a DataCore-domain communication, but the mismatch should be dealt with candidly.</w:t>
            </w:r>
          </w:p>
        </w:tc>
      </w:tr>
      <w:tr>
        <w:trPr>
          <w:cantSplit/>
        </w:trPr>
        <w:tc>
          <w:tcPr>
            <w:tcW w:type="dxa" w:w="2880"/>
            <w:tcMar>
              <w:top w:w="70" w:type="dxa"/>
              <w:start w:w="85" w:type="dxa"/>
              <w:bottom w:w="70" w:type="dxa"/>
              <w:end w:w="85" w:type="dxa"/>
            </w:tcMar>
            <w:vAlign w:val="top"/>
            <w:shd w:fill="F4F7FA"/>
          </w:tcPr>
          <w:p>
            <w:pPr>
              <w:spacing w:after="0" w:line="240" w:lineRule="auto"/>
            </w:pPr>
            <w:r>
              <w:rPr>
                <w:rFonts w:ascii="Aptos" w:hAnsi="Aptos"/>
                <w:sz w:val="16"/>
              </w:rPr>
              <w:t>Unsupported assertions in the motion/declaration.</w:t>
            </w:r>
          </w:p>
        </w:tc>
        <w:tc>
          <w:tcPr>
            <w:tcW w:type="dxa" w:w="8107"/>
            <w:tcMar>
              <w:top w:w="70" w:type="dxa"/>
              <w:start w:w="85" w:type="dxa"/>
              <w:bottom w:w="70" w:type="dxa"/>
              <w:end w:w="85" w:type="dxa"/>
            </w:tcMar>
            <w:vAlign w:val="top"/>
            <w:shd w:fill="F4F7FA"/>
          </w:tcPr>
          <w:p>
            <w:pPr>
              <w:spacing w:after="0" w:line="240" w:lineRule="auto"/>
            </w:pPr>
            <w:r>
              <w:rPr>
                <w:rFonts w:ascii="Aptos" w:hAnsi="Aptos"/>
                <w:sz w:val="16"/>
              </w:rPr>
              <w:t>The motion says Pinnacle was represented by competent counsel throughout contract negotiations and that the MSA followed extensive negotiation. The complaint does not say this. Whitford Decl. ¶ 12 says DataCore’s standard terms were presented in its initial proposal and were not modified; it does not establish Pinnacle had counsel. The same declaration does not deny an Atlanta office, the 14 employees, Sousa’s Georgia base, or the alleged Georgia statements.</w:t>
            </w:r>
          </w:p>
        </w:tc>
      </w:tr>
    </w:tbl>
    <w:p>
      <w:pPr>
        <w:spacing w:after="0"/>
      </w:pPr>
    </w:p>
    <w:p>
      <w:pPr>
        <w:pStyle w:val="Heading1"/>
      </w:pPr>
      <w:r>
        <w:t>III. Threshold and forum arguments</w:t>
      </w:r>
    </w:p>
    <w:p>
      <w:pPr>
        <w:pStyle w:val="Heading2"/>
      </w:pPr>
      <w:r>
        <w:t>A. Rule 12(b)(1): no live amount-in-controversy challenge</w:t>
      </w:r>
    </w:p>
    <w:p>
      <w:r>
        <w:t>The complaint alleges complete diversity and more than $75,000 in controversy. DataCore expressly says it “does not formally move to dismiss” on amount-in-controversy grounds and concedes the threshold “likely” is met (MTD § IV.A). Under the usual legal-certainty standard, a plaintiff’s good-faith amount controls unless it is legally certain the claim cannot reach the threshold. St. Paul Mercury Indem. Co. v. Red Cab Co., 303 U.S. 283, 288–89 (1938). Paid fees, the claimed cost to cure/replace, and the alleged business losses are well above $75,000 even without accepting every damages theory. Proof and contractual limits are merits/remedy issues, not a basis to dismiss subject-matter jurisdiction. Ask the Court to deny or treat the Rule 12(b)(1) request as withdrawn.</w:t>
      </w:r>
    </w:p>
    <w:p>
      <w:pPr>
        <w:pStyle w:val="Heading2"/>
      </w:pPr>
      <w:r>
        <w:t>B. Rule 12(b)(2): specific jurisdiction is the central answer</w:t>
      </w:r>
    </w:p>
    <w:p>
      <w:r>
        <w:t xml:space="preserve">DataCore correctly says it is incorporated in Delaware and headquartered in Texas, so the complaint’s theory of </w:t>
      </w:r>
      <w:r>
        <w:rPr>
          <w:b/>
        </w:rPr>
        <w:t>general</w:t>
      </w:r>
      <w:r>
        <w:t xml:space="preserve"> jurisdiction is weak after Daimler AG v. Bauman, 571 U.S. 117, 137–39 (2014). That does not dispose of </w:t>
      </w:r>
      <w:r>
        <w:rPr>
          <w:b/>
        </w:rPr>
        <w:t>specific</w:t>
      </w:r>
      <w:r>
        <w:t xml:space="preserve"> jurisdiction. The MTD’s section analyzes only whether DataCore is “at home” and does not meaningfully address the complaint’s separately pleaded, claim-linked Georgia contacts. (Compl. ¶¶ 12, 15–17, 25–44.)</w:t>
      </w:r>
    </w:p>
    <w:p>
      <w:pPr>
        <w:pStyle w:val="ListBullet"/>
        <w:spacing w:after="60"/>
      </w:pPr>
      <w:r/>
      <w:r>
        <w:rPr>
          <w:b/>
        </w:rPr>
        <w:t>Georgia long arm.</w:t>
      </w:r>
      <w:r>
        <w:t xml:space="preserve"> O.C.G.A. § 9-10-91(1) reaches a nonresident transacting business in Georgia when the claim arises from that activity; § 9-10-91(2) separately reaches a tortious act or omission committed in Georgia. The Eleventh Circuit applies the statute and due process together but requires deliberate Georgia activity and a claim nexus. Diamond Crystal Brands, Inc. v. Food Movers Int’l, Inc., 593 F.3d 1249, 1264–66 (11th Cir. 2010).</w:t>
      </w:r>
    </w:p>
    <w:p>
      <w:pPr>
        <w:pStyle w:val="ListBullet"/>
        <w:spacing w:after="60"/>
      </w:pPr>
      <w:r/>
      <w:r>
        <w:rPr>
          <w:b/>
        </w:rPr>
        <w:t>Purposeful, claim-related contacts.</w:t>
      </w:r>
      <w:r>
        <w:t xml:space="preserve"> The pleaded contacts are DataCore’s own: a staffed Atlanta regional office; its Southeast VP based there; repeated solicitation and detailed written assurances sent from that office to a Georgia customer; the alleged execution of the MSA by that VP while based in Atlanta; and implementation/services directed into Georgia. The claims arise directly from that sales campaign and Georgia-directed transaction, not merely from Pinnacle’s residence or unilateral conduct. See Burger King Corp. v. Rudzewicz, 471 U.S. 462, 472–76 (1985).</w:t>
      </w:r>
    </w:p>
    <w:p>
      <w:pPr>
        <w:pStyle w:val="ListBullet"/>
        <w:spacing w:after="60"/>
      </w:pPr>
      <w:r/>
      <w:r>
        <w:rPr>
          <w:b/>
        </w:rPr>
        <w:t>Whitford’s declaration does not negate the operative contacts.</w:t>
      </w:r>
      <w:r>
        <w:t xml:space="preserve"> It establishes Delaware incorporation, Austin headquarters, remote support, and hosting outside Georgia (Decl. ¶¶ 4–9, 14). Those points address domicile and infrastructure, not whether DataCore maintained its Atlanta office or whether Sousa made the alleged statements from there. Paragraph 12 says negotiations were primarily by email/video, which is consistent with the pleaded Atlanta-based salesperson and Georgia-directed communications. No declaration from Sousa or a corporate operations witness disputes the office, staff, source/location of the sales communications, or account-specific conduct.</w:t>
      </w:r>
    </w:p>
    <w:p>
      <w:pPr>
        <w:pStyle w:val="ListBullet"/>
        <w:spacing w:after="60"/>
      </w:pPr>
      <w:r/>
      <w:r>
        <w:rPr>
          <w:b/>
        </w:rPr>
        <w:t>Alternative request.</w:t>
      </w:r>
      <w:r>
        <w:t xml:space="preserve"> If the Court treats the declaration as creating a factual jurisdictional issue, request limited discovery before dismissal: Atlanta office lease and employee records; Sousa’s and Baines’s work locations and account communications; customer coverage/assignment records; relevant sales approval/technical testing records; and the implementation/support contacts for Pinnacle. A declaration that leaves the key allegations unanswered does not warrant dismissal on the present record. See Meier ex rel. Meier v. Sun Int’l Hotels, Ltd., 288 F.3d 1264, 1269–70 (11th Cir. 2002) (uncontroverted allegations accepted; conflicts resolved for plaintiff at prima facie stage).</w:t>
      </w:r>
    </w:p>
    <w:p>
      <w:pPr>
        <w:pStyle w:val="Heading2"/>
      </w:pPr>
      <w:r>
        <w:t>C. Rule 12(b)(3): clause may support transfer, not “improper venue” dismissal</w:t>
      </w:r>
    </w:p>
    <w:p>
      <w:r>
        <w:t>The complaint pleads venue under 28 U.S.C. § 1391(b)(2): the alleged Georgia sales statements, negotiation/execution, directed implementation, and injury occurred in this District (Compl. ¶ 18). Its alternative residence theory is § 1391(b)(1) with § 1391(c)(2), which deems a corporate defendant to reside in a district where it is subject to personal jurisdiction for the action; this rises or falls with specific jurisdiction, not simply the presence of a regional office.</w:t>
      </w:r>
    </w:p>
    <w:p>
      <w:r>
        <w:t>More importantly, Atlantic Marine holds that a forum-selection clause does not render venue “wrong” or “improper” under § 1391 and cannot be enforced through Rule 12(b)(3). Where the selected forum is another federal district, the procedural vehicle is § 1404(a); forum-selection clauses alter the ordinary transfer analysis, including the weight given to private-interest factors. Atlantic Marine Constr. Co. v. U.S. Dist. Ct., 571 U.S. 49, 55–66 (2013). DataCore itself asks for transfer in the alternative, confirming that transfer—not Rule 12(b)(3) dismissal—is the relevant issue.</w:t>
      </w:r>
    </w:p>
    <w:p>
      <w:r/>
      <w:r>
        <w:rPr>
          <w:b/>
        </w:rPr>
        <w:t>Risk assessment.</w:t>
      </w:r>
      <w:r>
        <w:t xml:space="preserve"> MSA § 14.2 is mandatory and unusually broad. It covers any “dispute, claim, or controversy arising out of or relating to” the Agreement and expressly includes determination of its scope or applicability; all pleaded counts arise from the sale/implementation transaction. A general allegation that the MSA was induced by fraud ordinarily does not invalidate a forum clause unless the clause itself was procured by fraud or overreaching. M/S Bremen v. Zapata Off-Shore Co., 407 U.S. 1, 12–15 (1972). The complaint attacks the sales representations and agreement as a whole, but does not plead that the Texas forum term itself was fraudulently inserted or that Texas would deprive Pinnacle of a day in court. Consequently, transfer to the Western District of Texas, Austin Division, is a material risk. The opposition should still preserve the argument that the GUDTPA imposes an independent Georgia statutory obligation, and that the Court must decide actual clause scope rather than assume every statutory claim is contractual; but it should not promise that this defeats transfer.</w:t>
      </w:r>
    </w:p>
    <w:p>
      <w:r/>
      <w:r>
        <w:rPr>
          <w:b/>
        </w:rPr>
        <w:t>Requested disposition:</w:t>
      </w:r>
      <w:r>
        <w:t xml:space="preserve"> deny Rule 12(b)(3); alternatively, if § 14.2 is enforced, transfer under § 1404(a) without dismissing any claim and without prejudice to merits, choice-of-law, amendment, or discovery arguments. The motion’s fallback assertion that Austin is more convenient because DataCore witnesses/documents are there is not the ordinary private-interest test after Atlantic Marine when a valid clause applies; public-interest factors remain relevant and are rarely sufficient alone to defeat transfer.</w:t>
      </w:r>
    </w:p>
    <w:p>
      <w:pPr>
        <w:pStyle w:val="Heading1"/>
      </w:pPr>
      <w:r>
        <w:t>IV. Choice of law: do not conflate the forum and governing-law clauses</w:t>
      </w:r>
    </w:p>
    <w:p>
      <w:r>
        <w:t>The contract claim is likely governed by Texas law under § 14.3. The clause does not say that “all claims arising out of or relating to the relationship” are governed by Texas law; it says the Agreement is governed by Texas law and “[a]ll disputes arising under this Agreement” are resolved under Texas law. That wording is narrower than § 14.2. The motion repeatedly substitutes “arising out of or relating to” for the actual governing-law text and assumes the result rather than conducting the conflicts analysis.</w:t>
      </w:r>
    </w:p>
    <w:p>
      <w:pPr>
        <w:pStyle w:val="ListBullet"/>
        <w:spacing w:after="60"/>
      </w:pPr>
      <w:r>
        <w:t>In the Georgia forum, the Court uses Georgia choice-of-law rules. Georgia generally applies lex loci delicti to tort claims—the law of the place where the injury occurred—and recognizes a contractual choice where applicable, subject to the clause’s scope and public-policy limits. General Tel. Co. of the Se. v. Trimm, 252 Ga. 95, 97, 311 S.E.2d 460 (1984).</w:t>
      </w:r>
    </w:p>
    <w:p>
      <w:pPr>
        <w:pStyle w:val="ListBullet"/>
        <w:spacing w:after="60"/>
      </w:pPr>
      <w:r>
        <w:t>Fraud and negligent-misrepresentation claims concern pre-contract information supplied by a Georgia-based seller to a Georgia business, and the GUDTPA count alleges conduct occurring in or directed into Georgia. Argue Georgia law for these claims, or at minimum require claim-by-claim analysis rather than treating “arising under” as coextensive with “relating to.”</w:t>
      </w:r>
    </w:p>
    <w:p>
      <w:pPr>
        <w:pStyle w:val="ListBullet"/>
        <w:spacing w:after="60"/>
      </w:pPr>
      <w:r>
        <w:t>The counterargument is real: formation fraud is tightly connected to the MSA, the clause is embedded in a commercial agreement, and a court may read it to cover tort claims connected to the transaction. The GUDTPA claim is the best candidate for Georgia law because it invokes a territorial Georgia statute regulating trade practices alleged to have occurred in Georgia. Plead alternative choice-of-law positions and preserve them if venue transfers; a § 1404 transfer based on a forum clause may affect which forum’s conflicts rules apply.</w:t>
      </w:r>
    </w:p>
    <w:p>
      <w:pPr>
        <w:pStyle w:val="Heading1"/>
      </w:pPr>
      <w:r>
        <w:t>V. Rule 12(b)(6): claim-by-claim issues</w:t>
      </w:r>
    </w:p>
    <w:p>
      <w:pPr>
        <w:pStyle w:val="Heading2"/>
      </w:pPr>
      <w:r>
        <w:t>A. Count I — breach of contract</w:t>
      </w:r>
    </w:p>
    <w:p>
      <w:r>
        <w:t>The complaint pleads a signed MSA, Pinnacle’s substantial performance, alleged deficient integration/performance and failure to cure, termination following notice, and damages. (Compl. ¶¶ 43–54, 62–84.) The key pleading task is to tie the failures to obligations actually in the integrated MSA, rather than simply assert that every pre-contract sales statement became a contract term.</w:t>
      </w:r>
    </w:p>
    <w:p>
      <w:pPr>
        <w:pStyle w:val="Heading3"/>
      </w:pPr>
      <w:r>
        <w:t>1. Limitations: strongest Count I point</w:t>
      </w:r>
    </w:p>
    <w:p>
      <w:r>
        <w:t>The MTD does not quote § 9.4 accurately. The MSA says: “Any claim by either party arising out of or relating to an alleged breach of this Agreement” must be brought within one year after the claimant knew or should have known of the facts giving rise to the claim. It does not say every claim “arising under” the MSA is time-barred one year after the first product concern. More importantly, Texas Civil Practice and Remedies Code § 16.070 generally prohibits shortening the period to sue on a contract to less than two years, subject to statutory exceptions. The MSA’s one-year period is therefore subject to a substantial statutory-enforceability challenge as to the contract claim. Confirm the current statutory text and exceptions before filing, but the issue is squarely presented by the Texas-law premise DataCore itself advances.</w:t>
      </w:r>
    </w:p>
    <w:p>
      <w:r>
        <w:t>Even using DataCore’s asserted earliest dates, the complaint was filed March 22, 2024—less than two years after the August 2022 ADP discovery and November 2022 latency discovery. It was also filed less than one year after the April 15, 2023 patch demonstrated that the performance cure remained inadequate (Compl. ¶¶ 65–66, 83). The pleading says Pinnacle did not know the full failure until the cure attempt failed; the MTD cannot replace that pleaded chronology with a conclusively established accrual date. At minimum, accrual, whether distinct breaches occurred, and whether the cure process postponed discovery are not resolved on this face-of-complaint record.</w:t>
      </w:r>
    </w:p>
    <w:p>
      <w:r>
        <w:t>Also argue the text limits § 9.4 to a claim “relating to an alleged breach” of the Agreement. The motion’s application to fraud in the inducement, negligent supply of pre-contract information, and a Georgia statutory claim is not automatic. The MSA’s Texas statute of limitations does not make the one-year term valid; § 16.070 should be briefed first.</w:t>
      </w:r>
    </w:p>
    <w:p>
      <w:pPr>
        <w:pStyle w:val="Heading3"/>
      </w:pPr>
      <w:r>
        <w:t>2. Plausible contractual duties and breach</w:t>
      </w:r>
    </w:p>
    <w:p>
      <w:pPr>
        <w:pStyle w:val="ListBullet"/>
        <w:spacing w:after="60"/>
      </w:pPr>
      <w:r>
        <w:t>MSA § 2.4(a) requires material conformity with Documentation; § 2.4(b) requires professional/workmanlike implementation; § 3.1 requires initial configuration/customization and configuration of standard integrations specified in Exhibit B; § 4.1 addresses standard integrations; Exhibit B § 3(a) requires configuration of a payroll-system integration; and § 9.1(b) warrants material conformity with Documentation. The complaint alleges ADP was the designated payroll system and required an undisclosed $85,000 custom build, while the platform materially degraded at the pleaded operating volumes.</w:t>
      </w:r>
    </w:p>
    <w:p>
      <w:pPr>
        <w:pStyle w:val="ListBullet"/>
        <w:spacing w:after="60"/>
      </w:pPr>
      <w:r>
        <w:t xml:space="preserve">The MSA does </w:t>
      </w:r>
      <w:r>
        <w:rPr>
          <w:b/>
        </w:rPr>
        <w:t>not</w:t>
      </w:r>
      <w:r>
        <w:t xml:space="preserve"> expressly promise 15,000 concurrent records or identify ADP by name in Exhibit B. The MTD will rely on that omission, § 4.2’s treatment of custom integrations, and the SOW email’s express statement that the SOW was separate from the MSA. The opposition should argue that the contract’s “payroll system” and supported-integration provisions are at least plausibly applicable to ADP in light of DataCore’s then-current supported list and the account-specific implementation, but should not say the SOW was incorporated when the MSA says otherwise.</w:t>
      </w:r>
    </w:p>
    <w:p>
      <w:pPr>
        <w:pStyle w:val="ListBullet"/>
        <w:spacing w:after="60"/>
      </w:pPr>
      <w:r>
        <w:t>The SLA targets sub-three-second standard operations under “normal usage conditions,” but disclaims guaranteed specific response times. This is not an express 15,000-record capacity promise. The facts that system response degraded at roughly 4,000 records and the 7,500 patch still failed to solve the ADP issue support breach/materiality, but evidence of what “normal usage” means, whether Pinnacle’s configured workload fell within it, and whether the Documentation stated capacity will matter.</w:t>
      </w:r>
    </w:p>
    <w:p>
      <w:pPr>
        <w:pStyle w:val="Heading3"/>
      </w:pPr>
      <w:r>
        <w:t>3. Cap, consequential-loss exclusion, waiver</w:t>
      </w:r>
    </w:p>
    <w:p>
      <w:r>
        <w:t>Sections 11.1–11.3 are broad and will likely limit recovery if enforced: § 11.1 caps aggregate liability under any theory at fees actually paid in the 12 months before the event; § 11.2 excludes, among other things, lost profits/revenue, substitute-service procurement, interruption, and punitive damages; § 11.3 says the limits apply even if a remedy fails of its essential purpose. But a cap or damages exclusion does not establish that no breach occurred or that no permissible direct damages exist. The motion’s all-or-nothing conclusion is too broad.</w:t>
      </w:r>
    </w:p>
    <w:p>
      <w:pPr>
        <w:pStyle w:val="ListBullet"/>
        <w:spacing w:after="60"/>
      </w:pPr>
      <w:r>
        <w:t>The complaint alleges $931,000 paid, a product/value shortfall, and an $85,000 custom-integration quote. Fees paid or direct cost-to-cure/value-of-performance damages may be direct/reliance losses, depending on proof and the remedy elected; replacement-system cost and lost business are expressly at risk as excluded consequential losses. An unaccepted $85,000 quote is not automatically an incurred expense—describe it as the reasonable cost to cure only if supported, or identify actual payment/commitment.</w:t>
      </w:r>
    </w:p>
    <w:p>
      <w:pPr>
        <w:pStyle w:val="ListBullet"/>
        <w:spacing w:after="60"/>
      </w:pPr>
      <w:r>
        <w:t>The $2.335 million “actual damages” number is the projected five-year contract value, not money paid; it should not be presented as an automatic loss. The $931,000 paid and $2.335 million contract value may duplicate components. Disaggregate benefit-of-bargain, restitution/reliance, cost-to-cure, and consequential categories; avoid double recovery and account for the value of services used. The cap may limit the amount but does not erase the claim.</w:t>
      </w:r>
    </w:p>
    <w:p>
      <w:pPr>
        <w:pStyle w:val="ListBullet"/>
        <w:spacing w:after="60"/>
      </w:pPr>
      <w:r>
        <w:t>Do not concede the cap is categorically unenforceable because the complaint alleges willfulness. Texas commercial risk-allocation rules may enforce clear caps, and § 11.1 purports to apply to contract and tort claims. Preserve fact- and public-policy-based objections, including whether enforcement would insulate intentional fraud, but make the lead point that recoverable direct damages remain and cap application is not a basis for dismissal of liability.</w:t>
      </w:r>
    </w:p>
    <w:p>
      <w:pPr>
        <w:pStyle w:val="ListBullet"/>
        <w:spacing w:after="60"/>
      </w:pPr>
      <w:r>
        <w:t>Waiver is not apparent. Texas waiver requires an intentional relinquishment of a known right or intentional conduct inconsistent with claiming that right. Tenneco Inc. v. Enterprise Prods. Co., 925 S.W.2d 640, 643 (Tex. 1996). The complaint alleges written notice, continued cure discussions, a remediation promise, payments to avoid operational disruption/default, and an express reservation (Compl. ¶¶ 62–68, 72). MSA § 14.9 further provides that waiver must be in a signed writing and non-enforcement is not waiver. Those allegations defeat an inference of clear, unequivocal abandonment at Rule 12(b)(6); alternatively, waiver is fact-dependent.</w:t>
      </w:r>
    </w:p>
    <w:p>
      <w:pPr>
        <w:pStyle w:val="Heading2"/>
      </w:pPr>
      <w:r>
        <w:t>B. Count II — fraudulent inducement</w:t>
      </w:r>
    </w:p>
    <w:p>
      <w:pPr>
        <w:pStyle w:val="Heading3"/>
      </w:pPr>
      <w:r>
        <w:t>1. Particularity and plausible falsity are well pleaded</w:t>
      </w:r>
    </w:p>
    <w:p>
      <w:r>
        <w:t>Rule 9(b) requires the circumstances of fraud—who, what, when, where, and how—to be pleaded with particularity; knowledge and intent may be alleged generally, subject to plausibility. Ziemba v. Cascade Int’l, Inc., 256 F.3d 1194, 1202 (11th Cir. 2001); Fed. R. Civ. P. 9(b). Complaint ¶¶ 86–96 identify Sousa and Baines, the Jan. 10 email, Jan. 18 and Feb. 7 demos, brochure, Feb. 14 SOW, the exact ADP/15,000-record assertions, falsity, selection decision, reliance, and resulting harm. The MTD’s assertion that no specific statements are identified is contradicted by the pleading and supplied email chain.</w:t>
      </w:r>
    </w:p>
    <w:p>
      <w:r>
        <w:t>The strongest statements are verifiable technical assertions: no custom configuration/code for ADP; production-tested ADP data flow; and 15,000 concurrent temporary-worker records with sub-second latency. These are not vague optimism or ordinary “best in class” puffery. The actual ~$85,000 custom API requirement, about 4,000-record degradation, and later CTO response plausibly plead falsity. The Jan. 12 email (after identity verification) is relevant corroboration; it admits that actual performance failed to meet what was described during sales and that ADP needed more custom work than anticipated.</w:t>
      </w:r>
    </w:p>
    <w:p>
      <w:pPr>
        <w:pStyle w:val="Heading3"/>
      </w:pPr>
      <w:r>
        <w:t>2. Scienter and intent</w:t>
      </w:r>
    </w:p>
    <w:p>
      <w:r>
        <w:t>The complaint’s scienter theory is not simply “the product later failed.” It alleges that DataCore developed and operated the platform; sales and engineering personnel made precise, customer-specific claims; Sousa said the integrations were production-tested and used by dozens of staffing clients; Baines demonstrated a workflow as representative of production; and the product’s actual limits were internal technical facts. It also alleges the CTO later acknowledged the disparity and that the platform team knew of the integration shortfall. (Compl. ¶¶ 34, 41–42, 91–95; Sousa–Nance chain; Jan. 12 email.) These allegations support a reasonable inference of knowledge or recklessness at pleading stage, while discovery should test the timeline of prior internal benchmarks, the demo configuration, and the sales team’s access to engineering information.</w:t>
      </w:r>
    </w:p>
    <w:p>
      <w:r>
        <w:t>Be measured: the January 2023 admission alone does not conclusively establish what each salesperson knew in January–February 2022, and “knew or should have known” alone would not plead fraud. The opposition should emphasize the contemporaneous specific statements, internal platform-control facts, and inference from a tailored SOW and claimed production-tested integrations. If available, add the date DataCore knew of scale or ADP gaps and which sales/technical personnel knew it.</w:t>
      </w:r>
    </w:p>
    <w:p>
      <w:pPr>
        <w:pStyle w:val="Heading3"/>
      </w:pPr>
      <w:r>
        <w:t>3. Reliance and § 14.7: principal merits risk</w:t>
      </w:r>
    </w:p>
    <w:p>
      <w:r>
        <w:t>The MTD overstates the law when it says an integration clause, by itself, eliminates reliance. Texas distinguishes a merger clause from a sufficiently clear and specific anti-reliance agreement. Italian Cowboy Partners, Ltd. v. Prudential Ins. Co. of Am., 341 S.W.3d 323, 332–36 (Tex. 2011); Schlumberger Tech. Corp. v. Swanson, 959 S.W.2d 171, 179–82 (Tex. 1997). Fraudulent inducement is generally an independent claim, and a party cannot simply convert a merger clause into automatic immunity. See Formosa Plastics Corp. USA v. Presidio Eng’rs &amp; Contractors, Inc., 960 S.W.2d 41, 46–47 (Tex. 1998).</w:t>
      </w:r>
    </w:p>
    <w:p>
      <w:r>
        <w:t>However, this MSA is more difficult than a bare integration clause: § 14.7 says each party “has not relied upon any statement, representation, warranty, or agreement of the other party except for those expressly set forth” in the Agreement. That is express no-reliance language. DataCore will argue it is a sophisticated party’s clear allocation of reliance risk; §§ 4.2, 9.3, and 14.7 add force. The opposition should not call it merely a merger clause. Argue that scope and enforceability remain fact-sensitive, that the MTD’s unsupported assertion of Pinnacle’s counsel/negotiating sophistication is not established by the record, and that the declaration describes DataCore’s unmodified standard terms rather than a negotiated, fraud-specific allocation. Emphasize the specificity and directness of the written assurances, the unaddressed Feb. 9 inquiry, and that the complaint challenges intentional deception in formation. Also plead in the alternative under Georgia law if the Court finds § 14.3 does not govern the tort claim.</w:t>
      </w:r>
    </w:p>
    <w:p>
      <w:r>
        <w:t>Candid assessment: if the Court applies Texas law and treats § 14.7 as a clear, enforceable anti-reliance clause between sophisticated commercial parties, Count II faces a substantial risk even though Rule 9(b) is satisfied. Seek leave to amend with concrete facts concerning negotiation, the parties’ relative access to technical facts, the exact assurance relied on after the MSA draft was received, and why the disclaimer did not address or reasonably negate these particular capability claims. Do not invent facts about counsel or bargaining.</w:t>
      </w:r>
    </w:p>
    <w:p>
      <w:pPr>
        <w:pStyle w:val="Heading2"/>
      </w:pPr>
      <w:r>
        <w:t>C. Count III — negligent misrepresentation</w:t>
      </w:r>
    </w:p>
    <w:p>
      <w:r>
        <w:t>Under Texas law, negligent misrepresentation generally requires false information supplied in the course of business for the guidance of others in business, failure to exercise reasonable care/competence, justifiable reliance, and pecuniary loss. Grant Thornton LLP v. Prospect High Income Fund, 314 S.W.3d 913, 919 (Tex. 2010). The complaint identifies a software seller supplying product-capability information to guide a vendor decision, specific incorrect claims, reliance, and economic loss (Compl. ¶¶ 101–111).</w:t>
      </w:r>
    </w:p>
    <w:p>
      <w:r>
        <w:t>DataCore’s economic-loss argument is categorical and should be resisted. Texas does not apply a one-size-fits-all economic-loss rule; the analysis asks whether the duty and injury arise solely from the contract. Sharyland Water Supply Corp. v. City of Alton, 354 S.W.3d 407, 415–18 (Tex. 2011). This count rests on a pre-contract duty not to supply false information in a business transaction, not merely a later failure to perform a promised contractual service. Negligent misrepresentation is itself a pecuniary-loss tort. Distinguish the risk that the court views the claim as an attempt to repackage the same contractual performance obligation. Plead the sales-information duty and timing distinctly.</w:t>
      </w:r>
    </w:p>
    <w:p>
      <w:r>
        <w:t>Reliance remains the key shared vulnerability with Count II because § 14.7 contains an express no-reliance acknowledgment. Also limit the remedy: Texas negligent-misrepresentation damages generally protect reliance, not benefit-of-the-bargain expectancy. Keep this count distinct from the contract claim and do not seek duplicative recovery.</w:t>
      </w:r>
    </w:p>
    <w:p>
      <w:pPr>
        <w:pStyle w:val="Heading2"/>
      </w:pPr>
      <w:r>
        <w:t>D. Count IV — Georgia Uniform Deceptive Trade Practices Act</w:t>
      </w:r>
    </w:p>
    <w:p>
      <w:r>
        <w:t>The motion’s “generalized and duplicative” characterization does not match the complaint. Count IV invokes three enumerated practices: representing characteristics/benefits the platform did not have (§ 10-1-372(a)(5)); representing a particular standard/quality (§ (a)(7)); and advertising with intent not to sell as advertised (§ (a)(9)). It identifies ADP “out of the box,” the 15,000/sub-second specification, and a reportedly specially configured staging demo (Compl. ¶¶ 113–123). The facts overlap with fraud, but statutory duties and requested prospective relief do not become contract terms merely because the same transaction supplies evidence.</w:t>
      </w:r>
    </w:p>
    <w:p>
      <w:pPr>
        <w:pStyle w:val="ListBullet"/>
        <w:spacing w:after="60"/>
      </w:pPr>
      <w:r/>
      <w:r>
        <w:rPr>
          <w:b/>
        </w:rPr>
        <w:t>Choice of law.</w:t>
      </w:r>
      <w:r>
        <w:t xml:space="preserve"> The claim alleges Georgia-based trade conduct by a Georgia-based salesperson to a Georgia business. Section 14.3 does not expressly select Texas law for every “related” statutory claim. Argue territorial application and Georgia’s interest in regulating deceptive trade in Georgia; require a claim-specific conflicts analysis. DataCore’s statement that there is “no equivalent” Texas claim does not answer whether the parties’ clause reaches this local statutory count or whether applying Texas law would displace the forum’s statute.</w:t>
      </w:r>
    </w:p>
    <w:p>
      <w:pPr>
        <w:pStyle w:val="ListBullet"/>
        <w:spacing w:after="60"/>
      </w:pPr>
      <w:r/>
      <w:r>
        <w:rPr>
          <w:b/>
        </w:rPr>
        <w:t>Economic-loss rule.</w:t>
      </w:r>
      <w:r>
        <w:t xml:space="preserve"> A statutory claim based on enumerated deceptive practices is not automatically barred as a common-law negligence claim. The complaint alleges pre-contract deception, not just failure to meet a post-contract service level. The statutory elements and injunctive remedy are independent of MSA performance obligations. Acknowledge overlap in proof; explain why that is not legal duplicity.</w:t>
      </w:r>
    </w:p>
    <w:p>
      <w:pPr>
        <w:pStyle w:val="ListBullet"/>
        <w:spacing w:after="60"/>
      </w:pPr>
      <w:r/>
      <w:r>
        <w:rPr>
          <w:b/>
        </w:rPr>
        <w:t>Remedy/standing vulnerability.</w:t>
      </w:r>
      <w:r>
        <w:t xml:space="preserve"> The GUDTPA’s principal private remedy is injunctive relief for a person likely to be damaged; monetary damages are not generally awarded under the Act, and statutory attorney-fee entitlement is subject to the statute’s standards. Review O.C.G.A. § 10-1-373 carefully before asserting fees or actual damages under this count. The complaint requests an injunction but does not identify a sufficiently concrete ongoing or likely future practice/injury after Pinnacle terminated the MSA. If supported, plead DataCore’s continuing sale of TalentBridge using the same claims and why Pinnacle remains likely to be damaged; otherwise narrow the requested relief and preserve common-law damages under Counts II–III.</w:t>
      </w:r>
    </w:p>
    <w:p>
      <w:pPr>
        <w:pStyle w:val="ListBullet"/>
        <w:spacing w:after="60"/>
      </w:pPr>
      <w:r/>
      <w:r>
        <w:rPr>
          <w:b/>
        </w:rPr>
        <w:t>§ 10-1-372(a)(9) specificity.</w:t>
      </w:r>
      <w:r>
        <w:t xml:space="preserve"> “Intent not to sell as advertised” may require facts supporting intent at the time of advertising. The Jan. 10 and Feb. 1 claims of production-tested ADP functionality, the later admission that custom work was needed, and the special-demo allegation help, but add factual support or emphasize the more direct statutory theories under subsections (a)(5) and (a)(7). The complaint’s existing dates and statements likely satisfy particularity even if intent remains disputed.</w:t>
      </w:r>
    </w:p>
    <w:p>
      <w:pPr>
        <w:pStyle w:val="Heading1"/>
      </w:pPr>
      <w:r>
        <w:t>VI. Drafting and evidence priorities</w:t>
      </w:r>
    </w:p>
    <w:p>
      <w:pPr>
        <w:pStyle w:val="ListNumber"/>
        <w:spacing w:after="60"/>
      </w:pPr>
      <w:r/>
      <w:r>
        <w:rPr>
          <w:b/>
        </w:rPr>
        <w:t>Lead with the statutory time-bar issue and correct procedure.</w:t>
      </w:r>
      <w:r>
        <w:t xml:space="preserve"> Quote § 9.4 accurately; cite Tex. Civ. Prac. &amp; Rem. Code § 16.070 and establish that the March 22, 2024 filing is within two years of every pleaded discovery date. Explain Atlantic Marine and insist any forum ruling be handled under § 1404(a), not Rule 12(b)(3).</w:t>
      </w:r>
    </w:p>
    <w:p>
      <w:pPr>
        <w:pStyle w:val="ListNumber"/>
        <w:spacing w:after="60"/>
      </w:pPr>
      <w:r/>
      <w:r>
        <w:rPr>
          <w:b/>
        </w:rPr>
        <w:t>Make specific jurisdiction fact-forward.</w:t>
      </w:r>
      <w:r>
        <w:t xml:space="preserve"> Attach or cite the verified complaint, the original Jan./Feb. emails with full headers/signatures, and any available proof of the Atlanta office/Sousa assignment. State expressly that general jurisdiction is not necessary. Ask for narrow jurisdictional discovery if the Court credits any factual assertion in Whitford’s declaration.</w:t>
      </w:r>
    </w:p>
    <w:p>
      <w:pPr>
        <w:pStyle w:val="ListNumber"/>
        <w:spacing w:after="60"/>
      </w:pPr>
      <w:r/>
      <w:r>
        <w:rPr>
          <w:b/>
        </w:rPr>
        <w:t>Anchor Count I in the MSA text.</w:t>
      </w:r>
      <w:r>
        <w:t xml:space="preserve"> Plead the payroll integration and platform conformity obligations; identify the then-current supported integration list and Documentation; plead the failure to configure a standard payroll integration, the ADP custom-work quote, the latency metrics, written notice, cure window, partial patch, and remaining deficiency. Avoid claiming the standalone SOW itself became an MSA term.</w:t>
      </w:r>
    </w:p>
    <w:p>
      <w:pPr>
        <w:pStyle w:val="ListNumber"/>
        <w:spacing w:after="60"/>
      </w:pPr>
      <w:r/>
      <w:r>
        <w:rPr>
          <w:b/>
        </w:rPr>
        <w:t>Address anti-reliance honestly.</w:t>
      </w:r>
      <w:r>
        <w:t xml:space="preserve"> Quote the full § 14.7 language, distinguish the merger clause from the no-reliance sentence, argue law and facts, and present Georgia law in the alternative. If facts are available, explain the actual negotiations and what assurances were repeated after review of the MSA; do not rely on the unsupported assertion that Pinnacle was counseled throughout.</w:t>
      </w:r>
    </w:p>
    <w:p>
      <w:pPr>
        <w:pStyle w:val="ListNumber"/>
        <w:spacing w:after="60"/>
      </w:pPr>
      <w:r/>
      <w:r>
        <w:rPr>
          <w:b/>
        </w:rPr>
        <w:t>Reconcile volume, demo, and sender facts.</w:t>
      </w:r>
      <w:r>
        <w:t xml:space="preserve"> Explain the 5,000–6,000 forecast versus the complaint’s 10,000–15,000 statement, whether the 15,000 capability was a growth cushion over the five-year term, and why 7,500 performance remained inadequate. Confirm whether Baines represented the staging demo as production-representative. Resolve the “Anil Venkatesh”/“Anil Subramanian” signature discrepancy before treating the email as a CTO admission.</w:t>
      </w:r>
    </w:p>
    <w:p>
      <w:pPr>
        <w:pStyle w:val="ListNumber"/>
        <w:spacing w:after="60"/>
      </w:pPr>
      <w:r/>
      <w:r>
        <w:rPr>
          <w:b/>
        </w:rPr>
        <w:t>Refine damages and statutory relief.</w:t>
      </w:r>
      <w:r>
        <w:t xml:space="preserve"> Separate direct/out-of-pocket/value-of-performance amounts from consequential replacement/lost-business items; avoid counting the five-year contract value and paid fees twice; distinguish quoted cure costs from incurred costs; address the liability cap and waiver without suggesting an automatic recovery of excluded damages. For GUDTPA, identify ongoing threatened practices and plead only remedies the statute authorizes.</w:t>
      </w:r>
    </w:p>
    <w:p>
      <w:pPr>
        <w:pStyle w:val="ListNumber"/>
        <w:spacing w:after="60"/>
      </w:pPr>
      <w:r/>
      <w:r>
        <w:rPr>
          <w:b/>
        </w:rPr>
        <w:t>Preserve alternative relief.</w:t>
      </w:r>
      <w:r>
        <w:t xml:space="preserve"> Request denial of dismissal with prejudice; if the Court identifies pleading gaps, leave to amend under Rule 15(a)(2). If transfer is ordered, seek transfer rather than dismissal, preserve the claims and all choice-of-law/remedy arguments, and seek an early case-management schedule for targeted technical and jurisdictional discovery.</w:t>
      </w:r>
    </w:p>
    <w:p>
      <w:pPr>
        <w:pStyle w:val="Heading1"/>
      </w:pPr>
      <w:r>
        <w:t>VII. Proposed opposition order of presentation</w:t>
      </w:r>
    </w:p>
    <w:p>
      <w:pPr>
        <w:pStyle w:val="ListBullet"/>
        <w:spacing w:after="60"/>
      </w:pPr>
      <w:r>
        <w:t>Rule 12(b)(1): no motion/concession; deny.</w:t>
      </w:r>
    </w:p>
    <w:p>
      <w:pPr>
        <w:pStyle w:val="ListBullet"/>
        <w:spacing w:after="60"/>
      </w:pPr>
      <w:r>
        <w:t>Rule 12(b)(2): specific jurisdiction under Georgia’s long-arm statute and due process; general-jurisdiction test is inapposite; alternatively permit limited jurisdictional discovery.</w:t>
      </w:r>
    </w:p>
    <w:p>
      <w:pPr>
        <w:pStyle w:val="ListBullet"/>
        <w:spacing w:after="60"/>
      </w:pPr>
      <w:r>
        <w:t>Rule 12(b)(3): deny as the wrong vehicle under Atlantic Marine; venue independently plausible under § 1391(b)(2). Address § 1404(a) separately and candidly acknowledge transfer risk.</w:t>
      </w:r>
    </w:p>
    <w:p>
      <w:pPr>
        <w:pStyle w:val="ListBullet"/>
        <w:spacing w:after="60"/>
      </w:pPr>
      <w:r>
        <w:t>Choice of law: Texas contract law may govern Count I; clause does not automatically govern all pre-contract tort/statutory claims; make Georgia-law argument and alternative analysis.</w:t>
      </w:r>
    </w:p>
    <w:p>
      <w:pPr>
        <w:pStyle w:val="ListBullet"/>
        <w:spacing w:after="60"/>
      </w:pPr>
      <w:r>
        <w:t>Count I: § 16.070 statutory objection to one-year period; timely under two years even on DataCore’s dates; plausible MSA performance breaches; damages cap and waiver are not grounds to erase liability; no waiver on pleaded facts.</w:t>
      </w:r>
    </w:p>
    <w:p>
      <w:pPr>
        <w:pStyle w:val="ListBullet"/>
        <w:spacing w:after="60"/>
      </w:pPr>
      <w:r>
        <w:t>Count II: particularity and falsity first; scienter/reliance second; confront § 14.7 anti-reliance expressly and address Texas/Georgia law alternatives.</w:t>
      </w:r>
    </w:p>
    <w:p>
      <w:pPr>
        <w:pStyle w:val="ListBullet"/>
        <w:spacing w:after="60"/>
      </w:pPr>
      <w:r>
        <w:t>Count III: independent pre-contract negligent supply of information; no categorical economic-loss bar; reliance and remedy limits addressed candidly.</w:t>
      </w:r>
    </w:p>
    <w:p>
      <w:pPr>
        <w:pStyle w:val="ListBullet"/>
        <w:spacing w:after="60"/>
      </w:pPr>
      <w:r>
        <w:t>Count IV: exact statutory theories and Georgia contacts; choice-of-law and economic-loss arguments fail as categorical propositions; narrow prospective relief/fees to statutory requirements.</w:t>
      </w:r>
    </w:p>
    <w:p>
      <w:pPr>
        <w:pStyle w:val="ListBullet"/>
        <w:spacing w:after="60"/>
      </w:pPr>
      <w:r>
        <w:t>Alternative: leave to amend, limited discovery, or transfer without prejudice—not dismissal with prejudice.</w:t>
      </w:r>
    </w:p>
    <w:p>
      <w:pPr>
        <w:pStyle w:val="Heading1"/>
      </w:pPr>
      <w:r>
        <w:t>Authorities to verify and emphasize</w:t>
      </w:r>
    </w:p>
    <w:p>
      <w:r>
        <w:t>Federal procedure/jurisdiction: Fed. R. Civ. P. 9(b), 12(b)(1)–(3), 12(b)(6), 15(a)(2); 28 U.S.C. §§ 1332, 1391, 1404(a); Atlantic Marine Constr. Co. v. U.S. Dist. Ct., 571 U.S. 49 (2013); St. Paul Mercury Indem. Co. v. Red Cab Co., 303 U.S. 283 (1938); Diamond Crystal Brands, Inc. v. Food Movers Int’l, Inc., 593 F.3d 1249 (11th Cir. 2010); Meier ex rel. Meier v. Sun Int’l Hotels, Ltd., 288 F.3d 1264 (11th Cir. 2002); Daimler AG v. Bauman, 571 U.S. 117 (2014); Burger King Corp. v. Rudzewicz, 471 U.S. 462 (1985).</w:t>
      </w:r>
    </w:p>
    <w:p>
      <w:r>
        <w:t>Texas merits/limitations: Tex. Civ. Prac. &amp; Rem. Code § 16.070 (verify current text, exceptions, and application); Italian Cowboy Partners, Ltd. v. Prudential Ins. Co. of Am., 341 S.W.3d 323 (Tex. 2011); Schlumberger Tech. Corp. v. Swanson, 959 S.W.2d 171 (Tex. 1997); Formosa Plastics Corp. USA v. Presidio Eng’rs &amp; Contractors, Inc., 960 S.W.2d 41 (Tex. 1998); Grant Thornton LLP v. Prospect High Income Fund, 314 S.W.3d 913 (Tex. 2010); Sharyland Water Supply Corp. v. City of Alton, 354 S.W.3d 407 (Tex. 2011); Tenneco Inc. v. Enterprise Prods. Co., 925 S.W.2d 640 (Tex. 1996).</w:t>
      </w:r>
    </w:p>
    <w:p>
      <w:r>
        <w:t>Georgia statutory/conflicts: O.C.G.A. §§ 9-10-91(1), 10-1-372(a)(5), (7), (9), 10-1-373; General Tel. Co. of the Se. v. Trimm, 252 Ga. 95, 311 S.E.2d 460 (1984). Verify current statutory text and the precise damages, injunction, and fee provisions before filing.</w:t>
      </w:r>
    </w:p>
    <w:tbl>
      <w:tblPr>
        <w:tblW w:type="auto" w:w="0"/>
        <w:jc w:val="center"/>
        <w:tblLook w:firstColumn="1" w:firstRow="1" w:lastColumn="0" w:lastRow="0" w:noHBand="0" w:noVBand="1" w:val="04A0"/>
      </w:tblPr>
      <w:tblGrid>
        <w:gridCol w:w="9878"/>
      </w:tblGrid>
      <w:tr>
        <w:trPr>
          <w:cantSplit/>
        </w:trPr>
        <w:tc>
          <w:tcPr>
            <w:tcW w:type="dxa" w:w="9878"/>
            <w:shd w:fill="EAF1F8"/>
            <w:tcMar>
              <w:top w:w="110" w:type="dxa"/>
              <w:start w:w="150" w:type="dxa"/>
              <w:bottom w:w="110" w:type="dxa"/>
              <w:end w:w="150" w:type="dxa"/>
            </w:tcMar>
          </w:tcPr>
          <w:p>
            <w:pPr>
              <w:spacing w:after="0"/>
            </w:pPr>
            <w:r>
              <w:rPr>
                <w:b/>
                <w:color w:val="1F4E79"/>
              </w:rPr>
              <w:t xml:space="preserve">RECORD LIMITATION  </w:t>
            </w:r>
            <w:r>
              <w:t>This memo is based only on the supplied complaint, MSA, motion, Whitford declaration, and two .eml files. The complaint refers to additional exhibits (including the notice/termination letters, brochure, and SOW attachment) that were not separately supplied as readable files here. Review the actual filed exhibits, the complete motion record, the scheduling/order deadlines, and current controlling law before preparing a filed opposition.</w:t>
            </w:r>
          </w:p>
        </w:tc>
      </w:tr>
    </w:tbl>
    <w:p>
      <w:pPr>
        <w:spacing w:after="0"/>
      </w:pP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Motion-to-Dismiss Issues Memorandum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PINNACLE STAFFING SOLUTIONS, INC. v. DATACORE SYSTEMS, INC.  |  OPPOSITION ISSUES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to Dismiss Opposition Issues Memorandum</dc:title>
  <dc:subject>Pinnacle Staffing Solutions, Inc. v. DataCore Systems, Inc.</dc:subject>
  <dc:creator/>
  <cp:keywords>motion to dismiss, opposition, jurisdiction, forum selection, contract, fraud</cp:keywords>
  <dc:description>generated by python-docx</dc:description>
  <cp:lastModifiedBy/>
  <cp:revision>1</cp:revision>
  <dcterms:created xsi:type="dcterms:W3CDTF">2013-12-23T23:15:00Z</dcterms:created>
  <dcterms:modified xsi:type="dcterms:W3CDTF">2013-12-23T23:15:00Z</dcterms:modified>
  <cp:category/>
</cp:coreProperties>
</file>