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PRIVILEGED &amp; CONFIDENTIAL — ATTORNEY WORK PRODUCT</w:t>
      </w:r>
    </w:p>
    <w:p>
      <w:pPr>
        <w:jc w:val="center"/>
      </w:pPr>
      <w:r>
        <w:rPr>
          <w:b/>
          <w:i w:val="0"/>
          <w:sz w:val="32"/>
        </w:rPr>
        <w:t>MEMORANDUM</w:t>
      </w:r>
    </w:p>
    <w:tbl>
      <w:tblPr>
        <w:tblStyle w:val="TableGrid"/>
        <w:tblW w:type="auto" w:w="0"/>
        <w:tblLook w:firstColumn="1" w:firstRow="1" w:lastColumn="0" w:lastRow="0" w:noHBand="0" w:noVBand="1" w:val="04A0"/>
      </w:tblPr>
      <w:tblGrid>
        <w:gridCol w:w="4680"/>
        <w:gridCol w:w="4680"/>
      </w:tblGrid>
      <w:tr>
        <w:tc>
          <w:tcPr>
            <w:tcW w:type="dxa" w:w="1440"/>
            <w:shd w:val="clear" w:color="auto" w:fill="D9E2F3"/>
          </w:tcPr>
          <w:p>
            <w:r/>
            <w:r>
              <w:rPr>
                <w:b/>
                <w:sz w:val="19"/>
              </w:rPr>
            </w:r>
          </w:p>
        </w:tc>
        <w:tc>
          <w:tcPr>
            <w:tcW w:type="dxa" w:w="7920"/>
            <w:shd w:val="clear" w:color="auto" w:fill="D9E2F3"/>
          </w:tcPr>
          <w:p>
            <w:r/>
            <w:r>
              <w:rPr>
                <w:b/>
                <w:sz w:val="19"/>
              </w:rPr>
            </w:r>
          </w:p>
        </w:tc>
      </w:tr>
      <w:tr>
        <w:tc>
          <w:tcPr>
            <w:tcW w:type="dxa" w:w="1440"/>
          </w:tcPr>
          <w:p>
            <w:r/>
            <w:r>
              <w:rPr>
                <w:sz w:val="19"/>
              </w:rPr>
              <w:t>TO</w:t>
            </w:r>
          </w:p>
        </w:tc>
        <w:tc>
          <w:tcPr>
            <w:tcW w:type="dxa" w:w="7920"/>
          </w:tcPr>
          <w:p>
            <w:r/>
            <w:r>
              <w:rPr>
                <w:sz w:val="19"/>
              </w:rPr>
              <w:t>Katherine Ashford; Daniel Reeves — Ashford, Clement &amp; Yates LLP</w:t>
            </w:r>
          </w:p>
        </w:tc>
      </w:tr>
      <w:tr>
        <w:tc>
          <w:tcPr>
            <w:tcW w:type="dxa" w:w="1440"/>
          </w:tcPr>
          <w:p>
            <w:r/>
            <w:r>
              <w:rPr>
                <w:sz w:val="19"/>
              </w:rPr>
              <w:t>FROM</w:t>
            </w:r>
          </w:p>
        </w:tc>
        <w:tc>
          <w:tcPr>
            <w:tcW w:type="dxa" w:w="7920"/>
          </w:tcPr>
          <w:p>
            <w:r/>
            <w:r>
              <w:rPr>
                <w:sz w:val="19"/>
              </w:rPr>
              <w:t>[Associate]</w:t>
            </w:r>
          </w:p>
        </w:tc>
      </w:tr>
      <w:tr>
        <w:tc>
          <w:tcPr>
            <w:tcW w:type="dxa" w:w="1440"/>
          </w:tcPr>
          <w:p>
            <w:r/>
            <w:r>
              <w:rPr>
                <w:sz w:val="19"/>
              </w:rPr>
              <w:t>DATE</w:t>
            </w:r>
          </w:p>
        </w:tc>
        <w:tc>
          <w:tcPr>
            <w:tcW w:type="dxa" w:w="7920"/>
          </w:tcPr>
          <w:p>
            <w:r/>
            <w:r>
              <w:rPr>
                <w:sz w:val="19"/>
              </w:rPr>
              <w:t>[Insert date]</w:t>
            </w:r>
          </w:p>
        </w:tc>
      </w:tr>
      <w:tr>
        <w:tc>
          <w:tcPr>
            <w:tcW w:type="dxa" w:w="1440"/>
          </w:tcPr>
          <w:p>
            <w:r/>
            <w:r>
              <w:rPr>
                <w:sz w:val="19"/>
              </w:rPr>
              <w:t>RE</w:t>
            </w:r>
          </w:p>
        </w:tc>
        <w:tc>
          <w:tcPr>
            <w:tcW w:type="dxa" w:w="7920"/>
          </w:tcPr>
          <w:p>
            <w:r/>
            <w:r>
              <w:rPr>
                <w:sz w:val="19"/>
              </w:rPr>
              <w:t>Pinnacle Staffing Solutions, Inc. v. DataCore Systems, Inc., No. 1:24-cv-01287-RWS (N.D. Ga.): Issues for Opposition to DataCore’s Motion to Dismiss (Fed. R. Civ. P. 12(b)(1), (2), (3), (6)), filed May 20, 2024</w:t>
            </w:r>
          </w:p>
        </w:tc>
      </w:tr>
    </w:tbl>
    <w:p/>
    <w:p>
      <w:pPr>
        <w:pStyle w:val="Heading1"/>
      </w:pPr>
      <w:r>
        <w:t>I. Executive Summary</w:t>
      </w:r>
    </w:p>
    <w:p>
      <w:r>
        <w:rPr>
          <w:b w:val="0"/>
          <w:i w:val="0"/>
        </w:rPr>
        <w:t>DataCore’s motion looks broad, but much of it is thin. It argues personal jurisdiction only as general jurisdiction and never addresses the specific-jurisdiction theory the Complaint leads with. It uses Rule 12(b)(3) to enforce a forum-selection clause, even though the Supreme Court rejected that vehicle in Atlantic Marine. It says the one-year contractual limitations period is "routinely enforced under Texas law," but Texas makes limitations periods shorter than two years void. Its waiver argument ignores the MSA’s own anti-waiver clause. It also relies on facts outside the pleadings and cites almost no substantive state-law authority.</w:t>
      </w:r>
    </w:p>
    <w:p>
      <w:r>
        <w:rPr>
          <w:b w:val="0"/>
          <w:i w:val="0"/>
        </w:rPr>
        <w:t>The motion has two real threats, and we should plan the opposition around them:</w:t>
      </w:r>
    </w:p>
    <w:p>
      <w:pPr>
        <w:pStyle w:val="ListBullet"/>
      </w:pPr>
      <w:r>
        <w:rPr>
          <w:b/>
        </w:rPr>
        <w:t>Transfer to the Western District of Texas (Austin).</w:t>
      </w:r>
      <w:r>
        <w:t xml:space="preserve"> Section 14.2 is mandatory and exclusive, and it reaches claims "arising out of or relating to" the MSA. Under Atlantic Marine, a valid clause of this kind gets controlling weight under 28 U.S.C. § 1404(a). Dismissal under Rule 12(b)(3) should be denied. But a transfer under the alternative request in the motion’s Conclusion is a serious possibility, and we should assume that is the most likely result unless we can develop a clause-specific fraud or public-policy challenge.</w:t>
      </w:r>
    </w:p>
    <w:p>
      <w:pPr>
        <w:pStyle w:val="ListBullet"/>
      </w:pPr>
      <w:r>
        <w:rPr>
          <w:b/>
        </w:rPr>
        <w:t>The non-reliance sentence in MSA § 14.7, which no one has yet addressed.</w:t>
      </w:r>
      <w:r>
        <w:t xml:space="preserve"> The motion quotes only the merger sentence of § 14.7. Our Complaint (¶ 50) leaves out the same sentence. In fact, § 14.7 goes on: "Each party acknowledges that it has not relied upon any statement, representation, warranty, or agreement of the other party except for those expressly set forth in this Agreement." Under Texas law, a clear disclaimer of reliance can defeat fraudulent inducement (Schlumberger; Forest Oil), while a bare merger clause cannot (Italian Cowboy). DataCore is likely to raise this in reply. We must deal with it first, in the opposition or in an amended pleading.</w:t>
      </w:r>
    </w:p>
    <w:p>
      <w:r>
        <w:rPr>
          <w:b w:val="0"/>
          <w:i w:val="0"/>
        </w:rPr>
        <w:t>The review also found a significant number of discrepancies between the Complaint and the documentary record. The most serious: the Complaint misquotes Exhibits A and D, and it overstates Pinnacle’s scalability requirement in a way that Pinnacle’s own emails contradict. The Complaint is verified by Ms. Holliday. These problems must be fixed before we rely on the documents in the opposition (Part III).</w:t>
      </w:r>
    </w:p>
    <w:p>
      <w:r>
        <w:rPr>
          <w:b/>
          <w:i w:val="0"/>
        </w:rPr>
        <w:t>Key recommendation: before June 3, 2024, decide whether to (a) file an amended complaint as of right under Rule 15(a)(1)(B) (due 21 days after service of the motion, i.e., on or about June 10, 2024), which would moot the motion and let us fix the record problems, or (b) oppose on the current pleading. We recommend (a), combined with a focused opposition to transfer if DataCore re-files (Part IX).</w:t>
      </w:r>
    </w:p>
    <w:p>
      <w:pPr>
        <w:pStyle w:val="Heading2"/>
      </w:pPr>
      <w:r>
        <w:t>Risk assessment by argument</w:t>
      </w:r>
    </w:p>
    <w:tbl>
      <w:tblPr>
        <w:tblStyle w:val="TableGrid"/>
        <w:tblW w:type="auto" w:w="0"/>
        <w:tblLook w:firstColumn="1" w:firstRow="1" w:lastColumn="0" w:lastRow="0" w:noHBand="0" w:noVBand="1" w:val="04A0"/>
      </w:tblPr>
      <w:tblGrid>
        <w:gridCol w:w="2340"/>
        <w:gridCol w:w="2340"/>
        <w:gridCol w:w="2340"/>
        <w:gridCol w:w="2340"/>
      </w:tblGrid>
      <w:tr>
        <w:tc>
          <w:tcPr>
            <w:tcW w:type="dxa" w:w="1944"/>
            <w:shd w:val="clear" w:color="auto" w:fill="D9E2F3"/>
          </w:tcPr>
          <w:p>
            <w:r/>
            <w:r>
              <w:rPr>
                <w:b/>
                <w:sz w:val="19"/>
              </w:rPr>
              <w:t>DataCore argument</w:t>
            </w:r>
          </w:p>
        </w:tc>
        <w:tc>
          <w:tcPr>
            <w:tcW w:type="dxa" w:w="1656"/>
            <w:shd w:val="clear" w:color="auto" w:fill="D9E2F3"/>
          </w:tcPr>
          <w:p>
            <w:r/>
            <w:r>
              <w:rPr>
                <w:b/>
                <w:sz w:val="19"/>
              </w:rPr>
              <w:t>Merit of DataCore position</w:t>
            </w:r>
          </w:p>
        </w:tc>
        <w:tc>
          <w:tcPr>
            <w:tcW w:type="dxa" w:w="3744"/>
            <w:shd w:val="clear" w:color="auto" w:fill="D9E2F3"/>
          </w:tcPr>
          <w:p>
            <w:r/>
            <w:r>
              <w:rPr>
                <w:b/>
                <w:sz w:val="19"/>
              </w:rPr>
              <w:t>Our best response(s)</w:t>
            </w:r>
          </w:p>
        </w:tc>
        <w:tc>
          <w:tcPr>
            <w:tcW w:type="dxa" w:w="2016"/>
            <w:shd w:val="clear" w:color="auto" w:fill="D9E2F3"/>
          </w:tcPr>
          <w:p>
            <w:r/>
            <w:r>
              <w:rPr>
                <w:b/>
                <w:sz w:val="19"/>
              </w:rPr>
              <w:t>Likely outcome</w:t>
            </w:r>
          </w:p>
        </w:tc>
      </w:tr>
      <w:tr>
        <w:tc>
          <w:tcPr>
            <w:tcW w:type="dxa" w:w="1944"/>
          </w:tcPr>
          <w:p>
            <w:r/>
            <w:r>
              <w:rPr>
                <w:sz w:val="19"/>
              </w:rPr>
              <w:t>12(b)(1) amount in controversy</w:t>
            </w:r>
          </w:p>
        </w:tc>
        <w:tc>
          <w:tcPr>
            <w:tcW w:type="dxa" w:w="1656"/>
          </w:tcPr>
          <w:p>
            <w:r/>
            <w:r>
              <w:rPr>
                <w:sz w:val="19"/>
              </w:rPr>
              <w:t>None; DataCore expressly does not move</w:t>
            </w:r>
          </w:p>
        </w:tc>
        <w:tc>
          <w:tcPr>
            <w:tcW w:type="dxa" w:w="3744"/>
          </w:tcPr>
          <w:p>
            <w:r/>
            <w:r>
              <w:rPr>
                <w:sz w:val="19"/>
              </w:rPr>
              <w:t>Point out that DataCore concedes the threshold is met; ask that the section be disregarded</w:t>
            </w:r>
          </w:p>
        </w:tc>
        <w:tc>
          <w:tcPr>
            <w:tcW w:type="dxa" w:w="2016"/>
          </w:tcPr>
          <w:p>
            <w:r/>
            <w:r>
              <w:rPr>
                <w:sz w:val="19"/>
              </w:rPr>
              <w:t>Denied / moot</w:t>
            </w:r>
          </w:p>
        </w:tc>
      </w:tr>
      <w:tr>
        <w:tc>
          <w:tcPr>
            <w:tcW w:type="dxa" w:w="1944"/>
          </w:tcPr>
          <w:p>
            <w:r/>
            <w:r>
              <w:rPr>
                <w:sz w:val="19"/>
              </w:rPr>
              <w:t>12(b)(2) personal jurisdiction</w:t>
            </w:r>
          </w:p>
        </w:tc>
        <w:tc>
          <w:tcPr>
            <w:tcW w:type="dxa" w:w="1656"/>
          </w:tcPr>
          <w:p>
            <w:r/>
            <w:r>
              <w:rPr>
                <w:sz w:val="19"/>
              </w:rPr>
              <w:t>Weak</w:t>
            </w:r>
          </w:p>
        </w:tc>
        <w:tc>
          <w:tcPr>
            <w:tcW w:type="dxa" w:w="3744"/>
          </w:tcPr>
          <w:p>
            <w:r/>
            <w:r>
              <w:rPr>
                <w:sz w:val="19"/>
              </w:rPr>
              <w:t>Specific jurisdiction (Atlanta office, Sousa, Georgia-directed communications); consent through Georgia registration (Cooper Tire / Mallory), to be verified; declaration leaves the jurisdictional allegations uncontroverted</w:t>
            </w:r>
          </w:p>
        </w:tc>
        <w:tc>
          <w:tcPr>
            <w:tcW w:type="dxa" w:w="2016"/>
          </w:tcPr>
          <w:p>
            <w:r/>
            <w:r>
              <w:rPr>
                <w:sz w:val="19"/>
              </w:rPr>
              <w:t>Denied</w:t>
            </w:r>
          </w:p>
        </w:tc>
      </w:tr>
      <w:tr>
        <w:tc>
          <w:tcPr>
            <w:tcW w:type="dxa" w:w="1944"/>
          </w:tcPr>
          <w:p>
            <w:r/>
            <w:r>
              <w:rPr>
                <w:sz w:val="19"/>
              </w:rPr>
              <w:t>12(b)(3) forum clause</w:t>
            </w:r>
          </w:p>
        </w:tc>
        <w:tc>
          <w:tcPr>
            <w:tcW w:type="dxa" w:w="1656"/>
          </w:tcPr>
          <w:p>
            <w:r/>
            <w:r>
              <w:rPr>
                <w:sz w:val="19"/>
              </w:rPr>
              <w:t>Wrong vehicle; strong in substance</w:t>
            </w:r>
          </w:p>
        </w:tc>
        <w:tc>
          <w:tcPr>
            <w:tcW w:type="dxa" w:w="3744"/>
          </w:tcPr>
          <w:p>
            <w:r/>
            <w:r>
              <w:rPr>
                <w:sz w:val="19"/>
              </w:rPr>
              <w:t>Atlantic Marine: venue is proper under § 1391, so 12(b)(3) dismissal is unavailable; oppose § 1404(a) transfer</w:t>
            </w:r>
          </w:p>
        </w:tc>
        <w:tc>
          <w:tcPr>
            <w:tcW w:type="dxa" w:w="2016"/>
          </w:tcPr>
          <w:p>
            <w:r/>
            <w:r>
              <w:rPr>
                <w:sz w:val="19"/>
              </w:rPr>
              <w:t>Dismissal denied; transfer risk HIGH</w:t>
            </w:r>
          </w:p>
        </w:tc>
      </w:tr>
      <w:tr>
        <w:tc>
          <w:tcPr>
            <w:tcW w:type="dxa" w:w="1944"/>
          </w:tcPr>
          <w:p>
            <w:r/>
            <w:r>
              <w:rPr>
                <w:sz w:val="19"/>
              </w:rPr>
              <w:t>Count I: § 9.4 time bar</w:t>
            </w:r>
          </w:p>
        </w:tc>
        <w:tc>
          <w:tcPr>
            <w:tcW w:type="dxa" w:w="1656"/>
          </w:tcPr>
          <w:p>
            <w:r/>
            <w:r>
              <w:rPr>
                <w:sz w:val="19"/>
              </w:rPr>
              <w:t>Weak</w:t>
            </w:r>
          </w:p>
        </w:tc>
        <w:tc>
          <w:tcPr>
            <w:tcW w:type="dxa" w:w="3744"/>
          </w:tcPr>
          <w:p>
            <w:r/>
            <w:r>
              <w:rPr>
                <w:sz w:val="19"/>
              </w:rPr>
              <w:t>Tex. Civ. Prac. &amp; Rem. Code § 16.070 voids limitations periods under two years; affirmative defense not apparent on the face; continuing breach; estoppel from promised patch</w:t>
            </w:r>
          </w:p>
        </w:tc>
        <w:tc>
          <w:tcPr>
            <w:tcW w:type="dxa" w:w="2016"/>
          </w:tcPr>
          <w:p>
            <w:r/>
            <w:r>
              <w:rPr>
                <w:sz w:val="19"/>
              </w:rPr>
              <w:t>Denied</w:t>
            </w:r>
          </w:p>
        </w:tc>
      </w:tr>
      <w:tr>
        <w:tc>
          <w:tcPr>
            <w:tcW w:type="dxa" w:w="1944"/>
          </w:tcPr>
          <w:p>
            <w:r/>
            <w:r>
              <w:rPr>
                <w:sz w:val="19"/>
              </w:rPr>
              <w:t>Count I: §§ 11.1/11.2 caps</w:t>
            </w:r>
          </w:p>
        </w:tc>
        <w:tc>
          <w:tcPr>
            <w:tcW w:type="dxa" w:w="1656"/>
          </w:tcPr>
          <w:p>
            <w:r/>
            <w:r>
              <w:rPr>
                <w:sz w:val="19"/>
              </w:rPr>
              <w:t>Weak as a dismissal ground</w:t>
            </w:r>
          </w:p>
        </w:tc>
        <w:tc>
          <w:tcPr>
            <w:tcW w:type="dxa" w:w="3744"/>
          </w:tcPr>
          <w:p>
            <w:r/>
            <w:r>
              <w:rPr>
                <w:sz w:val="19"/>
              </w:rPr>
              <w:t>A damages cap is not a failure-of-element argument; direct damages are pleaded; the cap amount is a fact issue; the fraud-vitiation argument</w:t>
            </w:r>
          </w:p>
        </w:tc>
        <w:tc>
          <w:tcPr>
            <w:tcW w:type="dxa" w:w="2016"/>
          </w:tcPr>
          <w:p>
            <w:r/>
            <w:r>
              <w:rPr>
                <w:sz w:val="19"/>
              </w:rPr>
              <w:t>Denied (but caps may limit recovery later)</w:t>
            </w:r>
          </w:p>
        </w:tc>
      </w:tr>
      <w:tr>
        <w:tc>
          <w:tcPr>
            <w:tcW w:type="dxa" w:w="1944"/>
          </w:tcPr>
          <w:p>
            <w:r/>
            <w:r>
              <w:rPr>
                <w:sz w:val="19"/>
              </w:rPr>
              <w:t>Count I: waiver by performance</w:t>
            </w:r>
          </w:p>
        </w:tc>
        <w:tc>
          <w:tcPr>
            <w:tcW w:type="dxa" w:w="1656"/>
          </w:tcPr>
          <w:p>
            <w:r/>
            <w:r>
              <w:rPr>
                <w:sz w:val="19"/>
              </w:rPr>
              <w:t>Very weak</w:t>
            </w:r>
          </w:p>
        </w:tc>
        <w:tc>
          <w:tcPr>
            <w:tcW w:type="dxa" w:w="3744"/>
          </w:tcPr>
          <w:p>
            <w:r/>
            <w:r>
              <w:rPr>
                <w:sz w:val="19"/>
              </w:rPr>
              <w:t>MSA § 14.9 anti-waiver clause; ¶ 68 reservation of rights; waiver is a fact-intensive affirmative defense</w:t>
            </w:r>
          </w:p>
        </w:tc>
        <w:tc>
          <w:tcPr>
            <w:tcW w:type="dxa" w:w="2016"/>
          </w:tcPr>
          <w:p>
            <w:r/>
            <w:r>
              <w:rPr>
                <w:sz w:val="19"/>
              </w:rPr>
              <w:t>Denied</w:t>
            </w:r>
          </w:p>
        </w:tc>
      </w:tr>
      <w:tr>
        <w:tc>
          <w:tcPr>
            <w:tcW w:type="dxa" w:w="1944"/>
          </w:tcPr>
          <w:p>
            <w:r/>
            <w:r>
              <w:rPr>
                <w:sz w:val="19"/>
              </w:rPr>
              <w:t>Count II: fraud (plausibility / 9(b))</w:t>
            </w:r>
          </w:p>
        </w:tc>
        <w:tc>
          <w:tcPr>
            <w:tcW w:type="dxa" w:w="1656"/>
          </w:tcPr>
          <w:p>
            <w:r/>
            <w:r>
              <w:rPr>
                <w:sz w:val="19"/>
              </w:rPr>
              <w:t>Weak</w:t>
            </w:r>
          </w:p>
        </w:tc>
        <w:tc>
          <w:tcPr>
            <w:tcW w:type="dxa" w:w="3744"/>
          </w:tcPr>
          <w:p>
            <w:r/>
            <w:r>
              <w:rPr>
                <w:sz w:val="19"/>
              </w:rPr>
              <w:t>Who/what/when/where pleaded; Subramanian admission; specific, quantified statements are not puffery</w:t>
            </w:r>
          </w:p>
        </w:tc>
        <w:tc>
          <w:tcPr>
            <w:tcW w:type="dxa" w:w="2016"/>
          </w:tcPr>
          <w:p>
            <w:r/>
            <w:r>
              <w:rPr>
                <w:sz w:val="19"/>
              </w:rPr>
              <w:t>Denied</w:t>
            </w:r>
          </w:p>
        </w:tc>
      </w:tr>
      <w:tr>
        <w:tc>
          <w:tcPr>
            <w:tcW w:type="dxa" w:w="1944"/>
          </w:tcPr>
          <w:p>
            <w:r/>
            <w:r>
              <w:rPr>
                <w:sz w:val="19"/>
              </w:rPr>
              <w:t>Count II: integration clause</w:t>
            </w:r>
          </w:p>
        </w:tc>
        <w:tc>
          <w:tcPr>
            <w:tcW w:type="dxa" w:w="1656"/>
          </w:tcPr>
          <w:p>
            <w:r/>
            <w:r>
              <w:rPr>
                <w:sz w:val="19"/>
              </w:rPr>
              <w:t>Moderate to HIGH once the non-reliance sentence is raised</w:t>
            </w:r>
          </w:p>
        </w:tc>
        <w:tc>
          <w:tcPr>
            <w:tcW w:type="dxa" w:w="3744"/>
          </w:tcPr>
          <w:p>
            <w:r/>
            <w:r>
              <w:rPr>
                <w:sz w:val="19"/>
              </w:rPr>
              <w:t>Italian Cowboy; Forest Oil factors (Whitford ¶¶ 12–13 concede unmodified standard-form terms); fact questions</w:t>
            </w:r>
          </w:p>
        </w:tc>
        <w:tc>
          <w:tcPr>
            <w:tcW w:type="dxa" w:w="2016"/>
          </w:tcPr>
          <w:p>
            <w:r/>
            <w:r>
              <w:rPr>
                <w:sz w:val="19"/>
              </w:rPr>
              <w:t>Uncertain</w:t>
            </w:r>
          </w:p>
        </w:tc>
      </w:tr>
      <w:tr>
        <w:tc>
          <w:tcPr>
            <w:tcW w:type="dxa" w:w="1944"/>
          </w:tcPr>
          <w:p>
            <w:r/>
            <w:r>
              <w:rPr>
                <w:sz w:val="19"/>
              </w:rPr>
              <w:t>Count III: negligent misrepresentation / economic loss</w:t>
            </w:r>
          </w:p>
        </w:tc>
        <w:tc>
          <w:tcPr>
            <w:tcW w:type="dxa" w:w="1656"/>
          </w:tcPr>
          <w:p>
            <w:r/>
            <w:r>
              <w:rPr>
                <w:sz w:val="19"/>
              </w:rPr>
              <w:t>Moderate to high</w:t>
            </w:r>
          </w:p>
        </w:tc>
        <w:tc>
          <w:tcPr>
            <w:tcW w:type="dxa" w:w="3744"/>
          </w:tcPr>
          <w:p>
            <w:r/>
            <w:r>
              <w:rPr>
                <w:sz w:val="19"/>
              </w:rPr>
              <w:t>Independent-duty and pre-contract theory; limit damages to out-of-pocket losses; Georgia misrepresentation exception if Georgia law applies</w:t>
            </w:r>
          </w:p>
        </w:tc>
        <w:tc>
          <w:tcPr>
            <w:tcW w:type="dxa" w:w="2016"/>
          </w:tcPr>
          <w:p>
            <w:r/>
            <w:r>
              <w:rPr>
                <w:sz w:val="19"/>
              </w:rPr>
              <w:t>At risk</w:t>
            </w:r>
          </w:p>
        </w:tc>
      </w:tr>
      <w:tr>
        <w:tc>
          <w:tcPr>
            <w:tcW w:type="dxa" w:w="1944"/>
          </w:tcPr>
          <w:p>
            <w:r/>
            <w:r>
              <w:rPr>
                <w:sz w:val="19"/>
              </w:rPr>
              <w:t>Count IV: GUDTPA</w:t>
            </w:r>
          </w:p>
        </w:tc>
        <w:tc>
          <w:tcPr>
            <w:tcW w:type="dxa" w:w="1656"/>
          </w:tcPr>
          <w:p>
            <w:r/>
            <w:r>
              <w:rPr>
                <w:sz w:val="19"/>
              </w:rPr>
              <w:t>Moderate to high, though for reasons DataCore largely missed</w:t>
            </w:r>
          </w:p>
        </w:tc>
        <w:tc>
          <w:tcPr>
            <w:tcW w:type="dxa" w:w="3744"/>
          </w:tcPr>
          <w:p>
            <w:r/>
            <w:r>
              <w:rPr>
                <w:sz w:val="19"/>
              </w:rPr>
              <w:t>Georgia law applies to a Georgia statutory claim; narrower § 14.3 language</w:t>
            </w:r>
          </w:p>
        </w:tc>
        <w:tc>
          <w:tcPr>
            <w:tcW w:type="dxa" w:w="2016"/>
          </w:tcPr>
          <w:p>
            <w:r/>
            <w:r>
              <w:rPr>
                <w:sz w:val="19"/>
              </w:rPr>
              <w:t>At risk: the statute allows no damages remedy, and standing for an injunction is doubtful</w:t>
            </w:r>
          </w:p>
        </w:tc>
      </w:tr>
    </w:tbl>
    <w:p/>
    <w:p>
      <w:pPr>
        <w:pStyle w:val="Heading1"/>
      </w:pPr>
      <w:r>
        <w:t>II. Procedural Posture and Deadlines</w:t>
      </w:r>
    </w:p>
    <w:p>
      <w:pPr>
        <w:pStyle w:val="ListBullet"/>
      </w:pPr>
      <w:r>
        <w:rPr>
          <w:b/>
        </w:rPr>
        <w:t>Motion filed / served:</w:t>
      </w:r>
      <w:r>
        <w:t xml:space="preserve"> May 20, 2024 via CM/ECF. Confirm actual receipt. The certificate of service lists an incorrect email for Ms. Ashford ("ashfordclemenyates.com") and an incorrect phone number ((404) 555-9200 vs. 555-7200). ECF service should control, but confirm the NEF was received and note this for the record.</w:t>
      </w:r>
    </w:p>
    <w:p>
      <w:pPr>
        <w:pStyle w:val="ListBullet"/>
      </w:pPr>
      <w:r>
        <w:rPr>
          <w:b/>
        </w:rPr>
        <w:t>Opposition deadline:</w:t>
      </w:r>
      <w:r>
        <w:t xml:space="preserve"> N.D. Ga. L.R. 7.1(B) gives 14 days after service, i.e., about June 3, 2024 (verify the computation under Fed. R. Civ. P. 6). Consider a consent extension if we amend.</w:t>
      </w:r>
    </w:p>
    <w:p>
      <w:pPr>
        <w:pStyle w:val="ListBullet"/>
      </w:pPr>
      <w:r>
        <w:rPr>
          <w:b/>
        </w:rPr>
        <w:t>Amendment as of right:</w:t>
      </w:r>
      <w:r>
        <w:t xml:space="preserve"> Fed. R. Civ. P. 15(a)(1)(B) allows amendment within 21 days after service of a Rule 12(b) motion, i.e., about June 10, 2024. An amended complaint generally moots the pending motion.</w:t>
      </w:r>
    </w:p>
    <w:p>
      <w:pPr>
        <w:pStyle w:val="ListBullet"/>
      </w:pPr>
      <w:r>
        <w:rPr>
          <w:b/>
        </w:rPr>
        <w:t>Leave to amend in the alternative:</w:t>
      </w:r>
      <w:r>
        <w:t xml:space="preserve"> In the Eleventh Circuit, a request for leave buried in an opposition brief is ineffective (Rosenberg v. Gould, 554 F.3d 962, 967 (11th Cir. 2009)), and courts need not grant leave sua sponte to counseled plaintiffs (Wagner v. Daewoo Heavy Indus. Am. Corp., 314 F.3d 541 (11th Cir. 2002) (en banc)). If we oppose rather than amend, file a separate motion for leave or attach a proposed amended complaint.</w:t>
      </w:r>
    </w:p>
    <w:p>
      <w:pPr>
        <w:pStyle w:val="ListBullet"/>
      </w:pPr>
      <w:r>
        <w:rPr>
          <w:b/>
        </w:rPr>
        <w:t>"With prejudice":</w:t>
      </w:r>
      <w:r>
        <w:t xml:space="preserve"> DataCore asks for dismissal with prejudice across the board. Dismissals for lack of personal jurisdiction or improper venue are necessarily without prejudice, and a first 12(b)(6) dismissal is ordinarily without prejudice. Say so in the opposition.</w:t>
      </w:r>
    </w:p>
    <w:p>
      <w:pPr>
        <w:pStyle w:val="ListBullet"/>
      </w:pPr>
      <w:r>
        <w:rPr>
          <w:b/>
        </w:rPr>
        <w:t>12(d) conversion:</w:t>
      </w:r>
      <w:r>
        <w:t xml:space="preserve"> The motion relies on facts outside the pleadings, including that Pinnacle was "represented by competent counsel," that negotiations lasted "months," that Pinnacle owes $432,000, and the contents of the Whitford Declaration. None of this can be considered under 12(b)(6) without conversion to summary judgment. Move to disregard.</w:t>
      </w:r>
    </w:p>
    <w:p>
      <w:pPr>
        <w:pStyle w:val="Heading1"/>
      </w:pPr>
      <w:r>
        <w:t>III. Record Discrepancies Requiring Immediate Attention</w:t>
      </w:r>
    </w:p>
    <w:p>
      <w:r>
        <w:rPr>
          <w:b w:val="0"/>
          <w:i w:val="0"/>
        </w:rPr>
        <w:t>We compared the Complaint, the MSA (Complaint Ex. C / Whitford Ex. C), the Sousa–Nance email chain, and the January 2023 Subramanian email line by line. In the Eleventh Circuit, when exhibits contradict the allegations, the exhibits control (Crenshaw v. Lister, 556 F.3d 1283, 1292 (11th Cir. 2009); Griffin Indus. v. Irvin, 496 F.3d 1189, 1206 (11th Cir. 2007)). DataCore has not yet exploited these discrepancies, but it will. Several of them affect a verified complaint.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0"/>
            <w:shd w:val="clear" w:color="auto" w:fill="D9E2F3"/>
          </w:tcPr>
          <w:p>
            <w:r/>
            <w:r>
              <w:rPr>
                <w:b/>
                <w:sz w:val="19"/>
              </w:rPr>
              <w:t>#</w:t>
            </w:r>
          </w:p>
        </w:tc>
        <w:tc>
          <w:tcPr>
            <w:tcW w:type="dxa" w:w="1512"/>
            <w:shd w:val="clear" w:color="auto" w:fill="D9E2F3"/>
          </w:tcPr>
          <w:p>
            <w:r/>
            <w:r>
              <w:rPr>
                <w:b/>
                <w:sz w:val="19"/>
              </w:rPr>
              <w:t>Issue</w:t>
            </w:r>
          </w:p>
        </w:tc>
        <w:tc>
          <w:tcPr>
            <w:tcW w:type="dxa" w:w="2088"/>
            <w:shd w:val="clear" w:color="auto" w:fill="D9E2F3"/>
          </w:tcPr>
          <w:p>
            <w:r/>
            <w:r>
              <w:rPr>
                <w:b/>
                <w:sz w:val="19"/>
              </w:rPr>
              <w:t>Complaint says</w:t>
            </w:r>
          </w:p>
        </w:tc>
        <w:tc>
          <w:tcPr>
            <w:tcW w:type="dxa" w:w="2736"/>
            <w:shd w:val="clear" w:color="auto" w:fill="D9E2F3"/>
          </w:tcPr>
          <w:p>
            <w:r/>
            <w:r>
              <w:rPr>
                <w:b/>
                <w:sz w:val="19"/>
              </w:rPr>
              <w:t>Documents actually say</w:t>
            </w:r>
          </w:p>
        </w:tc>
        <w:tc>
          <w:tcPr>
            <w:tcW w:type="dxa" w:w="2664"/>
            <w:shd w:val="clear" w:color="auto" w:fill="D9E2F3"/>
          </w:tcPr>
          <w:p>
            <w:r/>
            <w:r>
              <w:rPr>
                <w:b/>
                <w:sz w:val="19"/>
              </w:rPr>
              <w:t>Significance / action</w:t>
            </w:r>
          </w:p>
        </w:tc>
      </w:tr>
      <w:tr>
        <w:tc>
          <w:tcPr>
            <w:tcW w:type="dxa" w:w="360"/>
          </w:tcPr>
          <w:p>
            <w:r/>
            <w:r>
              <w:rPr>
                <w:sz w:val="19"/>
              </w:rPr>
              <w:t>1</w:t>
            </w:r>
          </w:p>
        </w:tc>
        <w:tc>
          <w:tcPr>
            <w:tcW w:type="dxa" w:w="1512"/>
          </w:tcPr>
          <w:p>
            <w:r/>
            <w:r>
              <w:rPr>
                <w:sz w:val="19"/>
              </w:rPr>
              <w:t>Misquotation of Ex. A (Jan. 10, 2022 Sousa email)</w:t>
            </w:r>
          </w:p>
        </w:tc>
        <w:tc>
          <w:tcPr>
            <w:tcW w:type="dxa" w:w="2088"/>
          </w:tcPr>
          <w:p>
            <w:r/>
            <w:r>
              <w:rPr>
                <w:sz w:val="19"/>
              </w:rPr>
              <w:t>¶ 29: "Your team won’t need to spend a single hour on custom API work — it just works."</w:t>
            </w:r>
          </w:p>
        </w:tc>
        <w:tc>
          <w:tcPr>
            <w:tcW w:type="dxa" w:w="2736"/>
          </w:tcPr>
          <w:p>
            <w:r/>
            <w:r>
              <w:rPr>
                <w:sz w:val="19"/>
              </w:rPr>
              <w:t>"Your team won’t need to write a single line of code or engage any third-party consultants. Once TalentBridge is implemented, the payroll sync is automatic. … It just works."</w:t>
            </w:r>
          </w:p>
        </w:tc>
        <w:tc>
          <w:tcPr>
            <w:tcW w:type="dxa" w:w="2664"/>
          </w:tcPr>
          <w:p>
            <w:r/>
            <w:r>
              <w:rPr>
                <w:sz w:val="19"/>
              </w:rPr>
              <w:t>Substance is the same (arguably stronger), but the quotation is wrong. Correct it in the amendment and quote accurately in the brief.</w:t>
            </w:r>
          </w:p>
        </w:tc>
      </w:tr>
      <w:tr>
        <w:tc>
          <w:tcPr>
            <w:tcW w:type="dxa" w:w="360"/>
          </w:tcPr>
          <w:p>
            <w:r/>
            <w:r>
              <w:rPr>
                <w:sz w:val="19"/>
              </w:rPr>
              <w:t>2</w:t>
            </w:r>
          </w:p>
        </w:tc>
        <w:tc>
          <w:tcPr>
            <w:tcW w:type="dxa" w:w="1512"/>
          </w:tcPr>
          <w:p>
            <w:r/>
            <w:r>
              <w:rPr>
                <w:sz w:val="19"/>
              </w:rPr>
              <w:t>Misquotation of Ex. D (Jan. 12, 2023 CTO email)</w:t>
            </w:r>
          </w:p>
        </w:tc>
        <w:tc>
          <w:tcPr>
            <w:tcW w:type="dxa" w:w="2088"/>
          </w:tcPr>
          <w:p>
            <w:r/>
            <w:r>
              <w:rPr>
                <w:sz w:val="19"/>
              </w:rPr>
              <w:t>¶ 63: "…We are working on a patch that we expect to deploy within the next 60–90 days that should significantly improve throughput."</w:t>
            </w:r>
          </w:p>
        </w:tc>
        <w:tc>
          <w:tcPr>
            <w:tcW w:type="dxa" w:w="2736"/>
          </w:tcPr>
          <w:p>
            <w:r/>
            <w:r>
              <w:rPr>
                <w:sz w:val="19"/>
              </w:rPr>
              <w:t>"…We are working on a patch." Later: patch "targeting for delivery in Q1 of this year"; "I am confident it will address the performance gaps."</w:t>
            </w:r>
          </w:p>
        </w:tc>
        <w:tc>
          <w:tcPr>
            <w:tcW w:type="dxa" w:w="2664"/>
          </w:tcPr>
          <w:p>
            <w:r/>
            <w:r>
              <w:rPr>
                <w:sz w:val="19"/>
              </w:rPr>
              <w:t>Correct the quote. The actual text helps us: DataCore promised Q1 delivery and missed it (patch came Apr. 15, 2023), and the "confident" assurance supports estoppel and tolling. The email also contains an ADP admission the Complaint does not use: "the integration required additional custom API development beyond what was initially anticipated."</w:t>
            </w:r>
          </w:p>
        </w:tc>
      </w:tr>
      <w:tr>
        <w:tc>
          <w:tcPr>
            <w:tcW w:type="dxa" w:w="360"/>
          </w:tcPr>
          <w:p>
            <w:r/>
            <w:r>
              <w:rPr>
                <w:sz w:val="19"/>
              </w:rPr>
              <w:t>3</w:t>
            </w:r>
          </w:p>
        </w:tc>
        <w:tc>
          <w:tcPr>
            <w:tcW w:type="dxa" w:w="1512"/>
          </w:tcPr>
          <w:p>
            <w:r/>
            <w:r>
              <w:rPr>
                <w:sz w:val="19"/>
              </w:rPr>
              <w:t>Scalability requirement overstated</w:t>
            </w:r>
          </w:p>
        </w:tc>
        <w:tc>
          <w:tcPr>
            <w:tcW w:type="dxa" w:w="2088"/>
          </w:tcPr>
          <w:p>
            <w:r/>
            <w:r>
              <w:rPr>
                <w:sz w:val="19"/>
              </w:rPr>
              <w:t>¶¶ 24, 40: 10,000–15,000 concurrent records was a "non-negotiable" requirement "communicated … clearly and repeatedly."</w:t>
            </w:r>
          </w:p>
        </w:tc>
        <w:tc>
          <w:tcPr>
            <w:tcW w:type="dxa" w:w="2736"/>
          </w:tcPr>
          <w:p>
            <w:r/>
            <w:r>
              <w:rPr>
                <w:sz w:val="19"/>
              </w:rPr>
              <w:t>Nance (Feb. 9, 2022): ~3,500 active temps at peak; expects "5,000 to 6,000" within 2–3 years. Sousa (Feb. 14) repeats this back. Dec. 15, 2021 email says only "large and growing volume."</w:t>
            </w:r>
          </w:p>
        </w:tc>
        <w:tc>
          <w:tcPr>
            <w:tcW w:type="dxa" w:w="2664"/>
          </w:tcPr>
          <w:p>
            <w:r/>
            <w:r>
              <w:rPr>
                <w:sz w:val="19"/>
              </w:rPr>
              <w:t>SERIOUS. This contradicts a verified pleading. DataCore will argue materiality, reliance, and damages: the post-patch capacity of ~7,500 exceeds Pinnacle’s own stated need. Revise ¶¶ 24, 40, 94, 96. Re-center on the pre-patch ~4,000 ceiling (barely above peak and below projected need) and on Sousa’s affirmative 15,000 / sub-second representation. Interview Nance.</w:t>
            </w:r>
          </w:p>
        </w:tc>
      </w:tr>
      <w:tr>
        <w:tc>
          <w:tcPr>
            <w:tcW w:type="dxa" w:w="360"/>
          </w:tcPr>
          <w:p>
            <w:r/>
            <w:r>
              <w:rPr>
                <w:sz w:val="19"/>
              </w:rPr>
              <w:t>4</w:t>
            </w:r>
          </w:p>
        </w:tc>
        <w:tc>
          <w:tcPr>
            <w:tcW w:type="dxa" w:w="1512"/>
          </w:tcPr>
          <w:p>
            <w:r/>
            <w:r>
              <w:rPr>
                <w:sz w:val="19"/>
              </w:rPr>
              <w:t>Source of the $85,000 ADP cost</w:t>
            </w:r>
          </w:p>
        </w:tc>
        <w:tc>
          <w:tcPr>
            <w:tcW w:type="dxa" w:w="2088"/>
          </w:tcPr>
          <w:p>
            <w:r/>
            <w:r>
              <w:rPr>
                <w:sz w:val="19"/>
              </w:rPr>
              <w:t>¶ 57: DataCore "quoted" $85,000 for custom API development.</w:t>
            </w:r>
          </w:p>
        </w:tc>
        <w:tc>
          <w:tcPr>
            <w:tcW w:type="dxa" w:w="2736"/>
          </w:tcPr>
          <w:p>
            <w:r/>
            <w:r>
              <w:rPr>
                <w:sz w:val="19"/>
              </w:rPr>
              <w:t>Nance (Jan. 9, 2023): the integration "has required approximately $85,000 in additional custom development work from our side."</w:t>
            </w:r>
          </w:p>
        </w:tc>
        <w:tc>
          <w:tcPr>
            <w:tcW w:type="dxa" w:w="2664"/>
          </w:tcPr>
          <w:p>
            <w:r/>
            <w:r>
              <w:rPr>
                <w:sz w:val="19"/>
              </w:rPr>
              <w:t>Determine whether it was a DataCore quote, Pinnacle spend, or both. Affects damages (paid vs. quoted) and consistency. Collect invoices.</w:t>
            </w:r>
          </w:p>
        </w:tc>
      </w:tr>
      <w:tr>
        <w:tc>
          <w:tcPr>
            <w:tcW w:type="dxa" w:w="360"/>
          </w:tcPr>
          <w:p>
            <w:r/>
            <w:r>
              <w:rPr>
                <w:sz w:val="19"/>
              </w:rPr>
              <w:t>5</w:t>
            </w:r>
          </w:p>
        </w:tc>
        <w:tc>
          <w:tcPr>
            <w:tcW w:type="dxa" w:w="1512"/>
          </w:tcPr>
          <w:p>
            <w:r/>
            <w:r>
              <w:rPr>
                <w:sz w:val="19"/>
              </w:rPr>
              <w:t>Omission of the § 14.7 non-reliance sentence</w:t>
            </w:r>
          </w:p>
        </w:tc>
        <w:tc>
          <w:tcPr>
            <w:tcW w:type="dxa" w:w="2088"/>
          </w:tcPr>
          <w:p>
            <w:r/>
            <w:r>
              <w:rPr>
                <w:sz w:val="19"/>
              </w:rPr>
              <w:t>¶ 50 quotes § 14.7 without its second sentence. The motion does the same.</w:t>
            </w:r>
          </w:p>
        </w:tc>
        <w:tc>
          <w:tcPr>
            <w:tcW w:type="dxa" w:w="2736"/>
          </w:tcPr>
          <w:p>
            <w:r/>
            <w:r>
              <w:rPr>
                <w:sz w:val="19"/>
              </w:rPr>
              <w:t>§ 14.7: "Each party acknowledges that it has not relied upon any statement, representation, warranty, or agreement of the other party except for those expressly set forth in this Agreement."</w:t>
            </w:r>
          </w:p>
        </w:tc>
        <w:tc>
          <w:tcPr>
            <w:tcW w:type="dxa" w:w="2664"/>
          </w:tcPr>
          <w:p>
            <w:r/>
            <w:r>
              <w:rPr>
                <w:sz w:val="19"/>
              </w:rPr>
              <w:t>HIGH. This is the key fraud and negligent-misrepresentation defense under Texas law. Address it proactively (Part VI.B); do not let it surface first in DataCore’s reply.</w:t>
            </w:r>
          </w:p>
        </w:tc>
      </w:tr>
      <w:tr>
        <w:tc>
          <w:tcPr>
            <w:tcW w:type="dxa" w:w="360"/>
          </w:tcPr>
          <w:p>
            <w:r/>
            <w:r>
              <w:rPr>
                <w:sz w:val="19"/>
              </w:rPr>
              <w:t>6</w:t>
            </w:r>
          </w:p>
        </w:tc>
        <w:tc>
          <w:tcPr>
            <w:tcW w:type="dxa" w:w="1512"/>
          </w:tcPr>
          <w:p>
            <w:r/>
            <w:r>
              <w:rPr>
                <w:sz w:val="19"/>
              </w:rPr>
              <w:t>Misquotation of § 9.4</w:t>
            </w:r>
          </w:p>
        </w:tc>
        <w:tc>
          <w:tcPr>
            <w:tcW w:type="dxa" w:w="2088"/>
          </w:tcPr>
          <w:p>
            <w:r/>
            <w:r>
              <w:rPr>
                <w:sz w:val="19"/>
              </w:rPr>
              <w:t>¶ 52: "Any claim arising out of or relating to this Agreement … or such claim shall be forever barred."</w:t>
            </w:r>
          </w:p>
        </w:tc>
        <w:tc>
          <w:tcPr>
            <w:tcW w:type="dxa" w:w="2736"/>
          </w:tcPr>
          <w:p>
            <w:r/>
            <w:r>
              <w:rPr>
                <w:sz w:val="19"/>
              </w:rPr>
              <w:t>§ 9.4: "Any claim by either party arising out of or relating to an alleged breach of this Agreement … Failure to bring a claim … shall constitute an irrevocable waiver."</w:t>
            </w:r>
          </w:p>
        </w:tc>
        <w:tc>
          <w:tcPr>
            <w:tcW w:type="dxa" w:w="2664"/>
          </w:tcPr>
          <w:p>
            <w:r/>
            <w:r>
              <w:rPr>
                <w:sz w:val="19"/>
              </w:rPr>
              <w:t>The actual clause is limited to breach claims, so it cannot reach Counts II–IV. The motion also misquotes it ("arising under this Agreement"). Correct and exploit.</w:t>
            </w:r>
          </w:p>
        </w:tc>
      </w:tr>
      <w:tr>
        <w:tc>
          <w:tcPr>
            <w:tcW w:type="dxa" w:w="360"/>
          </w:tcPr>
          <w:p>
            <w:r/>
            <w:r>
              <w:rPr>
                <w:sz w:val="19"/>
              </w:rPr>
              <w:t>7</w:t>
            </w:r>
          </w:p>
        </w:tc>
        <w:tc>
          <w:tcPr>
            <w:tcW w:type="dxa" w:w="1512"/>
          </w:tcPr>
          <w:p>
            <w:r/>
            <w:r>
              <w:rPr>
                <w:sz w:val="19"/>
              </w:rPr>
              <w:t>CTO identity</w:t>
            </w:r>
          </w:p>
        </w:tc>
        <w:tc>
          <w:tcPr>
            <w:tcW w:type="dxa" w:w="2088"/>
          </w:tcPr>
          <w:p>
            <w:r/>
            <w:r>
              <w:rPr>
                <w:sz w:val="19"/>
              </w:rPr>
              <w:t>¶¶ 4, 11, 63: "Anil Subramanian."</w:t>
            </w:r>
          </w:p>
        </w:tc>
        <w:tc>
          <w:tcPr>
            <w:tcW w:type="dxa" w:w="2736"/>
          </w:tcPr>
          <w:p>
            <w:r/>
            <w:r>
              <w:rPr>
                <w:sz w:val="19"/>
              </w:rPr>
              <w:t>The Jan. 12, 2023 email header and signature read "Anil Venkatesh," sent from a.subramanian@datacoresystems.com. The motion calls him "Anil Subramanian."</w:t>
            </w:r>
          </w:p>
        </w:tc>
        <w:tc>
          <w:tcPr>
            <w:tcW w:type="dxa" w:w="2664"/>
          </w:tcPr>
          <w:p>
            <w:r/>
            <w:r>
              <w:rPr>
                <w:sz w:val="19"/>
              </w:rPr>
              <w:t>Authentication and identity issue. Confirm the CTO’s correct legal name (e.g., a full name "Anil Venkatesh Subramanian"?). Get native files with metadata.</w:t>
            </w:r>
          </w:p>
        </w:tc>
      </w:tr>
      <w:tr>
        <w:tc>
          <w:tcPr>
            <w:tcW w:type="dxa" w:w="360"/>
          </w:tcPr>
          <w:p>
            <w:r/>
            <w:r>
              <w:rPr>
                <w:sz w:val="19"/>
              </w:rPr>
              <w:t>8</w:t>
            </w:r>
          </w:p>
        </w:tc>
        <w:tc>
          <w:tcPr>
            <w:tcW w:type="dxa" w:w="1512"/>
          </w:tcPr>
          <w:p>
            <w:r/>
            <w:r>
              <w:rPr>
                <w:sz w:val="19"/>
              </w:rPr>
              <w:t>Sousa email domain</w:t>
            </w:r>
          </w:p>
        </w:tc>
        <w:tc>
          <w:tcPr>
            <w:tcW w:type="dxa" w:w="2088"/>
          </w:tcPr>
          <w:p>
            <w:r/>
            <w:r>
              <w:rPr>
                <w:sz w:val="19"/>
              </w:rPr>
              <w:t>¶ 28: vsousa@datacore.com</w:t>
            </w:r>
          </w:p>
        </w:tc>
        <w:tc>
          <w:tcPr>
            <w:tcW w:type="dxa" w:w="2736"/>
          </w:tcPr>
          <w:p>
            <w:r/>
            <w:r>
              <w:rPr>
                <w:sz w:val="19"/>
              </w:rPr>
              <w:t>vsousa@datacoresystems.com; cc’d as v.sousa@datacoresystems.com</w:t>
            </w:r>
          </w:p>
        </w:tc>
        <w:tc>
          <w:tcPr>
            <w:tcW w:type="dxa" w:w="2664"/>
          </w:tcPr>
          <w:p>
            <w:r/>
            <w:r>
              <w:rPr>
                <w:sz w:val="19"/>
              </w:rPr>
              <w:t>Minor; correct it. Preserve native messages.</w:t>
            </w:r>
          </w:p>
        </w:tc>
      </w:tr>
      <w:tr>
        <w:tc>
          <w:tcPr>
            <w:tcW w:type="dxa" w:w="360"/>
          </w:tcPr>
          <w:p>
            <w:r/>
            <w:r>
              <w:rPr>
                <w:sz w:val="19"/>
              </w:rPr>
              <w:t>9</w:t>
            </w:r>
          </w:p>
        </w:tc>
        <w:tc>
          <w:tcPr>
            <w:tcW w:type="dxa" w:w="1512"/>
          </w:tcPr>
          <w:p>
            <w:r/>
            <w:r>
              <w:rPr>
                <w:sz w:val="19"/>
              </w:rPr>
              <w:t>Demo was disclosed as "staging"</w:t>
            </w:r>
          </w:p>
        </w:tc>
        <w:tc>
          <w:tcPr>
            <w:tcW w:type="dxa" w:w="2088"/>
          </w:tcPr>
          <w:p>
            <w:r/>
            <w:r>
              <w:rPr>
                <w:sz w:val="19"/>
              </w:rPr>
              <w:t>¶¶ 32–34 suggest the staging environment was concealed.</w:t>
            </w:r>
          </w:p>
        </w:tc>
        <w:tc>
          <w:tcPr>
            <w:tcW w:type="dxa" w:w="2736"/>
          </w:tcPr>
          <w:p>
            <w:r/>
            <w:r>
              <w:rPr>
                <w:sz w:val="19"/>
              </w:rPr>
              <w:t>Sousa (Jan. 10) expressly said Baines would demo "in a staging environment." Nance (Feb. 9) asked whether the demo was production-ready and whether custom API work would be needed. Sousa’s Feb. 14 reply never answers.</w:t>
            </w:r>
          </w:p>
        </w:tc>
        <w:tc>
          <w:tcPr>
            <w:tcW w:type="dxa" w:w="2664"/>
          </w:tcPr>
          <w:p>
            <w:r/>
            <w:r>
              <w:rPr>
                <w:sz w:val="19"/>
              </w:rPr>
              <w:t>Reframe. The misrepresentation is not that staging was hidden. It is (a) Baines’s alleged statement that the demo reflected the "production experience," (b) Sousa’s Feb. 1 assurance that these are "production-tested integrations that our clients are running every day," and (c) the half-truth and silence in response to a direct question. That silence supports scienter and a duty to disclose.</w:t>
            </w:r>
          </w:p>
        </w:tc>
      </w:tr>
      <w:tr>
        <w:tc>
          <w:tcPr>
            <w:tcW w:type="dxa" w:w="360"/>
          </w:tcPr>
          <w:p>
            <w:r/>
            <w:r>
              <w:rPr>
                <w:sz w:val="19"/>
              </w:rPr>
              <w:t>10</w:t>
            </w:r>
          </w:p>
        </w:tc>
        <w:tc>
          <w:tcPr>
            <w:tcW w:type="dxa" w:w="1512"/>
          </w:tcPr>
          <w:p>
            <w:r/>
            <w:r>
              <w:rPr>
                <w:sz w:val="19"/>
              </w:rPr>
              <w:t>Baines title</w:t>
            </w:r>
          </w:p>
        </w:tc>
        <w:tc>
          <w:tcPr>
            <w:tcW w:type="dxa" w:w="2088"/>
          </w:tcPr>
          <w:p>
            <w:r/>
            <w:r>
              <w:rPr>
                <w:sz w:val="19"/>
              </w:rPr>
              <w:t>"Sales Engineer"</w:t>
            </w:r>
          </w:p>
        </w:tc>
        <w:tc>
          <w:tcPr>
            <w:tcW w:type="dxa" w:w="2736"/>
          </w:tcPr>
          <w:p>
            <w:r/>
            <w:r>
              <w:rPr>
                <w:sz w:val="19"/>
              </w:rPr>
              <w:t>"Solutions Engineer" (Jan. 10 email)</w:t>
            </w:r>
          </w:p>
        </w:tc>
        <w:tc>
          <w:tcPr>
            <w:tcW w:type="dxa" w:w="2664"/>
          </w:tcPr>
          <w:p>
            <w:r/>
            <w:r>
              <w:rPr>
                <w:sz w:val="19"/>
              </w:rPr>
              <w:t>Minor.</w:t>
            </w:r>
          </w:p>
        </w:tc>
      </w:tr>
      <w:tr>
        <w:tc>
          <w:tcPr>
            <w:tcW w:type="dxa" w:w="360"/>
          </w:tcPr>
          <w:p>
            <w:r/>
            <w:r>
              <w:rPr>
                <w:sz w:val="19"/>
              </w:rPr>
              <w:t>11</w:t>
            </w:r>
          </w:p>
        </w:tc>
        <w:tc>
          <w:tcPr>
            <w:tcW w:type="dxa" w:w="1512"/>
          </w:tcPr>
          <w:p>
            <w:r/>
            <w:r>
              <w:rPr>
                <w:sz w:val="19"/>
              </w:rPr>
              <w:t>Damages double-count</w:t>
            </w:r>
          </w:p>
        </w:tc>
        <w:tc>
          <w:tcPr>
            <w:tcW w:type="dxa" w:w="2088"/>
          </w:tcPr>
          <w:p>
            <w:r/>
            <w:r>
              <w:rPr>
                <w:sz w:val="19"/>
              </w:rPr>
              <w:t>Prayer (a): "actual damages of at least $2,335,000 and reliance damages of at least $931,000." ¶ 80 folds reliance into actual.</w:t>
            </w:r>
          </w:p>
        </w:tc>
        <w:tc>
          <w:tcPr>
            <w:tcW w:type="dxa" w:w="2736"/>
          </w:tcPr>
          <w:p>
            <w:r/>
            <w:r>
              <w:rPr>
                <w:sz w:val="19"/>
              </w:rPr>
              <w:t>Full contract value includes ~$1.4M in unpaid future fees that Pinnacle never paid and now refuses to pay.</w:t>
            </w:r>
          </w:p>
        </w:tc>
        <w:tc>
          <w:tcPr>
            <w:tcW w:type="dxa" w:w="2664"/>
          </w:tcPr>
          <w:p>
            <w:r/>
            <w:r>
              <w:rPr>
                <w:sz w:val="19"/>
              </w:rPr>
              <w:t>DataCore calls the $4.466M total "inflated." Restructure: pleading expectation and reliance damages in the alternative is permissible, but they cannot be cumulative. Clarify rescission vs. affirmance for the fraud count (Part VI.B).</w:t>
            </w:r>
          </w:p>
        </w:tc>
      </w:tr>
      <w:tr>
        <w:tc>
          <w:tcPr>
            <w:tcW w:type="dxa" w:w="360"/>
          </w:tcPr>
          <w:p>
            <w:r/>
            <w:r>
              <w:rPr>
                <w:sz w:val="19"/>
              </w:rPr>
              <w:t>12</w:t>
            </w:r>
          </w:p>
        </w:tc>
        <w:tc>
          <w:tcPr>
            <w:tcW w:type="dxa" w:w="1512"/>
          </w:tcPr>
          <w:p>
            <w:r/>
            <w:r>
              <w:rPr>
                <w:sz w:val="19"/>
              </w:rPr>
              <w:t>Useful facts not pleaded</w:t>
            </w:r>
          </w:p>
        </w:tc>
        <w:tc>
          <w:tcPr>
            <w:tcW w:type="dxa" w:w="2088"/>
          </w:tcPr>
          <w:p>
            <w:r/>
            <w:r>
              <w:rPr>
                <w:sz w:val="19"/>
              </w:rPr>
              <w:t>—</w:t>
            </w:r>
          </w:p>
        </w:tc>
        <w:tc>
          <w:tcPr>
            <w:tcW w:type="dxa" w:w="2736"/>
          </w:tcPr>
          <w:p>
            <w:r/>
            <w:r>
              <w:rPr>
                <w:sz w:val="19"/>
              </w:rPr>
              <w:t>Feb. 1, 2022: "this is not just marketing language. These are production-tested integrations." Jan. 10: "dozens of staffing clients across the Southeast running ADP integration without any issues." Feb. 14: "two Atlanta-based companies." Feb. 1: "serving Southeast clients from our Atlanta office for over four years." Nance disclosed Harmon Ridge and Greenleaf reporting needs before signing.</w:t>
            </w:r>
          </w:p>
        </w:tc>
        <w:tc>
          <w:tcPr>
            <w:tcW w:type="dxa" w:w="2664"/>
          </w:tcPr>
          <w:p>
            <w:r/>
            <w:r>
              <w:rPr>
                <w:sz w:val="19"/>
              </w:rPr>
              <w:t>Add to the amended complaint. These defeat puffery, bolster scienter, and support personal jurisdiction and foreseeability.</w:t>
            </w:r>
          </w:p>
        </w:tc>
      </w:tr>
    </w:tbl>
    <w:p/>
    <w:p>
      <w:r>
        <w:rPr>
          <w:b w:val="0"/>
          <w:i/>
        </w:rPr>
        <w:t>Timestamp note: the Feb. 14, 2022 and Jan. 12, 2023 messages carry 03:47 UTC header times, which is the prior evening Eastern time. The identical minute stamp on both is unusual. Get native .msg/.eml files with full headers to foreclose authentication disputes.</w:t>
      </w:r>
    </w:p>
    <w:p>
      <w:pPr>
        <w:pStyle w:val="Heading1"/>
      </w:pPr>
      <w:r>
        <w:t>IV. Threshold Defenses</w:t>
      </w:r>
    </w:p>
    <w:p>
      <w:pPr>
        <w:pStyle w:val="Heading2"/>
      </w:pPr>
      <w:r>
        <w:t>A. Rule 12(b)(1): Amount in Controversy</w:t>
      </w:r>
    </w:p>
    <w:p>
      <w:r>
        <w:rPr>
          <w:b w:val="0"/>
          <w:i w:val="0"/>
        </w:rPr>
        <w:t>DataCore titles this section as a ground for dismissal but then expressly "does not formally move" on it, conceding the amount "likely exceeds" $75,000. Complete diversity is undisputed: Pinnacle is a Georgia citizen, and DataCore is a Delaware and Texas citizen. The amount is measured at filing and judged by the legal-certainty test (St. Paul Mercury Indem. Co. v. Red Cab Co., 303 U.S. 283, 289 (1938)). Even under DataCore’s own theory, the fees paid ($931,000) and the § 11.1 cap (≥ $432,000) each exceed $75,000. The response should be short: ask the Court to disregard the section. Also note that DataCore improperly uses it to smuggle in merits attacks on damages.</w:t>
      </w:r>
    </w:p>
    <w:p>
      <w:pPr>
        <w:pStyle w:val="Heading2"/>
      </w:pPr>
      <w:r>
        <w:t>B. Rule 12(b)(2): Personal Jurisdiction</w:t>
      </w:r>
    </w:p>
    <w:p>
      <w:r>
        <w:rPr>
          <w:b/>
          <w:i w:val="0"/>
        </w:rPr>
        <w:t>Core flaw: the motion argues only general jurisdiction.</w:t>
      </w:r>
    </w:p>
    <w:p>
      <w:r>
        <w:rPr>
          <w:b w:val="0"/>
          <w:i w:val="0"/>
        </w:rPr>
        <w:t>DataCore’s entire argument applies Daimler’s "at home" test. The Complaint pleads specific jurisdiction as its primary theory (¶ 16) and general jurisdiction only in the alternative (¶ 17). The motion does not cite the Georgia long-arm statute, Ford Motor, or the Eleventh Circuit specific-jurisdiction test, and it never engages ¶ 16. We should argue that DataCore has therefore forfeited any specific-jurisdiction challenge for purposes of this motion.</w:t>
      </w:r>
    </w:p>
    <w:p>
      <w:r>
        <w:rPr>
          <w:b/>
          <w:i w:val="0"/>
        </w:rPr>
        <w:t>Specific-jurisdiction analysis:</w:t>
      </w:r>
    </w:p>
    <w:p>
      <w:pPr>
        <w:pStyle w:val="ListBullet"/>
      </w:pPr>
      <w:r>
        <w:rPr>
          <w:b/>
        </w:rPr>
        <w:t>Burden and procedure.</w:t>
      </w:r>
      <w:r>
        <w:t xml:space="preserve"> The plaintiff need only make a prima facie case. When the defendant’s affidavit does not contradict the jurisdictional allegations, those allegations are accepted as true, and conflicts are resolved in the plaintiff’s favor (Madara v. Hall, 916 F.2d 1510, 1514 (11th Cir. 1990); Diamond Crystal Brands, Inc. v. Food Movers Int’l, Inc., 593 F.3d 1249, 1257 (11th Cir. 2010)).</w:t>
      </w:r>
    </w:p>
    <w:p>
      <w:pPr>
        <w:pStyle w:val="ListBullet"/>
      </w:pPr>
      <w:r>
        <w:rPr>
          <w:b/>
        </w:rPr>
        <w:t>Georgia long-arm statute.</w:t>
      </w:r>
      <w:r>
        <w:t xml:space="preserve"> O.C.G.A. § 9-10-91(1) (transacting any business) is applied literally and separately from due process (Diamond Crystal, 593 F.3d at 1259–60). DataCore solicited, negotiated, and signed a $2.3M contract with a Georgia company through its Atlanta-based Vice President. Subsections (2) (tortious act within Georgia: misrepresentations sent from Atlanta) and (3) may also apply.</w:t>
      </w:r>
    </w:p>
    <w:p>
      <w:pPr>
        <w:pStyle w:val="ListBullet"/>
      </w:pPr>
      <w:r>
        <w:rPr>
          <w:b/>
        </w:rPr>
        <w:t>Due process.</w:t>
      </w:r>
      <w:r>
        <w:t xml:space="preserve"> Under the Eleventh Circuit’s three-part test (Louis Vuitton Malletier, S.A. v. Mosseri, 736 F.3d 1339, 1355 (11th Cir. 2013)), the claims arise out of or relate to forum contacts (Ford Motor Co. v. Mont. Eighth Jud. Dist. Ct., 592 U.S. 351 (2021)); DataCore purposefully availed itself of Georgia (Burger King Corp. v. Rudzewicz, 471 U.S. 462, 473–76 (1985), a case DataCore itself cites); and fair play is satisfied. DataCore has 14 employees and a permanent office in Georgia and cannot plausibly claim unfair burden.</w:t>
      </w:r>
    </w:p>
    <w:p>
      <w:pPr>
        <w:pStyle w:val="ListBullet"/>
      </w:pPr>
      <w:r>
        <w:rPr>
          <w:b/>
        </w:rPr>
        <w:t>Documentary support.</w:t>
      </w:r>
      <w:r>
        <w:t xml:space="preserve"> Every Sousa email has an Atlanta signature block (100 Techwood Drive NW, 404 numbers). Sousa wrote that DataCore has served Southeast clients "from our Atlanta office for over four years" and pitched "two Atlanta-based companies building something meaningful together." Nance chose DataCore in part because Sousa was "based in DataCore’s Atlanta office." Sousa signed the MSA. DataCore’s own complaint service went to Sousa at the Atlanta office.</w:t>
      </w:r>
    </w:p>
    <w:p>
      <w:r>
        <w:rPr>
          <w:b/>
          <w:i w:val="0"/>
        </w:rPr>
        <w:t>The Whitford Declaration does not contradict the jurisdictional allegations.</w:t>
      </w:r>
    </w:p>
    <w:p>
      <w:pPr>
        <w:pStyle w:val="ListBullet"/>
      </w:pPr>
      <w:r>
        <w:t>It never mentions the Atlanta office, its 14 employees, Sousa’s location, or where the representations were made or the MSA signed. It establishes only incorporation and principal place of business, which are undisputed.</w:t>
      </w:r>
    </w:p>
    <w:p>
      <w:pPr>
        <w:pStyle w:val="ListBullet"/>
      </w:pPr>
      <w:r>
        <w:t>Paragraphs 7 and 14 (support and implementation handled from Austin) do not negate the Georgia sales contacts that gave rise to the claims.</w:t>
      </w:r>
    </w:p>
    <w:p>
      <w:pPr>
        <w:pStyle w:val="ListBullet"/>
      </w:pPr>
      <w:r>
        <w:t>Paragraph 13 (1,400 customers in 50 states) is irrelevant to specific jurisdiction and undercuts DataCore’s "sophisticated, negotiated deal" narrative.</w:t>
      </w:r>
    </w:p>
    <w:p>
      <w:r>
        <w:rPr>
          <w:b/>
          <w:i w:val="0"/>
        </w:rPr>
        <w:t>Consent by registration (investigate immediately).</w:t>
      </w:r>
    </w:p>
    <w:p>
      <w:r>
        <w:rPr>
          <w:b w:val="0"/>
          <w:i w:val="0"/>
        </w:rPr>
        <w:t>In Cooper Tire &amp; Rubber Co. v. McCall, 312 Ga. 422 (2021), the Georgia Supreme Court held that a foreign corporation registered to do business in Georgia consents to general personal jurisdiction there. Mallory v. Norfolk Southern Railway Co., 600 U.S. 122 (2023) upheld registration-based consent against a due-process challenge. A company with a permanent Atlanta office of 14 employees is very likely registered with the Georgia Secretary of State. Pull the registration record. If DataCore is registered, it has consented to general jurisdiction in Georgia, and its Daimler argument fails outright. (Verify current Eleventh Circuit and N.D. Ga. application after Mallory, including any dormant Commerce Clause arguments DataCore may raise.)</w:t>
      </w:r>
    </w:p>
    <w:p>
      <w:r>
        <w:rPr>
          <w:b/>
          <w:i w:val="0"/>
        </w:rPr>
        <w:t>General jurisdiction (alternative).</w:t>
      </w:r>
    </w:p>
    <w:p>
      <w:r>
        <w:rPr>
          <w:b w:val="0"/>
          <w:i w:val="0"/>
        </w:rPr>
        <w:t>Without registration consent, our ¶ 17 "at home" theory is weak under Daimler. One office and 14 employees is not an "exceptional case." We should lead with specific jurisdiction and consent, and keep ¶ 17 only as a fallback. In the alternative, ask for targeted jurisdictional discovery: the Atlanta office lease, headcount, Georgia revenue, Georgia customers, and Sousa’s role.</w:t>
      </w:r>
    </w:p>
    <w:p>
      <w:r>
        <w:rPr>
          <w:b/>
          <w:i w:val="0"/>
        </w:rPr>
        <w:t>Other observations.</w:t>
      </w:r>
    </w:p>
    <w:p>
      <w:pPr>
        <w:pStyle w:val="ListBullet"/>
      </w:pPr>
      <w:r>
        <w:t>Footnote 2 says DataCore appears "solely" to contest jurisdiction. That is fine under Rule 12(b), but the motion also seeks merits dismissal with prejudice. Note the tension.</w:t>
      </w:r>
    </w:p>
    <w:p>
      <w:pPr>
        <w:pStyle w:val="ListBullet"/>
      </w:pPr>
      <w:r>
        <w:t>Section 14.2 contains DataCore’s consent to Travis County jurisdiction only. It does not bear on Georgia jurisdiction either way.</w:t>
      </w:r>
    </w:p>
    <w:p>
      <w:pPr>
        <w:pStyle w:val="Heading2"/>
      </w:pPr>
      <w:r>
        <w:t>C. Rule 12(b)(3) / Forum-Selection Clause (MSA § 14.2)</w:t>
      </w:r>
    </w:p>
    <w:p>
      <w:r>
        <w:rPr>
          <w:b/>
          <w:i w:val="0"/>
        </w:rPr>
        <w:t>1. DataCore used the wrong procedural vehicle.</w:t>
      </w:r>
    </w:p>
    <w:p>
      <w:r>
        <w:rPr>
          <w:b w:val="0"/>
          <w:i w:val="0"/>
        </w:rPr>
        <w:t>Atlantic Marine Construction Co. v. U.S. District Court, 571 U.S. 49, 55–59 (2013) held that a forum-selection clause does not make venue "wrong" or "improper" under Rule 12(b)(3) or 28 U.S.C. § 1406(a). Whether venue is proper depends only on § 1391. A clause pointing to another federal forum is enforced through a § 1404(a) transfer. DataCore does not cite Atlantic Marine, which is a striking omission. Venue here is proper under § 1391(b)(2), because a substantial part of the events occurred in Atlanta, and likely under § 1391(b)(1) and (c)(2), because a corporation resides wherever it is subject to personal jurisdiction. The Rule 12(b)(3) motion must therefore be denied. DataCore’s reliance on Bremen, an admiralty case, and on the motion’s framing that "the moving party bears the burden" do not change this.</w:t>
      </w:r>
    </w:p>
    <w:p>
      <w:r>
        <w:rPr>
          <w:b/>
          <w:i w:val="0"/>
        </w:rPr>
        <w:t>2. The substantive risk: § 1404(a) transfer.</w:t>
      </w:r>
    </w:p>
    <w:p>
      <w:r>
        <w:rPr>
          <w:b w:val="0"/>
          <w:i w:val="0"/>
        </w:rPr>
        <w:t>DataCore asks for transfer to the W.D. Tex., Austin Division, in one sentence in its Conclusion. The Court may treat the motion as one to transfer. Under Atlantic Marine, a valid mandatory clause changes the analysis: (i) the plaintiff’s choice of forum gets no weight; (ii) private-interest factors are deemed to favor the chosen forum; (iii) only public-interest factors may be considered, and they rarely defeat transfer; and (iv) the transferee court applies its own choice-of-law rules, not Georgia’s. Candidly, this is DataCore’s strongest argument. The clause uses "shall," "exclusively," and "irrevocably consents," and it includes a waiver of forum non conveniens objections.</w:t>
      </w:r>
    </w:p>
    <w:p>
      <w:r>
        <w:rPr>
          <w:b/>
          <w:i w:val="0"/>
        </w:rPr>
        <w:t>3. Available counterarguments (assessed candidly):</w:t>
      </w:r>
    </w:p>
    <w:p>
      <w:pPr>
        <w:pStyle w:val="ListBullet"/>
      </w:pPr>
      <w:r>
        <w:rPr>
          <w:b/>
        </w:rPr>
        <w:t>Procedural objection.</w:t>
      </w:r>
      <w:r>
        <w:t xml:space="preserve"> A transfer request made only in a conclusion, with no § 1404(a) analysis, is not properly presented. Ask the Court to require a properly briefed motion. This buys time but does not win the issue.</w:t>
      </w:r>
    </w:p>
    <w:p>
      <w:pPr>
        <w:pStyle w:val="ListBullet"/>
      </w:pPr>
      <w:r>
        <w:rPr>
          <w:b/>
        </w:rPr>
        <w:t>Section 14.5’s "may" language.</w:t>
      </w:r>
      <w:r>
        <w:t xml:space="preserve"> Section 14.5 says that for disputes over $50,000 "the parties may pursue litigation in the courts specified in Section 14.2, subject to all other applicable provisions." We can argue ambiguity construed against DataCore as drafter. Whitford ¶ 12 concedes these were DataCore’s standard terms and were "not modified." The likely answer is that "may" gives a choice between litigation and arbitration, not a choice of forum, and § 14.2’s "exclusively" controls. The argument is weak, but it costs little to make.</w:t>
      </w:r>
    </w:p>
    <w:p>
      <w:pPr>
        <w:pStyle w:val="ListBullet"/>
      </w:pPr>
      <w:r>
        <w:rPr>
          <w:b/>
        </w:rPr>
        <w:t>Clause-specific fraud (Scherk, 417 U.S. at 519 n.14).</w:t>
      </w:r>
      <w:r>
        <w:t xml:space="preserve"> To invalidate the clause, the fraud must go to the forum clause itself, not the contract as a whole (Lipcon v. Underwriters at Lloyd’s, London, 148 F.3d 1285, 1296 (11th Cir. 1998)). We have no current facts on this point. Consider investigating whether Sousa’s "local team" and "two Atlanta-based companies" pitch was used to downplay the Texas clause. Speculative.</w:t>
      </w:r>
    </w:p>
    <w:p>
      <w:pPr>
        <w:pStyle w:val="ListBullet"/>
      </w:pPr>
      <w:r>
        <w:rPr>
          <w:b/>
        </w:rPr>
        <w:t>Scope: GUDTPA and the tort claims.</w:t>
      </w:r>
      <w:r>
        <w:t xml:space="preserve"> Complaint ¶ 123 argues that GUDTPA falls outside § 14.2. "Relating to" is read broadly, and Eleventh Circuit authority applies such clauses to tort and statutory claims that depend on the contractual relationship (see, e.g., Bailey v. ERG Enters., LP, 705 F.3d 1311, 1317 (11th Cir. 2013) (arbitration context); Stewart Org. v. Ricoh Corp., 810 F.2d 1066, 1070 (11th Cir. 1987) (en banc), aff’d, 487 U.S. 22 (1988)). Section 14.2 also expressly covers "the determination of the scope or applicability of this Agreement." This argument is unlikely to succeed and risks splitting the case.</w:t>
      </w:r>
    </w:p>
    <w:p>
      <w:pPr>
        <w:pStyle w:val="ListBullet"/>
      </w:pPr>
      <w:r>
        <w:rPr>
          <w:b/>
        </w:rPr>
        <w:t>Public policy / Georgia interest.</w:t>
      </w:r>
      <w:r>
        <w:t xml:space="preserve"> Georgia generally enforces forum-selection clauses, and the GUDTPA contains no anti-waiver venue provision. Weak.</w:t>
      </w:r>
    </w:p>
    <w:p>
      <w:pPr>
        <w:pStyle w:val="ListBullet"/>
      </w:pPr>
      <w:r>
        <w:rPr>
          <w:b/>
        </w:rPr>
        <w:t>Public-interest factors.</w:t>
      </w:r>
      <w:r>
        <w:t xml:space="preserve"> Local interest in a Georgia-based sales fraud case, Georgia law governing the GUDTPA, and docket congestion. These rarely suffice under Atlantic Marine.</w:t>
      </w:r>
    </w:p>
    <w:p>
      <w:r>
        <w:rPr>
          <w:b/>
          <w:i w:val="0"/>
        </w:rPr>
        <w:t>4. Strategic consequence.</w:t>
      </w:r>
    </w:p>
    <w:p>
      <w:r>
        <w:rPr>
          <w:b w:val="0"/>
          <w:i w:val="0"/>
        </w:rPr>
        <w:t>If transfer is likely, the choice-of-law analysis becomes decisive, because a Texas court will apply Texas choice-of-law rules. Several Texas-law outcomes favor Pinnacle: § 16.070, Italian Cowboy, Formosa Plastics, and fee-shifting under Tex. Civ. Prac. &amp; Rem. Code § 38.001. The client should decide how much to invest in resisting transfer versus preserving the substantive positions that travel with the case. DataCore’s alternative transfer request also means that dismissal "with prejudice" is not a realistic outcome on the forum issue.</w:t>
      </w:r>
    </w:p>
    <w:p>
      <w:pPr>
        <w:pStyle w:val="Heading1"/>
      </w:pPr>
      <w:r>
        <w:t>V. Choice of Law (MSA § 14.3)</w:t>
      </w:r>
    </w:p>
    <w:p>
      <w:r>
        <w:rPr>
          <w:b w:val="0"/>
          <w:i w:val="0"/>
        </w:rPr>
        <w:t>DataCore reads § 14.3 as covering every claim "arising from or relating to" or "in connection with" the relationship. That is not what the clause says. Section 14.3: "This Agreement shall be governed by and construed in accordance with the laws of the State of Texas … All disputes arising under this Agreement shall be resolved in accordance with the laws of the State of Texas."</w:t>
      </w:r>
    </w:p>
    <w:p>
      <w:pPr>
        <w:pStyle w:val="ListBullet"/>
      </w:pPr>
      <w:r>
        <w:rPr>
          <w:b/>
        </w:rPr>
        <w:t>Different language in the same contract.</w:t>
      </w:r>
      <w:r>
        <w:t xml:space="preserve"> The drafter used "arising out of or relating to" in §§ 9.4, 11.1, 11.2 and 14.2, but only "arising under" in § 14.3. That choice should be given effect. "Arising under" is conventionally the narrower formulation, limited to disputes over the interpretation and performance of the contract itself. Courts have held that "governed by and construed" clauses do not reach tort claims (e.g., Benchmark Elecs., Inc. v. J.M. Huber Corp., 343 F.3d 719, 726–27 (5th Cir. 2003) (Texas law)). Verify Eleventh Circuit and Georgia authority, including Green Leaf Nursery v. E.I. DuPont de Nemours &amp; Co., 341 F.3d 1292 (11th Cir. 2003).</w:t>
      </w:r>
    </w:p>
    <w:p>
      <w:pPr>
        <w:pStyle w:val="ListBullet"/>
      </w:pPr>
      <w:r>
        <w:rPr>
          <w:b/>
        </w:rPr>
        <w:t>Misquotation.</w:t>
      </w:r>
      <w:r>
        <w:t xml:space="preserve"> The motion rewrites § 14.3 in Parts IV.D and IV.E. Point this out.</w:t>
      </w:r>
    </w:p>
    <w:p>
      <w:pPr>
        <w:pStyle w:val="ListBullet"/>
      </w:pPr>
      <w:r>
        <w:rPr>
          <w:b/>
        </w:rPr>
        <w:t>Georgia choice-of-law rules (if the case stays).</w:t>
      </w:r>
      <w:r>
        <w:t xml:space="preserve"> Under Klaxon, the Court applies Georgia rules: lex loci delicti for torts (Dowis v. Mud Slingers, Inc., 279 Ga. 808 (2005)). Pinnacle’s injury was suffered in Atlanta, so Georgia law governs Counts II–IV absent contractual displacement.</w:t>
      </w:r>
    </w:p>
    <w:p>
      <w:pPr>
        <w:pStyle w:val="ListBullet"/>
      </w:pPr>
      <w:r>
        <w:rPr>
          <w:b/>
        </w:rPr>
        <w:t>Texas choice-of-law rules (if transferred).</w:t>
      </w:r>
      <w:r>
        <w:t xml:space="preserve"> Texas uses the Restatement (Second) most-significant-relationship test for torts (§§ 145, 148). The representations were made from Atlanta to Atlanta, and reliance occurred in Georgia, which points to Georgia law for the torts.</w:t>
      </w:r>
    </w:p>
    <w:p>
      <w:pPr>
        <w:pStyle w:val="ListBullet"/>
      </w:pPr>
      <w:r>
        <w:rPr>
          <w:b/>
        </w:rPr>
        <w:t>Internal inconsistency in the motion.</w:t>
      </w:r>
      <w:r>
        <w:t xml:space="preserve"> DataCore insists that Texas law governs everything, yet it attacks Count IV under the "Georgia" economic loss rule. It also recites Texas fraud elements without citing a single Texas case.</w:t>
      </w:r>
    </w:p>
    <w:p>
      <w:r>
        <w:rPr>
          <w:b/>
          <w:i w:val="0"/>
        </w:rPr>
        <w:t>Strategic caution: the choice of law is not uniformly favorable to Pinnacle, claim by claim.</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D9E2F3"/>
          </w:tcPr>
          <w:p>
            <w:r/>
            <w:r>
              <w:rPr>
                <w:b/>
                <w:sz w:val="19"/>
              </w:rPr>
              <w:t>Issue</w:t>
            </w:r>
          </w:p>
        </w:tc>
        <w:tc>
          <w:tcPr>
            <w:tcW w:type="dxa" w:w="2880"/>
            <w:shd w:val="clear" w:color="auto" w:fill="D9E2F3"/>
          </w:tcPr>
          <w:p>
            <w:r/>
            <w:r>
              <w:rPr>
                <w:b/>
                <w:sz w:val="19"/>
              </w:rPr>
              <w:t>Texas law</w:t>
            </w:r>
          </w:p>
        </w:tc>
        <w:tc>
          <w:tcPr>
            <w:tcW w:type="dxa" w:w="2880"/>
            <w:shd w:val="clear" w:color="auto" w:fill="D9E2F3"/>
          </w:tcPr>
          <w:p>
            <w:r/>
            <w:r>
              <w:rPr>
                <w:b/>
                <w:sz w:val="19"/>
              </w:rPr>
              <w:t>Georgia law</w:t>
            </w:r>
          </w:p>
        </w:tc>
        <w:tc>
          <w:tcPr>
            <w:tcW w:type="dxa" w:w="1728"/>
            <w:shd w:val="clear" w:color="auto" w:fill="D9E2F3"/>
          </w:tcPr>
          <w:p>
            <w:r/>
            <w:r>
              <w:rPr>
                <w:b/>
                <w:sz w:val="19"/>
              </w:rPr>
              <w:t>Preferred for Pinnacle</w:t>
            </w:r>
          </w:p>
        </w:tc>
      </w:tr>
      <w:tr>
        <w:tc>
          <w:tcPr>
            <w:tcW w:type="dxa" w:w="1872"/>
          </w:tcPr>
          <w:p>
            <w:r/>
            <w:r>
              <w:rPr>
                <w:sz w:val="19"/>
              </w:rPr>
              <w:t>§ 9.4 one-year limitations</w:t>
            </w:r>
          </w:p>
        </w:tc>
        <w:tc>
          <w:tcPr>
            <w:tcW w:type="dxa" w:w="2880"/>
          </w:tcPr>
          <w:p>
            <w:r/>
            <w:r>
              <w:rPr>
                <w:sz w:val="19"/>
              </w:rPr>
              <w:t>Void: Tex. Civ. Prac. &amp; Rem. Code § 16.070(a) (&lt; 2 years void)</w:t>
            </w:r>
          </w:p>
        </w:tc>
        <w:tc>
          <w:tcPr>
            <w:tcW w:type="dxa" w:w="2880"/>
          </w:tcPr>
          <w:p>
            <w:r/>
            <w:r>
              <w:rPr>
                <w:sz w:val="19"/>
              </w:rPr>
              <w:t>Contractual shortening generally enforceable if reasonable</w:t>
            </w:r>
          </w:p>
        </w:tc>
        <w:tc>
          <w:tcPr>
            <w:tcW w:type="dxa" w:w="1728"/>
          </w:tcPr>
          <w:p>
            <w:r/>
            <w:r>
              <w:rPr>
                <w:sz w:val="19"/>
              </w:rPr>
              <w:t>TEXAS</w:t>
            </w:r>
          </w:p>
        </w:tc>
      </w:tr>
      <w:tr>
        <w:tc>
          <w:tcPr>
            <w:tcW w:type="dxa" w:w="1872"/>
          </w:tcPr>
          <w:p>
            <w:r/>
            <w:r>
              <w:rPr>
                <w:sz w:val="19"/>
              </w:rPr>
              <w:t>Merger clause vs. fraud</w:t>
            </w:r>
          </w:p>
        </w:tc>
        <w:tc>
          <w:tcPr>
            <w:tcW w:type="dxa" w:w="2880"/>
          </w:tcPr>
          <w:p>
            <w:r/>
            <w:r>
              <w:rPr>
                <w:sz w:val="19"/>
              </w:rPr>
              <w:t>Standard merger clause does not bar fraud (Italian Cowboy, 341 S.W.3d 323 (Tex. 2011)); a clear non-reliance disclaimer may (Schlumberger; Forest Oil)</w:t>
            </w:r>
          </w:p>
        </w:tc>
        <w:tc>
          <w:tcPr>
            <w:tcW w:type="dxa" w:w="2880"/>
          </w:tcPr>
          <w:p>
            <w:r/>
            <w:r>
              <w:rPr>
                <w:sz w:val="19"/>
              </w:rPr>
              <w:t>If the plaintiff affirms the contract, a merger clause with a non-reliance acknowledgment generally bars reliance; the plaintiff must rescind promptly and tender benefits to avoid it</w:t>
            </w:r>
          </w:p>
        </w:tc>
        <w:tc>
          <w:tcPr>
            <w:tcW w:type="dxa" w:w="1728"/>
          </w:tcPr>
          <w:p>
            <w:r/>
            <w:r>
              <w:rPr>
                <w:sz w:val="19"/>
              </w:rPr>
              <w:t>TEXAS (probably)</w:t>
            </w:r>
          </w:p>
        </w:tc>
      </w:tr>
      <w:tr>
        <w:tc>
          <w:tcPr>
            <w:tcW w:type="dxa" w:w="1872"/>
          </w:tcPr>
          <w:p>
            <w:r/>
            <w:r>
              <w:rPr>
                <w:sz w:val="19"/>
              </w:rPr>
              <w:t>Economic loss rule vs. fraud</w:t>
            </w:r>
          </w:p>
        </w:tc>
        <w:tc>
          <w:tcPr>
            <w:tcW w:type="dxa" w:w="2880"/>
          </w:tcPr>
          <w:p>
            <w:r/>
            <w:r>
              <w:rPr>
                <w:sz w:val="19"/>
              </w:rPr>
              <w:t>Fraudulent inducement is an independent tort even if only economic loss (Formosa Plastics v. Presidio Eng’rs, 960 S.W.2d 41 (Tex. 1998))</w:t>
            </w:r>
          </w:p>
        </w:tc>
        <w:tc>
          <w:tcPr>
            <w:tcW w:type="dxa" w:w="2880"/>
          </w:tcPr>
          <w:p>
            <w:r/>
            <w:r>
              <w:rPr>
                <w:sz w:val="19"/>
              </w:rPr>
              <w:t>Misrepresentation exception recognized (e.g., Holloman v. D.R. Horton, 241 Ga. App. 141 (1999)); scope debated</w:t>
            </w:r>
          </w:p>
        </w:tc>
        <w:tc>
          <w:tcPr>
            <w:tcW w:type="dxa" w:w="1728"/>
          </w:tcPr>
          <w:p>
            <w:r/>
            <w:r>
              <w:rPr>
                <w:sz w:val="19"/>
              </w:rPr>
              <w:t>Both workable</w:t>
            </w:r>
          </w:p>
        </w:tc>
      </w:tr>
      <w:tr>
        <w:tc>
          <w:tcPr>
            <w:tcW w:type="dxa" w:w="1872"/>
          </w:tcPr>
          <w:p>
            <w:r/>
            <w:r>
              <w:rPr>
                <w:sz w:val="19"/>
              </w:rPr>
              <w:t>Negligent misrepresentation</w:t>
            </w:r>
          </w:p>
        </w:tc>
        <w:tc>
          <w:tcPr>
            <w:tcW w:type="dxa" w:w="2880"/>
          </w:tcPr>
          <w:p>
            <w:r/>
            <w:r>
              <w:rPr>
                <w:sz w:val="19"/>
              </w:rPr>
              <w:t>Out-of-pocket damages only; economic loss / independent-injury limits (D.S.A., Inc. v. Hillsboro ISD, 973 S.W.2d 662 (Tex. 1998))</w:t>
            </w:r>
          </w:p>
        </w:tc>
        <w:tc>
          <w:tcPr>
            <w:tcW w:type="dxa" w:w="2880"/>
          </w:tcPr>
          <w:p>
            <w:r/>
            <w:r>
              <w:rPr>
                <w:sz w:val="19"/>
              </w:rPr>
              <w:t>Recognized (Robert &amp; Co. v. Rhodes-Haverty); misrepresentation exception</w:t>
            </w:r>
          </w:p>
        </w:tc>
        <w:tc>
          <w:tcPr>
            <w:tcW w:type="dxa" w:w="1728"/>
          </w:tcPr>
          <w:p>
            <w:r/>
            <w:r>
              <w:rPr>
                <w:sz w:val="19"/>
              </w:rPr>
              <w:t>Georgia (slightly)</w:t>
            </w:r>
          </w:p>
        </w:tc>
      </w:tr>
      <w:tr>
        <w:tc>
          <w:tcPr>
            <w:tcW w:type="dxa" w:w="1872"/>
          </w:tcPr>
          <w:p>
            <w:r/>
            <w:r>
              <w:rPr>
                <w:sz w:val="19"/>
              </w:rPr>
              <w:t>Statutory deceptive practices</w:t>
            </w:r>
          </w:p>
        </w:tc>
        <w:tc>
          <w:tcPr>
            <w:tcW w:type="dxa" w:w="2880"/>
          </w:tcPr>
          <w:p>
            <w:r/>
            <w:r>
              <w:rPr>
                <w:sz w:val="19"/>
              </w:rPr>
              <w:t>Texas DTPA likely exempt (Tex. Bus. &amp; Com. Code § 17.49(f)–(g): &gt;$100k with counsel / &gt;$500k written contract)</w:t>
            </w:r>
          </w:p>
        </w:tc>
        <w:tc>
          <w:tcPr>
            <w:tcW w:type="dxa" w:w="2880"/>
          </w:tcPr>
          <w:p>
            <w:r/>
            <w:r>
              <w:rPr>
                <w:sz w:val="19"/>
              </w:rPr>
              <w:t>GUDTPA: injunctive relief and fees only</w:t>
            </w:r>
          </w:p>
        </w:tc>
        <w:tc>
          <w:tcPr>
            <w:tcW w:type="dxa" w:w="1728"/>
          </w:tcPr>
          <w:p>
            <w:r/>
            <w:r>
              <w:rPr>
                <w:sz w:val="19"/>
              </w:rPr>
              <w:t>Georgia (for Count IV only)</w:t>
            </w:r>
          </w:p>
        </w:tc>
      </w:tr>
      <w:tr>
        <w:tc>
          <w:tcPr>
            <w:tcW w:type="dxa" w:w="1872"/>
          </w:tcPr>
          <w:p>
            <w:r/>
            <w:r>
              <w:rPr>
                <w:sz w:val="19"/>
              </w:rPr>
              <w:t>Attorney’s fees on contract</w:t>
            </w:r>
          </w:p>
        </w:tc>
        <w:tc>
          <w:tcPr>
            <w:tcW w:type="dxa" w:w="2880"/>
          </w:tcPr>
          <w:p>
            <w:r/>
            <w:r>
              <w:rPr>
                <w:sz w:val="19"/>
              </w:rPr>
              <w:t>Tex. Civ. Prac. &amp; Rem. Code § 38.001 (2021 amendment covers organizations)</w:t>
            </w:r>
          </w:p>
        </w:tc>
        <w:tc>
          <w:tcPr>
            <w:tcW w:type="dxa" w:w="2880"/>
          </w:tcPr>
          <w:p>
            <w:r/>
            <w:r>
              <w:rPr>
                <w:sz w:val="19"/>
              </w:rPr>
              <w:t>O.C.G.A. § 13-6-11 (bad faith / stubborn litigiousness)</w:t>
            </w:r>
          </w:p>
        </w:tc>
        <w:tc>
          <w:tcPr>
            <w:tcW w:type="dxa" w:w="1728"/>
          </w:tcPr>
          <w:p>
            <w:r/>
            <w:r>
              <w:rPr>
                <w:sz w:val="19"/>
              </w:rPr>
              <w:t>Texas (for Count I)</w:t>
            </w:r>
          </w:p>
        </w:tc>
      </w:tr>
    </w:tbl>
    <w:p/>
    <w:p>
      <w:r>
        <w:rPr>
          <w:b w:val="0"/>
          <w:i w:val="0"/>
        </w:rPr>
        <w:t>Recommended position: Texas law governs the contract claim (Count I), as DataCore insists. That concession commits DataCore to § 16.070 and fee-shifting under § 38.001. Georgia law governs Count IV. For Counts II–III, argue that § 14.3 does not reach them, but show that they survive under either law so the Court need not decide the question now. Choice-of-law questions are often premature at the pleading stage.</w:t>
      </w:r>
    </w:p>
    <w:p>
      <w:pPr>
        <w:pStyle w:val="Heading1"/>
      </w:pPr>
      <w:r>
        <w:t>VI. Rule 12(b)(6): Count-by-Count Analysis</w:t>
      </w:r>
    </w:p>
    <w:p>
      <w:pPr>
        <w:pStyle w:val="Heading2"/>
      </w:pPr>
      <w:r>
        <w:t>A. Count I: Breach of Contract</w:t>
      </w:r>
    </w:p>
    <w:p>
      <w:r>
        <w:rPr>
          <w:b/>
          <w:i w:val="0"/>
        </w:rPr>
        <w:t>1. Section 9.4 contractual limitations: DataCore’s argument fails.</w:t>
      </w:r>
    </w:p>
    <w:p>
      <w:pPr>
        <w:pStyle w:val="ListBullet"/>
      </w:pPr>
      <w:r>
        <w:rPr>
          <w:b/>
        </w:rPr>
        <w:t>Texas law voids it.</w:t>
      </w:r>
      <w:r>
        <w:t xml:space="preserve"> Tex. Civ. Prac. &amp; Rem. Code § 16.070(a) provides that a contractual stipulation setting a limitations period shorter than two years is void in Texas. The only exception, § 16.070(b), covers certain contracts for the sale of a business entity and does not apply. The motion’s statement that one-year periods are "routinely enforced under Texas law" is wrong, and DataCore cites no Texas authority. The TOA cites Tex. Bus. &amp; Com. Code § 2.725 (UCC Article 2, sale of goods), which the body never discusses. It is inapplicable to a SaaS subscription for services, and even § 2.725(a) forbids reducing the period below one year. Four years is the default. Because DataCore insists Texas law governs, it is bound by § 16.070. (Confirm the current statutory text and case law applying § 16.070.)</w:t>
      </w:r>
    </w:p>
    <w:p>
      <w:pPr>
        <w:pStyle w:val="ListBullet"/>
      </w:pPr>
      <w:r>
        <w:rPr>
          <w:b/>
        </w:rPr>
        <w:t>Affirmative defense on the face of the complaint.</w:t>
      </w:r>
      <w:r>
        <w:t xml:space="preserve"> Dismissal on limitations grounds is proper only if it is "apparent from the face of the complaint" (La Grasta v. First Union Sec., Inc., 358 F.3d 840, 845 (11th Cir. 2004)). Complaint ¶ 83 expressly pleads the April 15, 2023 accrual date, reliance on DataCore’s cure commitment, and a reservation of rights. The motion’s assertion that the Complaint "makes no effort to explain or excuse this delay" is false.</w:t>
      </w:r>
    </w:p>
    <w:p>
      <w:pPr>
        <w:pStyle w:val="ListBullet"/>
      </w:pPr>
      <w:r>
        <w:rPr>
          <w:b/>
        </w:rPr>
        <w:t>The clause’s own terms.</w:t>
      </w:r>
      <w:r>
        <w:t xml:space="preserve"> Section 9.4 applies to claims "arising out of or relating to an alleged breach." DataCore misquotes it as "arising under this Agreement." Under Section 9.1(b), DataCore warrants that the Platform will perform in material conformity with the Documentation "during the Subscription Term." Each month of nonconformity is a fresh breach (continuing-breach or installment theory). At a minimum, breaches on or after March 22, 2023 are timely even under § 9.4, including the failure of the April 15, 2023 patch.</w:t>
      </w:r>
    </w:p>
    <w:p>
      <w:pPr>
        <w:pStyle w:val="ListBullet"/>
      </w:pPr>
      <w:r>
        <w:rPr>
          <w:b/>
        </w:rPr>
        <w:t>Knew or should have known.</w:t>
      </w:r>
      <w:r>
        <w:t xml:space="preserve"> Knowing of a problem is not the same as knowing it is an uncured breach, particularly when the vendor admits the problem and promises a fix (Jan. 12, 2023: "I am confident it will address the performance gaps"). This is a fact question.</w:t>
      </w:r>
    </w:p>
    <w:p>
      <w:pPr>
        <w:pStyle w:val="ListBullet"/>
      </w:pPr>
      <w:r>
        <w:rPr>
          <w:b/>
        </w:rPr>
        <w:t>Equitable estoppel / tolling.</w:t>
      </w:r>
      <w:r>
        <w:t xml:space="preserve"> DataCore’s promise to cure induced Pinnacle to hold off. Texas and Georgia both recognize estoppel where a defendant’s assurances induce delay. Plead this expressly in the amendment.</w:t>
      </w:r>
    </w:p>
    <w:p>
      <w:pPr>
        <w:pStyle w:val="ListBullet"/>
      </w:pPr>
      <w:r>
        <w:rPr>
          <w:b/>
        </w:rPr>
        <w:t>Candid vulnerability.</w:t>
      </w:r>
      <w:r>
        <w:t xml:space="preserve"> If § 9.4 were enforced, a breach claim based solely on the August 2022 ADP failure is the most exposed, since there was no clear later cure promise specific to ADP. The patch "did not resolve the ADP integration issue" (¶ 66). § 16.070 is the main answer. Plead the continuing-breach theory as a backstop.</w:t>
      </w:r>
    </w:p>
    <w:p>
      <w:r>
        <w:rPr>
          <w:b/>
          <w:i w:val="0"/>
        </w:rPr>
        <w:t>2. Sections 11.1 / 11.2 (cap and consequential-damages waiver): not a basis for dismissal.</w:t>
      </w:r>
    </w:p>
    <w:p>
      <w:pPr>
        <w:pStyle w:val="ListBullet"/>
      </w:pPr>
      <w:r>
        <w:t>A limitation on the amount of recovery does not negate the damages element. The Complaint pleads direct damages: fees paid for a non-conforming platform ($931,000) and the cost of achieving the promised ADP integration ($85,000). The motion’s claim that "the only damages [Pinnacle] seeks are consequential damages" is inaccurate. Even DataCore concedes recoverable exposure of up to $432,000.</w:t>
      </w:r>
    </w:p>
    <w:p>
      <w:pPr>
        <w:pStyle w:val="ListBullet"/>
      </w:pPr>
      <w:r>
        <w:rPr>
          <w:b/>
        </w:rPr>
        <w:t>The cap amount is a fact question, and DataCore gets the figure wrong.</w:t>
      </w:r>
      <w:r>
        <w:t xml:space="preserve"> Section 11.1 caps liability at "fees actually paid … during the twelve (12) month period immediately preceding the event or occurrence giving rise to the claim." "Fees" includes the Implementation Fee (§ 1.7). Depending on the triggering event, the cap is not $432,000. For example, for the twelve months before April 15, 2023 (patch failure), fees paid were 12 × $36,000 = $432,000, plus the second $87,500 implementation installment if it was paid after acceptance in or after mid-2022, for about $519,500. For an August 2022 event, the figure is lower. Identifying the triggering event requires factual development.</w:t>
      </w:r>
    </w:p>
    <w:p>
      <w:pPr>
        <w:pStyle w:val="ListBullet"/>
      </w:pPr>
      <w:r>
        <w:rPr>
          <w:b/>
        </w:rPr>
        <w:t>Fraud and willful misconduct.</w:t>
      </w:r>
      <w:r>
        <w:t xml:space="preserve"> A party generally cannot contractually limit liability for its own fraud, and fraud that induced the contract may vitiate its risk-allocation terms. Complaint ¶ 82 reserves this argument. Research the Texas and Georgia authority (Texas fair-notice and conspicuousness requirements are likely satisfied, because §§ 11.1–11.2 are in bold capitals). For Counts II–IV, argue that the caps do not bar tort recovery at the pleading stage, while recognizing that § 11.1 expressly purports to cover tort.</w:t>
      </w:r>
    </w:p>
    <w:p>
      <w:pPr>
        <w:pStyle w:val="ListBullet"/>
      </w:pPr>
      <w:r>
        <w:rPr>
          <w:b/>
        </w:rPr>
        <w:t>Candid assessment.</w:t>
      </w:r>
      <w:r>
        <w:t xml:space="preserve"> On the contract count, § 11.2 will likely bar the $1.2M in replacement-system and lost-business damages ("cost of procurement of substitute goods or services," "loss of revenue"), and § 11.1 will likely cap contract recovery. These issues affect the value of the case, not whether it survives the motion. The route to uncapped recovery runs through fraud and rescission.</w:t>
      </w:r>
    </w:p>
    <w:p>
      <w:r>
        <w:rPr>
          <w:b/>
          <w:i w:val="0"/>
        </w:rPr>
        <w:t>3. Waiver by continued performance: DataCore’s weakest argument.</w:t>
      </w:r>
    </w:p>
    <w:p>
      <w:pPr>
        <w:pStyle w:val="ListBullet"/>
      </w:pPr>
      <w:r>
        <w:rPr>
          <w:b/>
        </w:rPr>
        <w:t>Anti-waiver clause.</w:t>
      </w:r>
      <w:r>
        <w:t xml:space="preserve"> MSA § 14.9: "The failure of either party to enforce any right … shall not constitute a waiver … Any waiver … must be in writing and signed by the party granting such waiver." DataCore ignores its own contract. Texas courts generally enforce such clauses, subject to a fact-specific waiver-of-the-anti-waiver-clause inquiry.</w:t>
      </w:r>
    </w:p>
    <w:p>
      <w:pPr>
        <w:pStyle w:val="ListBullet"/>
      </w:pPr>
      <w:r>
        <w:rPr>
          <w:b/>
        </w:rPr>
        <w:t>Pleaded reservation of rights.</w:t>
      </w:r>
      <w:r>
        <w:t xml:space="preserve"> Complaint ¶ 68 alleges payment under express reservation of rights (Dec. 5, 2022 notice) and in reliance on DataCore’s promised cure. These allegations must be accepted as true.</w:t>
      </w:r>
    </w:p>
    <w:p>
      <w:pPr>
        <w:pStyle w:val="ListBullet"/>
      </w:pPr>
      <w:r>
        <w:rPr>
          <w:b/>
        </w:rPr>
        <w:t>Waiver is a fact question and an affirmative defense.</w:t>
      </w:r>
      <w:r>
        <w:t xml:space="preserve"> It requires intentional relinquishment of a known right. The motion cites no authority.</w:t>
      </w:r>
    </w:p>
    <w:p>
      <w:pPr>
        <w:pStyle w:val="ListBullet"/>
      </w:pPr>
      <w:r>
        <w:rPr>
          <w:b/>
        </w:rPr>
        <w:t>Election and mitigation.</w:t>
      </w:r>
      <w:r>
        <w:t xml:space="preserve"> A non-breaching party may continue performing and still sue for damages. Continued payment was also mitigation, since stopping would have triggered default, termination, and the § 8.4 early-termination fee.</w:t>
      </w:r>
    </w:p>
    <w:p>
      <w:pPr>
        <w:pStyle w:val="ListBullet"/>
      </w:pPr>
      <w:r>
        <w:rPr>
          <w:b/>
        </w:rPr>
        <w:t>Arithmetic error.</w:t>
      </w:r>
      <w:r>
        <w:t xml:space="preserve"> The motion says Pinnacle paid "approximately sixteen months" from August 2022 through December 2023, totaling $576,000. That period is 17 months ($612,000). Minor, but it shows the lack of care.</w:t>
      </w:r>
    </w:p>
    <w:p>
      <w:r>
        <w:rPr>
          <w:b/>
          <w:i w:val="0"/>
        </w:rPr>
        <w:t>4. Strengthening the breach theory (for the amendment).</w:t>
      </w:r>
    </w:p>
    <w:p>
      <w:r>
        <w:rPr>
          <w:b w:val="0"/>
          <w:i w:val="0"/>
        </w:rPr>
        <w:t>As pleaded, ¶ 76 ties the breach largely to capabilities "as represented during the sales process." That invites DataCore to reply that extra-contractual representations are not contract terms (§§ 9.3, 14.7), and Sousa’s Feb. 14 email says the SOW Capabilities document is "separate from the formal Master Services Agreement." The amendment should anchor the breach in specific MSA provisions:</w:t>
      </w:r>
    </w:p>
    <w:p>
      <w:pPr>
        <w:pStyle w:val="ListBullet"/>
      </w:pPr>
      <w:r>
        <w:t>§ 2.4(a) and § 9.1(b): the Platform must conform to the "Documentation." Obtain the Documentation, including technical specifications and the supported-integrations list. If the Documentation lists ADP as a native or standard integration or states throughput figures, this is a strong contract claim.</w:t>
      </w:r>
    </w:p>
    <w:p>
      <w:pPr>
        <w:pStyle w:val="ListBullet"/>
      </w:pPr>
      <w:r>
        <w:t>§ 3.1, § 4.1, and Exhibit B § 1(c) and § 3(a): DataCore must configure "Integration with Customer’s payroll system, per Provider’s then-current list of supported payroll platforms and standard integration connectors" as part of the $175,000 implementation. The brochure (Rev. 11/2021) lists ADP among 40+ "native" integrations. If ADP was on the supported list, charging or requiring custom development breached Exhibit B.</w:t>
      </w:r>
    </w:p>
    <w:p>
      <w:pPr>
        <w:pStyle w:val="ListBullet"/>
      </w:pPr>
      <w:r>
        <w:t>§ 9.1(c): implementation to be performed in a "professional and workmanlike manner."</w:t>
      </w:r>
    </w:p>
    <w:p>
      <w:pPr>
        <w:pStyle w:val="ListBullet"/>
      </w:pPr>
      <w:r>
        <w:t>Exhibit C § 2 (SLA): sub-three-second response target under "normal usage conditions," defined by reference to "the nature and volume of data typically associated with Customer’s use case." Latency of "several seconds per transaction and frequent timeouts" (¶ 59) at Pinnacle’s normal volume is arguably a breach. Note, however, that this is phrased as "commercially reasonable efforts" with "does not guarantee" language.</w:t>
      </w:r>
    </w:p>
    <w:p>
      <w:pPr>
        <w:pStyle w:val="ListBullet"/>
      </w:pPr>
      <w:r>
        <w:t>§ 8.2: notice and failure to cure within 30 days, pleaded through the Dec. 5, 2022 notice. Termination was therefore for cause, and no § 8.4 fee is owed.</w:t>
      </w:r>
    </w:p>
    <w:p>
      <w:r>
        <w:rPr>
          <w:b/>
          <w:i w:val="0"/>
        </w:rPr>
        <w:t>5. Counterclaim exposure (flag for client).</w:t>
      </w:r>
    </w:p>
    <w:p>
      <w:r>
        <w:rPr>
          <w:b w:val="0"/>
          <w:i w:val="0"/>
        </w:rPr>
        <w:t>DataCore asserts (outside the pleadings) that Pinnacle owes $432,000 for January–December 2024. That figure does not track the MSA. If Pinnacle’s termination were wrongful, § 8.4 would impose a liquidated early-termination fee of 50% of the remaining subscription fees. From January 2024 through March 14, 2027, that is about 38.5 months × $36,000 ≈ $1.39M, half of which is ≈ $693,000–$702,000, plus accrued unpaid fees and 1.5% monthly interest (§ 5.3). Expect a counterclaim if the motion is denied. Section 11.1’s mutual cap may limit DataCore’s own recovery. Analyze whether the cap applies to the fee claim.</w:t>
      </w:r>
    </w:p>
    <w:p>
      <w:pPr>
        <w:pStyle w:val="Heading2"/>
      </w:pPr>
      <w:r>
        <w:t>B. Count II: Fraudulent Inducement</w:t>
      </w:r>
    </w:p>
    <w:p>
      <w:r>
        <w:rPr>
          <w:b/>
          <w:i w:val="0"/>
        </w:rPr>
        <w:t>1. Particularity (Rule 9(b), footnote 5) and plausibility.</w:t>
      </w:r>
    </w:p>
    <w:p>
      <w:pPr>
        <w:pStyle w:val="ListBullet"/>
      </w:pPr>
      <w:r>
        <w:t>The Complaint pleads who (Sousa, Baines), what (verbatim statements), when (Jan. 10, Jan. 18, Feb. 7, Feb. 14, 2022), where and how (email from Atlanta; demonstrations), and why the statements were false (the ~4,000 and ~7,500 record ceilings; the $85,000 custom API work). This satisfies Ziemba v. Cascade Int’l, Inc., 256 F.3d 1194, 1202 (11th Cir. 2001). DataCore raises 9(b) only in a one-sentence footnote, and arguments raised that way are generally deemed waived.</w:t>
      </w:r>
    </w:p>
    <w:p>
      <w:pPr>
        <w:pStyle w:val="ListBullet"/>
      </w:pPr>
      <w:r>
        <w:rPr>
          <w:b/>
        </w:rPr>
        <w:t>Scienter</w:t>
      </w:r>
      <w:r>
        <w:t xml:space="preserve"> may be alleged generally (Fed. R. Civ. P. 9(b)). The plausible inferences are strong: (i) DataCore built and operated the platform and had superior knowledge; (ii) the CTO admitted the platform has "performance limitations at scale that do not meet the capabilities described during the sales process" and that ADP required custom API development "beyond what was initially anticipated"; (iii) Sousa claimed "dozens" of Southeast staffing clients ran ADP "without any issues" and that the integrations were "production-tested"; (iv) Sousa did not answer Nance’s direct Feb. 9 question about production readiness and custom API work, which is a half-truth giving rise to a duty to disclose; and (v) the shortfall was 73%, a gap too large to attribute to customer configuration. Recklessness suffices under Texas law.</w:t>
      </w:r>
    </w:p>
    <w:p>
      <w:pPr>
        <w:pStyle w:val="ListBullet"/>
      </w:pPr>
      <w:r>
        <w:rPr>
          <w:b/>
        </w:rPr>
        <w:t>Not puffery or opinion.</w:t>
      </w:r>
      <w:r>
        <w:t xml:space="preserve"> Statements such as "zero custom configuration," "15,000 concurrent … records with sub-second latency," and "native integration" with ADP are specific, measurable, and verifiable facts about the product. Sousa himself disclaimed puffery: "this is not just marketing language." Add this quotation in the amendment.</w:t>
      </w:r>
    </w:p>
    <w:p>
      <w:pPr>
        <w:pStyle w:val="ListBullet"/>
      </w:pPr>
      <w:r>
        <w:rPr>
          <w:b/>
        </w:rPr>
        <w:t>Not merely forward-looking.</w:t>
      </w:r>
      <w:r>
        <w:t xml:space="preserve"> Statements of present capability ("fully integrates"; "production-tested integrations that our clients are running every day") are present facts. Even the future-tense "will process" in the SOW is actionable if the speaker lacked a basis for it. A promise of future performance made with no intent to perform is also actionable under Texas law (Formosa Plastics, 960 S.W.2d at 48).</w:t>
      </w:r>
    </w:p>
    <w:p>
      <w:pPr>
        <w:pStyle w:val="ListBullet"/>
      </w:pPr>
      <w:r>
        <w:rPr>
          <w:b/>
        </w:rPr>
        <w:t>DataCore’s alternative explanations</w:t>
      </w:r>
      <w:r>
        <w:t xml:space="preserve"> (customer configuration, network, data volumes) are fact disputes that cannot be resolved on a motion to dismiss. The motion also cites no fraud authority at all beyond Twombly and Iqbal.</w:t>
      </w:r>
    </w:p>
    <w:p>
      <w:r>
        <w:rPr>
          <w:b/>
          <w:i w:val="0"/>
        </w:rPr>
        <w:t>2. Integration clause (§ 14.7): the principal risk.</w:t>
      </w:r>
    </w:p>
    <w:p>
      <w:pPr>
        <w:pStyle w:val="ListBullet"/>
      </w:pPr>
      <w:r>
        <w:rPr>
          <w:b/>
        </w:rPr>
        <w:t>What the motion argues.</w:t>
      </w:r>
      <w:r>
        <w:t xml:space="preserve"> Only the merger sentence. Under Texas law, a standard merger clause does not bar fraudulent inducement (Italian Cowboy Partners, Ltd. v. Prudential Ins. Co. of Am., 341 S.W.3d 323, 331–36 (Tex. 2011)). DataCore’s argument as written therefore fails.</w:t>
      </w:r>
    </w:p>
    <w:p>
      <w:pPr>
        <w:pStyle w:val="ListBullet"/>
      </w:pPr>
      <w:r>
        <w:rPr>
          <w:b/>
        </w:rPr>
        <w:t>What DataCore will argue next.</w:t>
      </w:r>
      <w:r>
        <w:t xml:space="preserve"> The second sentence of § 14.7 is an express acknowledgment of non-reliance. Under Schlumberger Technology Corp. v. Swanson, 959 S.W.2d 171 (Tex. 1997) and Forest Oil Corp. v. McAllen, 268 S.W.3d 51 (Tex. 2008), a clear and unequivocal disclaimer of reliance can bar fraudulent inducement, depending on these factors: (1) whether the terms were negotiated or boilerplate; (2) whether the complaining party was represented by counsel; (3) whether the dealings were at arm’s length; (4) whether the parties were knowledgeable in business matters; and (5) whether the disclaimer language was clear.</w:t>
      </w:r>
    </w:p>
    <w:p>
      <w:pPr>
        <w:pStyle w:val="ListBullet"/>
      </w:pPr>
      <w:r>
        <w:rPr>
          <w:b/>
        </w:rPr>
        <w:t>Our Forest Oil response.</w:t>
      </w:r>
      <w:r>
        <w:t xml:space="preserve"> (1) Boilerplate: Whitford ¶ 12 concedes that DataCore’s standard terms "were presented to Pinnacle in DataCore’s initial proposal and were not modified during the negotiation process," and ¶ 13 describes a "standard-form" agreement used with about 1,400 customers. That is a significant concession that contradicts the motion’s "freely negotiated" narrative. (2) Counsel: the motion asserts that Pinnacle was represented by counsel, but no record evidence supports this. Confirm the facts with the client; if Pinnacle had no outside counsel on the MSA, this factor favors us. (3)–(4) Both are commercial parties, which cuts against us. (5) Clarity: the sentence is a mutual, generic acknowledgment inside an "Entire Agreement" clause. It is not a specific disclaimer of the capability subject matter, and it does not state that Pinnacle had investigated or waived fraud claims. Schlumberger and Forest Oil involved settlements of known disputes where the parties specifically bargained over the disputed issue. Later Texas courts have been more reluctant to apply them to ordinary sales contracts with generic language. Research Texas appellate decisions on whether a boilerplate non-reliance clause in a commercial sale bars fraud, including the "clear and unequivocal" standard in Italian Cowboy.</w:t>
      </w:r>
    </w:p>
    <w:p>
      <w:pPr>
        <w:pStyle w:val="ListBullet"/>
      </w:pPr>
      <w:r>
        <w:rPr>
          <w:b/>
        </w:rPr>
        <w:t>Pre-contract facts point toward reliance.</w:t>
      </w:r>
      <w:r>
        <w:t xml:space="preserve"> Nance asked in writing whether custom API work would be needed and requested a capabilities summary "for budget approval." Sousa answered with a Pinnacle-specific document. Both parties understood the representations were being relied on.</w:t>
      </w:r>
    </w:p>
    <w:p>
      <w:pPr>
        <w:pStyle w:val="ListBullet"/>
      </w:pPr>
      <w:r>
        <w:rPr>
          <w:b/>
        </w:rPr>
        <w:t>Georgia law risk.</w:t>
      </w:r>
      <w:r>
        <w:t xml:space="preserve"> If Georgia law applied to the fraud claim, the general rule is that a party who affirms a contract containing a merger clause with a non-reliance acknowledgment cannot claim reliance on prior representations. To avoid the clause, the party must rescind promptly upon discovering the fraud and restore or tender the benefits received. Pinnacle kept using and paying for the platform for about 17 months after discovery before terminating on Jan. 15, 2024. A rescission theory would face promptness and ratification challenges. This is a key reason to be careful about arguing that Georgia law governs Count II.</w:t>
      </w:r>
    </w:p>
    <w:p>
      <w:pPr>
        <w:pStyle w:val="ListBullet"/>
      </w:pPr>
      <w:r>
        <w:rPr>
          <w:b/>
        </w:rPr>
        <w:t>Rescission vs. affirmance: client decision.</w:t>
      </w:r>
      <w:r>
        <w:t xml:space="preserve"> The termination notice cited fraud (¶ 72). Decide whether to plead rescission and restitution of the $931,000 (less the value received) in the alternative to affirmance damages. Consider tendering in the amendment.</w:t>
      </w:r>
    </w:p>
    <w:p>
      <w:pPr>
        <w:pStyle w:val="ListBullet"/>
      </w:pPr>
      <w:r>
        <w:rPr>
          <w:b/>
        </w:rPr>
        <w:t>Ratification (anticipate).</w:t>
      </w:r>
      <w:r>
        <w:t xml:space="preserve"> DataCore has not argued that continued use after discovery ratified the contract and waived fraud-based rescission, but it may. Under Texas law, affirmance can bar rescission but generally does not bar a fraud damages claim. Research this.</w:t>
      </w:r>
    </w:p>
    <w:p>
      <w:r>
        <w:rPr>
          <w:b/>
          <w:i w:val="0"/>
        </w:rPr>
        <w:t>3. The SOW Capabilities Document.</w:t>
      </w:r>
    </w:p>
    <w:p>
      <w:r>
        <w:rPr>
          <w:b w:val="0"/>
          <w:i w:val="0"/>
        </w:rPr>
        <w:t>Complaint ¶¶ 39 and 90 emphasize that the SOW was not incorporated into the MSA. This helps show it was an extra-contractual inducement, but it confirms the contract claim cannot rest on it. Sousa’s cover email ("a supplemental overview for your internal review … separate from the formal Master Services Agreement") will be quoted by DataCore to argue the document was non-binding and that reliance on it was unjustified. Our response: it was prepared "tailored specifically to Pinnacle’s use case" in answer to Nance’s request for a document for executive budget approval, and it stated a precise technical specification.</w:t>
      </w:r>
    </w:p>
    <w:p>
      <w:r>
        <w:rPr>
          <w:b/>
          <w:i w:val="0"/>
        </w:rPr>
        <w:t>4. Punitive damages.</w:t>
      </w:r>
    </w:p>
    <w:p>
      <w:r>
        <w:rPr>
          <w:b w:val="0"/>
          <w:i w:val="0"/>
        </w:rPr>
        <w:t>Section 11.2 purports to waive punitive damages, but a pre-dispute waiver of punitive damages for intentional fraud is of doubtful enforceability. If Texas law applies, Tex. Civ. Prac. &amp; Rem. Code ch. 41 caps and clear-and-convincing requirements apply. Plead specific facts showing intent.</w:t>
      </w:r>
    </w:p>
    <w:p>
      <w:pPr>
        <w:pStyle w:val="Heading2"/>
      </w:pPr>
      <w:r>
        <w:t>C. Count III: Negligent Misrepresentation</w:t>
      </w:r>
    </w:p>
    <w:p>
      <w:pPr>
        <w:pStyle w:val="ListBullet"/>
      </w:pPr>
      <w:r>
        <w:rPr>
          <w:b/>
        </w:rPr>
        <w:t>Integration clause.</w:t>
      </w:r>
      <w:r>
        <w:t xml:space="preserve"> Same analysis as Count II, but weaker for us. Courts are more willing to enforce non-reliance language against negligence-based claims.</w:t>
      </w:r>
    </w:p>
    <w:p>
      <w:pPr>
        <w:pStyle w:val="ListBullet"/>
      </w:pPr>
      <w:r>
        <w:rPr>
          <w:b/>
        </w:rPr>
        <w:t>Economic loss rule (Texas).</w:t>
      </w:r>
      <w:r>
        <w:t xml:space="preserve"> Texas courts often bar negligent misrepresentation where the only loss is the benefit of the contractual bargain (D.S.A., 973 S.W.2d at 663–64: requires an injury independent of the contract). Texas also limits negligent-misrepresentation damages to out-of-pocket loss, with no benefit-of-the-bargain recovery (Fed. Land Bank Ass’n of Tyler v. Sloane, 825 S.W.2d 439, 442 (Tex. 1991)). Response: the duty arises independently of the contract, from pre-contract statements made before any contract existed (see LAN/STV v. Martin K. Eby Constr. Co., 435 S.W.3d 234 (Tex. 2014) for the scope of the rule). Plead reliance and out-of-pocket losses specifically, including the $175,000 implementation fee, the $85,000, and workaround costs.</w:t>
      </w:r>
    </w:p>
    <w:p>
      <w:pPr>
        <w:pStyle w:val="ListBullet"/>
      </w:pPr>
      <w:r>
        <w:rPr>
          <w:b/>
        </w:rPr>
        <w:t>Georgia law.</w:t>
      </w:r>
      <w:r>
        <w:t xml:space="preserve"> Georgia recognizes a misrepresentation exception to the economic loss rule for one who supplies false information in business dealings (Robert &amp; Co. Assocs. v. Rhodes-Haverty P’ship, 250 Ga. 680 (1983); Holloman, 241 Ga. App. 141). This is more favorable if Georgia law governs Count III.</w:t>
      </w:r>
    </w:p>
    <w:p>
      <w:pPr>
        <w:pStyle w:val="ListBullet"/>
      </w:pPr>
      <w:r>
        <w:rPr>
          <w:b/>
        </w:rPr>
        <w:t>Candid assessment.</w:t>
      </w:r>
      <w:r>
        <w:t xml:space="preserve"> Count III is the most likely to be dismissed. Consider pleading it in the alternative with narrowed damages, or dropping it if doing so strengthens our credibility on Count II.</w:t>
      </w:r>
    </w:p>
    <w:p>
      <w:pPr>
        <w:pStyle w:val="Heading2"/>
      </w:pPr>
      <w:r>
        <w:t>D. Count IV: Georgia UDTPA</w:t>
      </w:r>
    </w:p>
    <w:p>
      <w:r>
        <w:rPr>
          <w:b/>
          <w:i w:val="0"/>
        </w:rPr>
        <w:t>DataCore’s three arguments (duplication and economic loss; choice of law; lack of specificity) are weak. The real vulnerabilities are ones DataCore largely did not raise.</w:t>
      </w:r>
    </w:p>
    <w:p>
      <w:pPr>
        <w:pStyle w:val="ListBullet"/>
      </w:pPr>
      <w:r>
        <w:rPr>
          <w:b/>
        </w:rPr>
        <w:t>Specificity.</w:t>
      </w:r>
      <w:r>
        <w:t xml:space="preserve"> The motion says the Complaint fails to identify specific deceptive acts. That is inaccurate. Complaint ¶ 115 identifies O.C.G.A. § 10-1-372(a)(5), (7), and (9) and the particular statements and conduct at issue.</w:t>
      </w:r>
    </w:p>
    <w:p>
      <w:pPr>
        <w:pStyle w:val="ListBullet"/>
      </w:pPr>
      <w:r>
        <w:rPr>
          <w:b/>
        </w:rPr>
        <w:t>Choice of law.</w:t>
      </w:r>
      <w:r>
        <w:t xml:space="preserve"> Section 14.3 ("arising under this Agreement") does not reach a Georgia statutory claim based on pre-contract conduct in Georgia. The motion’s claim that "Texas law" displaces a Georgia statute conflates contract and tort choice of law.</w:t>
      </w:r>
    </w:p>
    <w:p>
      <w:pPr>
        <w:pStyle w:val="ListBullet"/>
      </w:pPr>
      <w:r>
        <w:rPr>
          <w:b/>
        </w:rPr>
        <w:t>Economic loss.</w:t>
      </w:r>
      <w:r>
        <w:t xml:space="preserve"> DataCore applies Georgia’s economic loss rule to a statutory claim without citing any authority. Statutory duties exist independently of the contract.</w:t>
      </w:r>
    </w:p>
    <w:p>
      <w:pPr>
        <w:pStyle w:val="ListBullet"/>
      </w:pPr>
      <w:r>
        <w:rPr>
          <w:b/>
        </w:rPr>
        <w:t>Real vulnerability 1: no damages remedy.</w:t>
      </w:r>
      <w:r>
        <w:t xml:space="preserve"> The GUDTPA’s private remedy is injunctive relief, plus costs and fees in cases of willful violation (O.C.G.A. § 10-1-373). Georgia courts consistently hold that damages are unavailable. Complaint ¶¶ 120 and 124 and Prayer (d) seek "actual damages" under the GUDTPA, and that request will fail. DataCore did not raise this, but the Court may notice it and DataCore may raise it in reply.</w:t>
      </w:r>
    </w:p>
    <w:p>
      <w:pPr>
        <w:pStyle w:val="ListBullet"/>
      </w:pPr>
      <w:r>
        <w:rPr>
          <w:b/>
        </w:rPr>
        <w:t>Real vulnerability 2: standing for injunctive relief.</w:t>
      </w:r>
      <w:r>
        <w:t xml:space="preserve"> A plaintiff seeking an injunction must show a likelihood of future harm. Pinnacle terminated the relationship on Jan. 15, 2024 and uses a replacement system, so future injury from DataCore’s sales representations is doubtful. DataCore’s footnote 6 disclaims any standing challenge, but Article III standing cannot be waived, and the Court must address it on its own.</w:t>
      </w:r>
    </w:p>
    <w:p>
      <w:pPr>
        <w:pStyle w:val="ListBullet"/>
      </w:pPr>
      <w:r>
        <w:rPr>
          <w:b/>
        </w:rPr>
        <w:t>Recommendation.</w:t>
      </w:r>
      <w:r>
        <w:t xml:space="preserve"> In the amendment, remove the GUDTPA damages request. Evaluate honestly whether an injunctive-relief theory (for example, ongoing "native integration" marketing to Georgia businesses) supports Article III standing. If it does not, consider dropping Count IV voluntarily. That would preserve credibility and remove the main "Georgia statute" hook in any transfer fight. Also evaluate the Georgia Fair Business Practices Act (O.C.G.A. § 10-1-390 et seq.). It is probably unavailable because it is consumer-focused and has ante litem notice requirements, but confirm.</w:t>
      </w:r>
    </w:p>
    <w:p>
      <w:pPr>
        <w:pStyle w:val="Heading1"/>
      </w:pPr>
      <w:r>
        <w:t>VII. Evaluation of the Whitford Declaration</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2F3"/>
          </w:tcPr>
          <w:p>
            <w:r/>
            <w:r>
              <w:rPr>
                <w:b/>
                <w:sz w:val="19"/>
              </w:rPr>
              <w:t>Issue</w:t>
            </w:r>
          </w:p>
        </w:tc>
        <w:tc>
          <w:tcPr>
            <w:tcW w:type="dxa" w:w="3744"/>
            <w:shd w:val="clear" w:color="auto" w:fill="D9E2F3"/>
          </w:tcPr>
          <w:p>
            <w:r/>
            <w:r>
              <w:rPr>
                <w:b/>
                <w:sz w:val="19"/>
              </w:rPr>
              <w:t>Detail</w:t>
            </w:r>
          </w:p>
        </w:tc>
        <w:tc>
          <w:tcPr>
            <w:tcW w:type="dxa" w:w="3600"/>
            <w:shd w:val="clear" w:color="auto" w:fill="D9E2F3"/>
          </w:tcPr>
          <w:p>
            <w:r/>
            <w:r>
              <w:rPr>
                <w:b/>
                <w:sz w:val="19"/>
              </w:rPr>
              <w:t>Use in opposition</w:t>
            </w:r>
          </w:p>
        </w:tc>
      </w:tr>
      <w:tr>
        <w:tc>
          <w:tcPr>
            <w:tcW w:type="dxa" w:w="2016"/>
          </w:tcPr>
          <w:p>
            <w:r/>
            <w:r>
              <w:rPr>
                <w:sz w:val="19"/>
              </w:rPr>
              <w:t>Declarant is lead trial counsel</w:t>
            </w:r>
          </w:p>
        </w:tc>
        <w:tc>
          <w:tcPr>
            <w:tcW w:type="dxa" w:w="3744"/>
          </w:tcPr>
          <w:p>
            <w:r/>
            <w:r>
              <w:rPr>
                <w:sz w:val="19"/>
              </w:rPr>
              <w:t>A Braxton Cole partner testifies to corporate facts and to "information provided to me by DataCore’s officers and employees" (¶¶ 3, 6, 12).</w:t>
            </w:r>
          </w:p>
        </w:tc>
        <w:tc>
          <w:tcPr>
            <w:tcW w:type="dxa" w:w="3600"/>
          </w:tcPr>
          <w:p>
            <w:r/>
            <w:r>
              <w:rPr>
                <w:sz w:val="19"/>
              </w:rPr>
              <w:t>Not personal knowledge; hearsay; lacks foundation for jurisdictional facts (Fed. R. Civ. P. 56(c)(4) standard by analogy). Advocate-witness concerns (Ga. RPC 3.7) if the facts become contested. Ask that ¶¶ 6, 7, 12–14 be given no weight.</w:t>
            </w:r>
          </w:p>
        </w:tc>
      </w:tr>
      <w:tr>
        <w:tc>
          <w:tcPr>
            <w:tcW w:type="dxa" w:w="2016"/>
          </w:tcPr>
          <w:p>
            <w:r/>
            <w:r>
              <w:rPr>
                <w:sz w:val="19"/>
              </w:rPr>
              <w:t>Silence on the Atlanta office</w:t>
            </w:r>
          </w:p>
        </w:tc>
        <w:tc>
          <w:tcPr>
            <w:tcW w:type="dxa" w:w="3744"/>
          </w:tcPr>
          <w:p>
            <w:r/>
            <w:r>
              <w:rPr>
                <w:sz w:val="19"/>
              </w:rPr>
              <w:t>No denial of the office at 100 Techwood Dr., the 14 employees, Sousa’s location, or where the representations were made.</w:t>
            </w:r>
          </w:p>
        </w:tc>
        <w:tc>
          <w:tcPr>
            <w:tcW w:type="dxa" w:w="3600"/>
          </w:tcPr>
          <w:p>
            <w:r/>
            <w:r>
              <w:rPr>
                <w:sz w:val="19"/>
              </w:rPr>
              <w:t>The jurisdictional allegations in ¶¶ 12, 16, and 25 stand uncontroverted (Madara).</w:t>
            </w:r>
          </w:p>
        </w:tc>
      </w:tr>
      <w:tr>
        <w:tc>
          <w:tcPr>
            <w:tcW w:type="dxa" w:w="2016"/>
          </w:tcPr>
          <w:p>
            <w:r/>
            <w:r>
              <w:rPr>
                <w:sz w:val="19"/>
              </w:rPr>
              <w:t>Concession: standard, unmodified terms</w:t>
            </w:r>
          </w:p>
        </w:tc>
        <w:tc>
          <w:tcPr>
            <w:tcW w:type="dxa" w:w="3744"/>
          </w:tcPr>
          <w:p>
            <w:r/>
            <w:r>
              <w:rPr>
                <w:sz w:val="19"/>
              </w:rPr>
              <w:t>¶ 12: standard terms "were presented … in DataCore’s initial proposal and were not modified during the negotiation process." ¶ 13: "standard-form SaaS subscription agreements."</w:t>
            </w:r>
          </w:p>
        </w:tc>
        <w:tc>
          <w:tcPr>
            <w:tcW w:type="dxa" w:w="3600"/>
          </w:tcPr>
          <w:p>
            <w:r/>
            <w:r>
              <w:rPr>
                <w:sz w:val="19"/>
              </w:rPr>
              <w:t>Undercuts "freely negotiated"; supports Forest Oil factor 1; supports construing ambiguities (§ 14.3, § 14.5) against the drafter.</w:t>
            </w:r>
          </w:p>
        </w:tc>
      </w:tr>
      <w:tr>
        <w:tc>
          <w:tcPr>
            <w:tcW w:type="dxa" w:w="2016"/>
          </w:tcPr>
          <w:p>
            <w:r/>
            <w:r>
              <w:rPr>
                <w:sz w:val="19"/>
              </w:rPr>
              <w:t>Characterizations of law and advocacy</w:t>
            </w:r>
          </w:p>
        </w:tc>
        <w:tc>
          <w:tcPr>
            <w:tcW w:type="dxa" w:w="3744"/>
          </w:tcPr>
          <w:p>
            <w:r/>
            <w:r>
              <w:rPr>
                <w:sz w:val="19"/>
              </w:rPr>
              <w:t>¶ 11 ("freely negotiated between sophisticated commercial parties represented by competent counsel") and ¶ 15 are argument, not facts.</w:t>
            </w:r>
          </w:p>
        </w:tc>
        <w:tc>
          <w:tcPr>
            <w:tcW w:type="dxa" w:w="3600"/>
          </w:tcPr>
          <w:p>
            <w:r/>
            <w:r>
              <w:rPr>
                <w:sz w:val="19"/>
              </w:rPr>
              <w:t>Move to disregard. No foundation for the claim that Pinnacle was represented by counsel.</w:t>
            </w:r>
          </w:p>
        </w:tc>
      </w:tr>
      <w:tr>
        <w:tc>
          <w:tcPr>
            <w:tcW w:type="dxa" w:w="2016"/>
          </w:tcPr>
          <w:p>
            <w:r/>
            <w:r>
              <w:rPr>
                <w:sz w:val="19"/>
              </w:rPr>
              <w:t>Internal inconsistencies</w:t>
            </w:r>
          </w:p>
        </w:tc>
        <w:tc>
          <w:tcPr>
            <w:tcW w:type="dxa" w:w="3744"/>
          </w:tcPr>
          <w:p>
            <w:r/>
            <w:r>
              <w:rPr>
                <w:sz w:val="19"/>
              </w:rPr>
              <w:t>Exhibits A and B are authenticated twice (¶¶ 5/8 and ¶¶ 5/9). Motion signature block lists Whitford with a "Georgia Bar No. 774219," but the declaration says he is Texas-licensed and admitted pro hac vice (Apr. 29, 2024). Phone numbers differ: motion (214) 555-8200 vs. declaration (214) 558-7200. Declaration executed in Austin by Dallas-based counsel.</w:t>
            </w:r>
          </w:p>
        </w:tc>
        <w:tc>
          <w:tcPr>
            <w:tcW w:type="dxa" w:w="3600"/>
          </w:tcPr>
          <w:p>
            <w:r/>
            <w:r>
              <w:rPr>
                <w:sz w:val="19"/>
              </w:rPr>
              <w:t>Credibility and precision points; note the bar-number discrepancy. Low value, but it shows carelessness.</w:t>
            </w:r>
          </w:p>
        </w:tc>
      </w:tr>
      <w:tr>
        <w:tc>
          <w:tcPr>
            <w:tcW w:type="dxa" w:w="2016"/>
          </w:tcPr>
          <w:p>
            <w:r/>
            <w:r>
              <w:rPr>
                <w:sz w:val="19"/>
              </w:rPr>
              <w:t>Rule 12(b)(6) inadmissibility</w:t>
            </w:r>
          </w:p>
        </w:tc>
        <w:tc>
          <w:tcPr>
            <w:tcW w:type="dxa" w:w="3744"/>
          </w:tcPr>
          <w:p>
            <w:r/>
            <w:r>
              <w:rPr>
                <w:sz w:val="19"/>
              </w:rPr>
              <w:t>The declaration cannot be considered on the 12(b)(6) arguments without conversion (Rule 12(d)).</w:t>
            </w:r>
          </w:p>
        </w:tc>
        <w:tc>
          <w:tcPr>
            <w:tcW w:type="dxa" w:w="3600"/>
          </w:tcPr>
          <w:p>
            <w:r/>
            <w:r>
              <w:rPr>
                <w:sz w:val="19"/>
              </w:rPr>
              <w:t>Object to any use beyond 12(b)(2) and (3).</w:t>
            </w:r>
          </w:p>
        </w:tc>
      </w:tr>
      <w:tr>
        <w:tc>
          <w:tcPr>
            <w:tcW w:type="dxa" w:w="2016"/>
          </w:tcPr>
          <w:p>
            <w:r/>
            <w:r>
              <w:rPr>
                <w:sz w:val="19"/>
              </w:rPr>
              <w:t>Hosting and support in Austin / VA / OR (¶ 7, ¶ 14)</w:t>
            </w:r>
          </w:p>
        </w:tc>
        <w:tc>
          <w:tcPr>
            <w:tcW w:type="dxa" w:w="3744"/>
          </w:tcPr>
          <w:p>
            <w:r/>
            <w:r>
              <w:rPr>
                <w:sz w:val="19"/>
              </w:rPr>
              <w:t>Addresses where services were delivered, not where the sales fraud occurred.</w:t>
            </w:r>
          </w:p>
        </w:tc>
        <w:tc>
          <w:tcPr>
            <w:tcW w:type="dxa" w:w="3600"/>
          </w:tcPr>
          <w:p>
            <w:r/>
            <w:r>
              <w:rPr>
                <w:sz w:val="19"/>
              </w:rPr>
              <w:t>Irrelevant to specific jurisdiction based on the Georgia sales contacts. Contrast with Sousa’s "local team" pitch.</w:t>
            </w:r>
          </w:p>
        </w:tc>
      </w:tr>
    </w:tbl>
    <w:p/>
    <w:p>
      <w:pPr>
        <w:pStyle w:val="Heading1"/>
      </w:pPr>
      <w:r>
        <w:t>VIII. Audit of the Motion’s Authorities and Characterizations</w:t>
      </w:r>
    </w:p>
    <w:p>
      <w:pPr>
        <w:pStyle w:val="ListBullet"/>
      </w:pPr>
      <w:r>
        <w:rPr>
          <w:b/>
        </w:rPr>
        <w:t>No Atlantic Marine.</w:t>
      </w:r>
      <w:r>
        <w:t xml:space="preserve"> This is the controlling case on forum-selection enforcement, and the omission is significant.</w:t>
      </w:r>
    </w:p>
    <w:p>
      <w:pPr>
        <w:pStyle w:val="ListBullet"/>
      </w:pPr>
      <w:r>
        <w:rPr>
          <w:b/>
        </w:rPr>
        <w:t>No specific-jurisdiction authority.</w:t>
      </w:r>
      <w:r>
        <w:t xml:space="preserve"> The motion does not cite O.C.G.A. § 9-10-91, Ford, Walden, or Louis Vuitton.</w:t>
      </w:r>
    </w:p>
    <w:p>
      <w:pPr>
        <w:pStyle w:val="ListBullet"/>
      </w:pPr>
      <w:r>
        <w:rPr>
          <w:b/>
        </w:rPr>
        <w:t>Italian Colors Restaurant v. Harris, 99 F. Supp. 3d 1199 (N.D. Cal. 2015).</w:t>
      </w:r>
      <w:r>
        <w:t xml:space="preserve"> Listed in the TOA at p. 16 but never cited in the body. It is a California credit-card surcharge case with no apparent relevance. Possibly a placeholder or erroneous citation.</w:t>
      </w:r>
    </w:p>
    <w:p>
      <w:pPr>
        <w:pStyle w:val="ListBullet"/>
      </w:pPr>
      <w:r>
        <w:rPr>
          <w:b/>
        </w:rPr>
        <w:t>Tex. Bus. &amp; Com. Code § 2.725.</w:t>
      </w:r>
      <w:r>
        <w:t xml:space="preserve"> Listed in the TOA at p. 16 but not discussed. UCC Article 2 covers goods, not a SaaS subscription. It does not support a one-year period and, in any event, § 16.070 controls.</w:t>
      </w:r>
    </w:p>
    <w:p>
      <w:pPr>
        <w:pStyle w:val="ListBullet"/>
      </w:pPr>
      <w:r>
        <w:rPr>
          <w:b/>
        </w:rPr>
        <w:t>Ishler v. Internal Revenue, 237 F. App’x 394 (11th Cir. 2007).</w:t>
      </w:r>
      <w:r>
        <w:t xml:space="preserve"> Cited in the body (Legal Standard) but missing from the TOA. Verify the citation and the proposition.</w:t>
      </w:r>
    </w:p>
    <w:p>
      <w:pPr>
        <w:pStyle w:val="ListBullet"/>
      </w:pPr>
      <w:r>
        <w:rPr>
          <w:b/>
        </w:rPr>
        <w:t>No Texas or Georgia case law</w:t>
      </w:r>
      <w:r>
        <w:t xml:space="preserve"> for any of the substantive 12(b)(6) arguments (fraud elements, integration clause, economic loss rule, waiver, contractual limitations, GUDTPA). Every state-law proposition is unsupported.</w:t>
      </w:r>
    </w:p>
    <w:p>
      <w:pPr>
        <w:pStyle w:val="ListBullet"/>
      </w:pPr>
      <w:r>
        <w:rPr>
          <w:b/>
        </w:rPr>
        <w:t>Misquotations and incorrect section references in the MSA:</w:t>
      </w:r>
      <w:r>
        <w:t xml:space="preserve"> § 9.4 (misquoted as "arising under"); § 14.3 (expanded to "in connection with" and "relate to"); § 14.7 (second sentence omitted); § 11.1 (paraphrased). The motion also cites "Section 2.1" for the term (actually § 8.1) and "Sections 3.1, 3.2" for fees (actually §§ 5.1, 5.2 and Ex. A).</w:t>
      </w:r>
    </w:p>
    <w:p>
      <w:pPr>
        <w:pStyle w:val="ListBullet"/>
      </w:pPr>
      <w:r>
        <w:rPr>
          <w:b/>
        </w:rPr>
        <w:t>Mischaracterizations of the Complaint:</w:t>
      </w:r>
      <w:r>
        <w:t xml:space="preserve"> that it "makes no effort" to address timeliness (see ¶ 83); that it does not allege tolling or reservation of rights (see ¶¶ 68, 83); that GUDTPA acts are not specified (see ¶ 115); and that the only damages sought are consequential (see ¶ 79(a)–(b)).</w:t>
      </w:r>
    </w:p>
    <w:p>
      <w:pPr>
        <w:pStyle w:val="ListBullet"/>
      </w:pPr>
      <w:r>
        <w:rPr>
          <w:b/>
        </w:rPr>
        <w:t>Unsupported facts:</w:t>
      </w:r>
      <w:r>
        <w:t xml:space="preserve"> Pinnacle "represented by competent counsel"; "months of arm’s-length negotiations"; implementation "in accordance with the project timeline" (the MSA target was June 15, 2022, and completion was about June 30); $432,000 in unpaid fees owed.</w:t>
      </w:r>
    </w:p>
    <w:p>
      <w:pPr>
        <w:pStyle w:val="ListBullet"/>
      </w:pPr>
      <w:r>
        <w:rPr>
          <w:b/>
        </w:rPr>
        <w:t>Bremen and Scherk</w:t>
      </w:r>
      <w:r>
        <w:t xml:space="preserve"> are an admiralty case and an arbitration case. They are relevant to the validity of the clause but not to the Rule 12(b)(3) vehicle.</w:t>
      </w:r>
    </w:p>
    <w:p>
      <w:r>
        <w:rPr>
          <w:b w:val="0"/>
          <w:i/>
        </w:rPr>
        <w:t>Before filing, cite-check every authority in this memo as well. Several propositions are stated from general knowledge and must be verified: current § 16.070 text; Cooper Tire and post-Mallory application; the Georgia merger-clause and rescission rule; the GUDTPA damages bar; and the Texas cases on non-reliance clauses after Italian Cowboy.</w:t>
      </w:r>
    </w:p>
    <w:p>
      <w:pPr>
        <w:pStyle w:val="Heading1"/>
      </w:pPr>
      <w:r>
        <w:t>IX. Strategic Recommendations</w:t>
      </w:r>
    </w:p>
    <w:p>
      <w:pPr>
        <w:pStyle w:val="Heading2"/>
      </w:pPr>
      <w:r>
        <w:t>A. Primary path: amend as of right (by about June 10, 2024)</w:t>
      </w:r>
    </w:p>
    <w:p>
      <w:pPr>
        <w:pStyle w:val="ListBullet"/>
      </w:pPr>
      <w:r>
        <w:t>Correct the misquotations of Exhibits A and D, the email domains, the CTO’s name, and the source of the $85,000.</w:t>
      </w:r>
    </w:p>
    <w:p>
      <w:pPr>
        <w:pStyle w:val="ListBullet"/>
      </w:pPr>
      <w:r>
        <w:t>Correct the scalability allegations to match the documents (3,500 peak; 5,000–6,000 projected). Reframe materiality around the promised 15,000 / sub-second capacity, the ~4,000 real-world ceiling, and headroom for growth, which was the stated purpose of the requirement. Revisit the "non-negotiable 10,000–15,000" language with Ms. Nance and Ms. Holliday before re-verifying.</w:t>
      </w:r>
    </w:p>
    <w:p>
      <w:pPr>
        <w:pStyle w:val="ListBullet"/>
      </w:pPr>
      <w:r>
        <w:t>Add the favorable facts: "not just marketing language … production-tested integrations"; "dozens of staffing clients … without any issues"; Nance’s unanswered Feb. 9 question; the CTO’s ADP admission; the Atlanta-office statements; DataCore’s pre-contract knowledge of Harmon Ridge and Greenleaf reporting needs.</w:t>
      </w:r>
    </w:p>
    <w:p>
      <w:pPr>
        <w:pStyle w:val="ListBullet"/>
      </w:pPr>
      <w:r>
        <w:t>Anchor Count I in specific MSA provisions: §§ 2.4(a), 3.1, 4.1, 9.1(b)–(c); Ex. B §§ 1(c), 3(a); Ex. C § 2; § 8.2. Plead the continuing-breach theory, estoppel and tolling based on the cure promise, § 16.070, and the § 14.9 anti-waiver clause.</w:t>
      </w:r>
    </w:p>
    <w:p>
      <w:pPr>
        <w:pStyle w:val="ListBullet"/>
      </w:pPr>
      <w:r>
        <w:t>Address § 14.7 in full, including the non-reliance sentence and the facts supporting non-enforcement (boilerplate, no modification, no Pinnacle counsel if true, specific direct inquiry).</w:t>
      </w:r>
    </w:p>
    <w:p>
      <w:pPr>
        <w:pStyle w:val="ListBullet"/>
      </w:pPr>
      <w:r>
        <w:t>Plead rescission in the alternative on Count II if the client elects, with a tender of restitution.</w:t>
      </w:r>
    </w:p>
    <w:p>
      <w:pPr>
        <w:pStyle w:val="ListBullet"/>
      </w:pPr>
      <w:r>
        <w:t>Restructure damages: expectation vs. reliance in the alternative; out-of-pocket losses for Count III; remove GUDTPA damages.</w:t>
      </w:r>
    </w:p>
    <w:p>
      <w:pPr>
        <w:pStyle w:val="ListBullet"/>
      </w:pPr>
      <w:r>
        <w:t>Plead jurisdictional facts: Georgia registration (if confirmed), office lease and headcount, Sousa’s role, and Sousa’s signature on the MSA from Atlanta.</w:t>
      </w:r>
    </w:p>
    <w:p>
      <w:pPr>
        <w:pStyle w:val="ListBullet"/>
      </w:pPr>
      <w:r>
        <w:t>Reconsider Count IV (and possibly Count III) in light of Parts VI.C and VI.D.</w:t>
      </w:r>
    </w:p>
    <w:p>
      <w:pPr>
        <w:pStyle w:val="Heading2"/>
      </w:pPr>
      <w:r>
        <w:t>B. If opposing the current motion, proposed outline</w:t>
      </w:r>
    </w:p>
    <w:p>
      <w:pPr>
        <w:pStyle w:val="ListNumber"/>
      </w:pPr>
      <w:r>
        <w:t>Introduction: DataCore concedes subject-matter jurisdiction, ignores specific jurisdiction, uses the wrong vehicle for its forum clause, and misreads its own contract.</w:t>
      </w:r>
    </w:p>
    <w:p>
      <w:pPr>
        <w:pStyle w:val="ListNumber"/>
      </w:pPr>
      <w:r>
        <w:t>Standard: accept allegations as true; exhibits control; Rule 12(d) bars extrinsic facts.</w:t>
      </w:r>
    </w:p>
    <w:p>
      <w:pPr>
        <w:pStyle w:val="ListNumber"/>
      </w:pPr>
      <w:r>
        <w:t>Personal jurisdiction: specific jurisdiction (long-arm statute plus due process); uncontroverted allegations; registration consent; alternative jurisdictional discovery.</w:t>
      </w:r>
    </w:p>
    <w:p>
      <w:pPr>
        <w:pStyle w:val="ListNumber"/>
      </w:pPr>
      <w:r>
        <w:t>Venue: Atlantic Marine forecloses 12(b)(3) dismissal. The one-sentence transfer request is not properly presented; if reached, public-interest factors and the scope issues.</w:t>
      </w:r>
    </w:p>
    <w:p>
      <w:pPr>
        <w:pStyle w:val="ListNumber"/>
      </w:pPr>
      <w:r>
        <w:t>Choice of law: § 14.3 is limited to disputes "arising under" the Agreement; the Court need not decide now because each claim survives under either law.</w:t>
      </w:r>
    </w:p>
    <w:p>
      <w:pPr>
        <w:pStyle w:val="ListNumber"/>
      </w:pPr>
      <w:r>
        <w:t>Count I: § 16.070; affirmative defense not apparent on the face; continuing breach; estoppel; caps go to amount, not liability; § 14.9 defeats waiver.</w:t>
      </w:r>
    </w:p>
    <w:p>
      <w:pPr>
        <w:pStyle w:val="ListNumber"/>
      </w:pPr>
      <w:r>
        <w:t>Count II: 9(b) and plausibility satisfied; not puffery; Italian Cowboy; Forest Oil factors (Whitford ¶¶ 12–13); Formosa Plastics.</w:t>
      </w:r>
    </w:p>
    <w:p>
      <w:pPr>
        <w:pStyle w:val="ListNumber"/>
      </w:pPr>
      <w:r>
        <w:t>Count III: independent duty and out-of-pocket damages; Georgia misrepresentation exception.</w:t>
      </w:r>
    </w:p>
    <w:p>
      <w:pPr>
        <w:pStyle w:val="ListNumber"/>
      </w:pPr>
      <w:r>
        <w:t>Count IV: specificity; Georgia law governs; statutory duty independent of the contract.</w:t>
      </w:r>
    </w:p>
    <w:p>
      <w:pPr>
        <w:pStyle w:val="ListNumber"/>
      </w:pPr>
      <w:r>
        <w:t>Dismissal, if any, must be without prejudice; separate motion for leave to amend.</w:t>
      </w:r>
    </w:p>
    <w:p>
      <w:pPr>
        <w:pStyle w:val="Heading2"/>
      </w:pPr>
      <w:r>
        <w:t>C. Transfer contingency</w:t>
      </w:r>
    </w:p>
    <w:p>
      <w:r>
        <w:rPr>
          <w:b w:val="0"/>
          <w:i w:val="0"/>
        </w:rPr>
        <w:t>Assume a meaningful probability of transfer to the W.D. Tex. (Austin). Prepare the client for litigation in Austin. Preserve arguments in a form that works under Texas choice-of-law rules. Note that several Texas-law outcomes (§ 16.070, Italian Cowboy, Formosa, and § 38.001 fees) improve Pinnacle’s position on the contract and fraud claims, so a transfer is not necessarily bad for the merits.</w:t>
      </w:r>
    </w:p>
    <w:p>
      <w:pPr>
        <w:pStyle w:val="Heading1"/>
      </w:pPr>
      <w:r>
        <w:t>X. Fact Development and Open Questions</w:t>
      </w:r>
    </w:p>
    <w:p>
      <w:pPr>
        <w:pStyle w:val="ListBullet"/>
      </w:pPr>
      <w:r>
        <w:t>Georgia Secretary of State: is DataCore registered as a foreign corporation? Since when? Registered agent?</w:t>
      </w:r>
    </w:p>
    <w:p>
      <w:pPr>
        <w:pStyle w:val="ListBullet"/>
      </w:pPr>
      <w:r>
        <w:t>Atlanta office: lease, headcount, functions, Sousa’s employment records and location on Mar. 15, 2022 (where and how he signed the MSA; e-signature metadata).</w:t>
      </w:r>
    </w:p>
    <w:p>
      <w:pPr>
        <w:pStyle w:val="ListBullet"/>
      </w:pPr>
      <w:r>
        <w:t>Was Pinnacle represented by outside counsel on the MSA? Were any terms redlined? (Whitford ¶ 12 says no modifications.) Collect all drafts and redlines.</w:t>
      </w:r>
    </w:p>
    <w:p>
      <w:pPr>
        <w:pStyle w:val="ListBullet"/>
      </w:pPr>
      <w:r>
        <w:t>Native copies of all emails (Exhibits A, B, D; Feb. 1 and Feb. 9, 2022 emails) with headers; the SOW Capabilities PDF; the brochure (Rev. 11/2021); demo recordings and invites; Baines’s "production experience" statement (witnesses: Nance, Lofton).</w:t>
      </w:r>
    </w:p>
    <w:p>
      <w:pPr>
        <w:pStyle w:val="ListBullet"/>
      </w:pPr>
      <w:r>
        <w:t>DataCore Documentation and the "then-current list of supported payroll platforms" as of March–June 2022: was ADP (Workforce Now) listed?</w:t>
      </w:r>
    </w:p>
    <w:p>
      <w:pPr>
        <w:pStyle w:val="ListBullet"/>
      </w:pPr>
      <w:r>
        <w:t>The $85,000: DataCore quote, Pinnacle spend, or both? Invoices and SOWs. Was the custom integration ever completed?</w:t>
      </w:r>
    </w:p>
    <w:p>
      <w:pPr>
        <w:pStyle w:val="ListBullet"/>
      </w:pPr>
      <w:r>
        <w:t>Implementation acceptance under § 3.3: was acceptance notice given? Were deficiencies noted within 15 business days? When was the second $87,500 installment paid? (This affects the § 11.1 cap calculation.)</w:t>
      </w:r>
    </w:p>
    <w:p>
      <w:pPr>
        <w:pStyle w:val="ListBullet"/>
      </w:pPr>
      <w:r>
        <w:t>Dec. 5, 2022 notice (Ex. E) and other written reservations of rights. Obtain all of them to support ¶ 68.</w:t>
      </w:r>
    </w:p>
    <w:p>
      <w:pPr>
        <w:pStyle w:val="ListBullet"/>
      </w:pPr>
      <w:r>
        <w:t>Actual concurrent-record volumes Pinnacle ran from 2022 to 2023; performance logs; latency metrics; SLA credit requests (Ex. C § 3 requires a request within 30 days).</w:t>
      </w:r>
    </w:p>
    <w:p>
      <w:pPr>
        <w:pStyle w:val="ListBullet"/>
      </w:pPr>
      <w:r>
        <w:t>Termination notice (Ex. F): did it cite § 8.2 and fraud? Tender or rescission language? Data export under § 8.3(c)?</w:t>
      </w:r>
    </w:p>
    <w:p>
      <w:pPr>
        <w:pStyle w:val="ListBullet"/>
      </w:pPr>
      <w:r>
        <w:t>Greenleaf Accounting damages work product: the breakdown of the $1.2M (replacement system vs. lost business). Assess what falls within the § 11.2 exclusions.</w:t>
      </w:r>
    </w:p>
    <w:p>
      <w:pPr>
        <w:pStyle w:val="ListBullet"/>
      </w:pPr>
      <w:r>
        <w:t>Harmon Ridge Capital: any covenant defaults, waivers, or fees that could be claimed as damages.</w:t>
      </w:r>
    </w:p>
    <w:p>
      <w:pPr>
        <w:pStyle w:val="ListBullet"/>
      </w:pPr>
      <w:r>
        <w:t>Identity of the DataCore CTO ("Anil Subramanian" vs. "Anil Venkatesh").</w:t>
      </w:r>
    </w:p>
    <w:p>
      <w:pPr>
        <w:pStyle w:val="ListBullet"/>
      </w:pPr>
      <w:r>
        <w:t>Confirm the ECF service date and deadlines. Note the incorrect email and phone for Ms. Ashford in DataCore’s certificate of service.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