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990000"/>
          <w:sz w:val="18"/>
        </w:rPr>
        <w:t>PRIVILEGED &amp; CONFIDENTIAL — ATTORNEY WORK PRODUCT</w:t>
      </w:r>
    </w:p>
    <w:p>
      <w:pPr>
        <w:pStyle w:val="Title"/>
        <w:jc w:val="center"/>
      </w:pPr>
      <w:r>
        <w:t>SUMMARY JUDGMENT</w:t>
        <w:br/>
        <w:t>OPPOSITION ISSUE MEMORANDUM</w:t>
      </w:r>
    </w:p>
    <w:p>
      <w:pPr>
        <w:jc w:val="center"/>
      </w:pPr>
      <w:r>
        <w:rPr>
          <w:b/>
          <w:color w:val="46505A"/>
          <w:sz w:val="22"/>
        </w:rPr>
        <w:t>Greenfield Modular Homes, Inc. v. Pinnacle Supply Chain Solutions, LLC</w:t>
      </w:r>
    </w:p>
    <w:p>
      <w:pPr>
        <w:jc w:val="center"/>
      </w:pPr>
      <w:r>
        <w:rPr>
          <w:color w:val="5A626A"/>
          <w:sz w:val="20"/>
        </w:rPr>
        <w:t>Case No. 5:23-cv-00412-MTT  |  Middle District of Georgia</w:t>
      </w:r>
    </w:p>
    <w:tbl>
      <w:tblPr>
        <w:tblW w:type="auto" w:w="0"/>
        <w:jc w:val="center"/>
        <w:tblLayout w:type="fixed"/>
        <w:tblLook w:firstColumn="1" w:firstRow="1" w:lastColumn="0" w:lastRow="0" w:noHBand="0" w:noVBand="1" w:val="04A0"/>
      </w:tblPr>
      <w:tblGrid>
        <w:gridCol w:w="1584"/>
        <w:gridCol w:w="8496"/>
      </w:tblGrid>
      <w:tr>
        <w:trPr>
          <w:cantSplit/>
        </w:trPr>
        <w:tc>
          <w:tcPr>
            <w:tcW w:type="dxa" w:w="1584"/>
            <w:vAlign w:val="center"/>
            <w:shd w:fill="D9EAF7"/>
            <w:tcMar>
              <w:top w:w="65" w:type="dxa"/>
              <w:start w:w="90" w:type="dxa"/>
              <w:bottom w:w="65" w:type="dxa"/>
              <w:end w:w="90" w:type="dxa"/>
            </w:tcMar>
          </w:tcPr>
          <w:p>
            <w:r>
              <w:rPr>
                <w:b/>
                <w:color w:val="1F4E79"/>
                <w:sz w:val="18"/>
              </w:rPr>
              <w:t>TO</w:t>
            </w:r>
          </w:p>
        </w:tc>
        <w:tc>
          <w:tcPr>
            <w:tcW w:type="dxa" w:w="8496"/>
            <w:vAlign w:val="center"/>
            <w:tcMar>
              <w:top w:w="65" w:type="dxa"/>
              <w:start w:w="90" w:type="dxa"/>
              <w:bottom w:w="65" w:type="dxa"/>
              <w:end w:w="90" w:type="dxa"/>
            </w:tcMar>
          </w:tcPr>
          <w:p>
            <w:r>
              <w:rPr>
                <w:sz w:val="19"/>
              </w:rPr>
              <w:t>Opposition counsel</w:t>
            </w:r>
          </w:p>
        </w:tc>
      </w:tr>
      <w:tr>
        <w:trPr>
          <w:cantSplit/>
        </w:trPr>
        <w:tc>
          <w:tcPr>
            <w:tcW w:type="dxa" w:w="1584"/>
            <w:vAlign w:val="center"/>
            <w:shd w:fill="D9EAF7"/>
            <w:tcMar>
              <w:top w:w="65" w:type="dxa"/>
              <w:start w:w="90" w:type="dxa"/>
              <w:bottom w:w="65" w:type="dxa"/>
              <w:end w:w="90" w:type="dxa"/>
            </w:tcMar>
          </w:tcPr>
          <w:p>
            <w:r>
              <w:rPr>
                <w:b/>
                <w:color w:val="1F4E79"/>
                <w:sz w:val="18"/>
              </w:rPr>
              <w:t>RE</w:t>
            </w:r>
          </w:p>
        </w:tc>
        <w:tc>
          <w:tcPr>
            <w:tcW w:type="dxa" w:w="8496"/>
            <w:vAlign w:val="center"/>
            <w:tcMar>
              <w:top w:w="65" w:type="dxa"/>
              <w:start w:w="90" w:type="dxa"/>
              <w:bottom w:w="65" w:type="dxa"/>
              <w:end w:w="90" w:type="dxa"/>
            </w:tcMar>
          </w:tcPr>
          <w:p>
            <w:r>
              <w:rPr>
                <w:sz w:val="19"/>
              </w:rPr>
              <w:t>Pinnacle’s motion for summary judgment and supporting materials</w:t>
            </w:r>
          </w:p>
        </w:tc>
      </w:tr>
      <w:tr>
        <w:trPr>
          <w:cantSplit/>
        </w:trPr>
        <w:tc>
          <w:tcPr>
            <w:tcW w:type="dxa" w:w="1584"/>
            <w:vAlign w:val="center"/>
            <w:shd w:fill="D9EAF7"/>
            <w:tcMar>
              <w:top w:w="65" w:type="dxa"/>
              <w:start w:w="90" w:type="dxa"/>
              <w:bottom w:w="65" w:type="dxa"/>
              <w:end w:w="90" w:type="dxa"/>
            </w:tcMar>
          </w:tcPr>
          <w:p>
            <w:r>
              <w:rPr>
                <w:b/>
                <w:color w:val="1F4E79"/>
                <w:sz w:val="18"/>
              </w:rPr>
              <w:t>PURPOSE</w:t>
            </w:r>
          </w:p>
        </w:tc>
        <w:tc>
          <w:tcPr>
            <w:tcW w:type="dxa" w:w="8496"/>
            <w:vAlign w:val="center"/>
            <w:tcMar>
              <w:top w:w="65" w:type="dxa"/>
              <w:start w:w="90" w:type="dxa"/>
              <w:bottom w:w="65" w:type="dxa"/>
              <w:end w:w="90" w:type="dxa"/>
            </w:tcMar>
          </w:tcPr>
          <w:p>
            <w:r>
              <w:rPr>
                <w:sz w:val="19"/>
              </w:rPr>
              <w:t>Prioritized weaknesses, record disputes, and opposition strategy</w:t>
            </w:r>
          </w:p>
        </w:tc>
      </w:tr>
    </w:tbl>
    <w:p>
      <w:pPr>
        <w:pStyle w:val="Heading1"/>
      </w:pPr>
      <w:r>
        <w:t>EXECUTIVE ASSESSMENT</w:t>
      </w:r>
    </w:p>
    <w:p>
      <w:r>
        <w:t>The motion is most vulnerable because it asks for judgment on an inaccurately described contract and treats disputed defenses as undisputed facts. The actual LSA has a $2,000,000 minimum liability cap, material carve-outs from both the cap and consequential-damages waiver, and an unusually direct mitigation provision stating that Greenfield need not discover a breach Pinnacle concealed or failed to disclose as required by its reporting/notification duties. Pinnacle’s motion omits or rewrites each of those provisions. The record also contains evidence of repeated HVAC failures, a 78% humidity reading, absent dehumidification, a complete January 2023 failure, missing reports, and testimony that management ordered the reports held because the data was “bad.”</w:t>
      </w:r>
    </w:p>
    <w:p>
      <w:r>
        <w:t>Lead with the contract text and the Holt/Santos testimony, not a broad assertion that every dollar claimed is recoverable. Force majeure, mitigation, comparative fault, and salvageability are jury issues on this record. The court may separately scrutinize the independent implied-covenant count, the liability cap, and proof of certain damages categories; those issues do not justify dismissal of the contract/negligence claims or a finding that the cap is $1.86 million.</w:t>
      </w:r>
    </w:p>
    <w:p>
      <w:pPr>
        <w:pStyle w:val="Heading1"/>
      </w:pPr>
      <w:r>
        <w:t>PRIORITIZED ISSUES</w:t>
      </w:r>
    </w:p>
    <w:p>
      <w:pPr>
        <w:spacing w:before="100" w:after="80"/>
      </w:pPr>
      <w:r>
        <w:rPr>
          <w:b/>
          <w:color w:val="990000"/>
          <w:sz w:val="20"/>
        </w:rPr>
        <w:t xml:space="preserve">1 — CRITICAL  </w:t>
      </w:r>
      <w:r>
        <w:rPr>
          <w:b/>
          <w:color w:val="1F4E79"/>
        </w:rPr>
        <w:t xml:space="preserve">The motion materially misstates the LSA — </w:t>
      </w:r>
      <w:r>
        <w:t>Sections 7.1, 7.3, and 7.4 say the opposite of the motion’s principal legal premises. Correct the quoted text at the outset and cite the executed LSA.</w:t>
      </w:r>
    </w:p>
    <w:p>
      <w:pPr>
        <w:spacing w:before="100" w:after="80"/>
      </w:pPr>
      <w:r>
        <w:rPr>
          <w:b/>
          <w:color w:val="990000"/>
          <w:sz w:val="20"/>
        </w:rPr>
        <w:t xml:space="preserve">2 — CRITICAL  </w:t>
      </w:r>
      <w:r>
        <w:rPr>
          <w:b/>
          <w:color w:val="1F4E79"/>
        </w:rPr>
        <w:t xml:space="preserve">Force majeure is unsupported and procedurally uninvoked — </w:t>
      </w:r>
      <w:r>
        <w:t>No evidence shows timely contractual notice; weather causation is disputed; known mechanical deficiencies, deferred replacement, and failure to deploy dehumidification are not excused by ordinary summer heat.</w:t>
      </w:r>
    </w:p>
    <w:p>
      <w:pPr>
        <w:spacing w:before="100" w:after="80"/>
      </w:pPr>
      <w:r>
        <w:rPr>
          <w:b/>
          <w:color w:val="990000"/>
          <w:sz w:val="20"/>
        </w:rPr>
        <w:t xml:space="preserve">3 — HIGH  </w:t>
      </w:r>
      <w:r>
        <w:rPr>
          <w:b/>
          <w:color w:val="1F4E79"/>
        </w:rPr>
        <w:t xml:space="preserve">Mitigation/comparative-fault theory conflicts with the contract and evidence — </w:t>
      </w:r>
      <w:r>
        <w:t>Section 7.4 expressly rejects a duty to discover undisclosed or concealed breaches. Santos followed up about the missing reports and was told they were coming; Greenfield had no notice of the HVAC failures.</w:t>
      </w:r>
    </w:p>
    <w:p>
      <w:pPr>
        <w:spacing w:before="100" w:after="80"/>
      </w:pPr>
      <w:r>
        <w:rPr>
          <w:b/>
          <w:color w:val="990000"/>
          <w:sz w:val="20"/>
        </w:rPr>
        <w:t xml:space="preserve">4 — HIGH  </w:t>
      </w:r>
      <w:r>
        <w:rPr>
          <w:b/>
          <w:color w:val="1F4E79"/>
        </w:rPr>
        <w:t xml:space="preserve">Damages opinions do not establish undisputed reductions — </w:t>
      </w:r>
      <w:r>
        <w:t>Ellington’s salvageability and mitigation opinions exceed his expertise, are contradicted by his deposition and Venkatesh’s physical findings, and use inconsistent percentages/cost figures. Several categories may be direct mitigation or inventory losses, not categorically waived consequential damages.</w:t>
      </w:r>
    </w:p>
    <w:p>
      <w:pPr>
        <w:spacing w:before="100" w:after="80"/>
      </w:pPr>
      <w:r>
        <w:rPr>
          <w:b/>
          <w:color w:val="990000"/>
          <w:sz w:val="20"/>
        </w:rPr>
        <w:t xml:space="preserve">5 — HIGH  </w:t>
      </w:r>
      <w:r>
        <w:rPr>
          <w:b/>
          <w:color w:val="1F4E79"/>
        </w:rPr>
        <w:t xml:space="preserve">The SUMF contains legal conclusions, overstatements, and internal contradictions — </w:t>
      </w:r>
      <w:r>
        <w:t>Particularly ¶¶ 23, 31, 43–45; it converts an inspection right into continuous data access and calls weather causation and the cap undisputed despite the contract and conflicting testimony.</w:t>
      </w:r>
    </w:p>
    <w:p>
      <w:pPr>
        <w:spacing w:before="100" w:after="80"/>
      </w:pPr>
      <w:r>
        <w:rPr>
          <w:b/>
          <w:color w:val="990000"/>
          <w:sz w:val="20"/>
        </w:rPr>
        <w:t xml:space="preserve">6 — MODERATE  </w:t>
      </w:r>
      <w:r>
        <w:rPr>
          <w:b/>
          <w:color w:val="1F4E79"/>
        </w:rPr>
        <w:t xml:space="preserve">The motion does not analyze the claims separately and its own record has identity errors — </w:t>
      </w:r>
      <w:r>
        <w:t>A force-majeure or damages defense does not dispose of each tort/contract count. The supplied materials repeatedly confuse the experts and even the facility/witness identities.</w:t>
      </w:r>
    </w:p>
    <w:p>
      <w:pPr>
        <w:pStyle w:val="Heading1"/>
      </w:pPr>
      <w:r>
        <w:t>1. THE CONTRACTUAL TEXT DEFEATS THE MOTION’S PRIMARY PREMISES</w:t>
      </w:r>
    </w:p>
    <w:p>
      <w:pPr>
        <w:pStyle w:val="Heading2"/>
      </w:pPr>
      <w:r>
        <w:t>A. Liability cap: at least $2 million, with express exceptions</w:t>
      </w:r>
    </w:p>
    <w:p>
      <w:r>
        <w:t>The motion quotes a supposed “Section 7.1(a)” that caps liability at fees paid in the prior 12 months. The signed LSA has no subsection 7.1(a). Section 7.1 caps aggregate liability at the greater of (a) fees paid in the prior 12 months or (b) $2,000,000, and expressly excludes claims arising from Pinnacle’s gross negligence or willful misconduct. Section 7.2 further excludes Pinnacle’s indemnification obligations under §9.1, gross-negligence/willful-misconduct claims, and claims for which Pinnacle was required to maintain insurance under Article 6 (among other listed carve-outs). (LSA §§7.1–7.2.)</w:t>
      </w:r>
    </w:p>
    <w:p>
      <w:r>
        <w:t>Thus the asserted $1.86 million ceiling is facially wrong: $1.86 million is below the contract’s $2 million floor. The fee lookback is also not established by simply using the date of Greenfield’s demand letter. The clause turns on when the “claim first arose,” while the alleged breaches began no later than June 2022; the motion does not establish the legally controlling date or actual payments during the correct 12-month period. The LSA’s §5.4 also provides for annual fee adjustments; use actual billing records rather than assuming $155,000 remained the monthly fee throughout. SUMF ¶14 says $1.86 million was paid July 2022–June 2023, but ¶15 says January/February 2023 invoices totaling $310,000 were withheld. In any event, the cap cannot be applied without addressing the $2 million floor and exceptions.</w:t>
      </w:r>
    </w:p>
    <w:p>
      <w:r>
        <w:t>There is evidence from which a jury could find gross negligence or willful misconduct: Holt warned Okafor in writing on August 9 that Unit 3 needed replacement and that patching was failing; Okafor directed another patch because replacement was not budgeted; a 78% reading was recorded in October; reports were allegedly withheld because the readings showed noncompliance; and after Unit 3 failed completely on January 18, Pinnacle used fans only and gave Greenfield no notice. Holt’s testimony is directly contrary to Okafor’s declaration. Under Georgia’s gross-negligence standard (absence of slight diligence), the inference is for the factfinder, not resolved by Okafor’s conclusory statement that Pinnacle was not grossly negligent. Preserve the §7.2(d) insurance carve-out as well: §6.1(b) requires property insurance for all inventory, including Greenfield’s, at full replacement value and names Greenfield as an additional insured. The policy, coverage, and application of this carve-out require evidence; the motion ignores them.</w:t>
      </w:r>
    </w:p>
    <w:p>
      <w:r>
        <w:t>Section 9.1 separately requires Pinnacle to indemnify Greenfield for losses arising from breaches of §§4.1–4.6 and inventory damage caused by Pinnacle’s acts or omissions, including reasonable attorneys’ fees and costs. Section 7.2(a) exempts that obligation from the cap. Confirm the operative pleadings and preserve/plead this contractual theory if necessary; do not assume the cap resolves the direct contract claim.</w:t>
      </w:r>
    </w:p>
    <w:p>
      <w:pPr>
        <w:pStyle w:val="Heading2"/>
      </w:pPr>
      <w:r>
        <w:t>B. Consequential-damages waiver: the central breach is expressly carved out</w:t>
      </w:r>
    </w:p>
    <w:p>
      <w:r>
        <w:t>The motion quotes §7.3 as an unqualified bar “regardless” of foreseeability or form of action. The LSA instead says: “Neither party shall be liable for any indirect, incidental, special, or consequential damages. This waiver shall not apply to claims arising from a party’s gross negligence, willful misconduct, or breach of Section 4.2.” Pinnacle’s motion and SUMF ¶12 omit the exception; the SUMF also adds “strict liability” and “regardless of the form of action,” language not in the signed provision. Greenfield’s core theory is breach of §4.2’s humidity and reporting duties, so the exception is directly implicated. The gross-negligence/willful-misconduct exception is also supported by the evidence described above.</w:t>
      </w:r>
    </w:p>
    <w:p>
      <w:r>
        <w:t>Even absent an exception, the motion cannot label all disputed categories consequential as a matter of law. Lost profits may be consequential, but expedited manufacturing/rush shipping may be reasonable cover or mitigation costs directly caused by loss of inventory and fixed customer delivery schedules. The LSA makes Pinnacle Greenfield’s exclusive Southeast logistics/warehousing provider (§3.2), and the record describes pending builder orders. Greenfield’s expert supports the necessity and foreseeability of expedited replacement (§6.3 of Venkatesh summary). At minimum, classification, causation, duplication, and amount require a properly supported record. A waiver of some damage categories would not dismiss any claim.</w:t>
      </w:r>
    </w:p>
    <w:p>
      <w:pPr>
        <w:pStyle w:val="Heading2"/>
      </w:pPr>
      <w:r>
        <w:t>C. Mitigation clause protects against undisclosed breaches</w:t>
      </w:r>
    </w:p>
    <w:p>
      <w:r>
        <w:t>The motion’s mitigation argument ignores the text most on point. Section 7.4 requires commercially reasonable mitigation steps “under the circumstances then known” and says: “Nothing in this Section shall impose upon a Party the obligation to discover a breach that the other Party has concealed or failed to disclose in accordance with its reporting or notification obligations under this Agreement.” Sections 4.2 and 4.5 independently state that Pinnacle’s monthly reporting obligation is affirmative and is not conditioned on Greenfield’s inspection right, and that inspection is “in addition to, and not in lieu of,” Pinnacle’s reporting/notification duties. (LSA §§4.2, 4.5, 7.4.) The motion’s assertion that Greenfield had “access to environmental monitoring data at all times” (SUMF ¶23) is not what §4.5 says: Greenfield had access to records when exercising an inspection right on 48 hours’ notice; the clause does not grant live remote access or replace Pinnacle’s reporting duties.</w:t>
      </w:r>
    </w:p>
    <w:p>
      <w:r>
        <w:t>The factual premise is disputed as well. Santos testified that he reviewed the monthly reports, all reports he received showed compliant readings, he followed up with Holt in December and January about missing reports, and Holt said they were coming. He testified Greenfield was “flying blind,” had no notice of HVAC issues, and did not consider a formal inspection warranted because Pinnacle had represented that the reports were merely delayed. His quarterly visits were for logistics/shipment staging; he was not trained to evaluate HVAC or humidity. (Santos Dep. excerpts, pp. 24–29, 33–38, 55–57.) The contract does not require Greenfield to install its own sensors, hire another warehouse operator, or inspect monthly. No evidence shows that a visit would have identified concealed humidity excursions early enough to prevent contamination, that compliant alternative space was available, or that Greenfield could move inventory without Pinnacle’s cooperation. Section 4.6 requires written approval before moving inventory to alternative storage within the facility, and §3.2 restricts Greenfield’s use of another 3PL.</w:t>
      </w:r>
    </w:p>
    <w:p>
      <w:pPr>
        <w:pStyle w:val="Heading1"/>
      </w:pPr>
      <w:r>
        <w:t>2. FORCE MAJEURE DOES NOT SUPPORT SUMMARY JUDGMENT</w:t>
      </w:r>
    </w:p>
    <w:p>
      <w:r>
        <w:t>The LSA’s §11.7 is not the truncated clause recited in the memorandum. It requires notice to the other party within 72 hours; written notice specifying the nature and expected duration of the event, the specific obligations affected, and steps being taken; reasonable updates; and resumption as promptly as reasonably practicable. The motion offers no evidence of timely written force-majeure notice, no specific notice of affected obligations, and no notice to Greenfield of any HVAC failure. Holt testified that he did not notify Greenfield after the June or August outages, the 78% October reading, or the January 18 complete failure; no one else did so to his knowledge. A declaration about repairs does not establish compliance with the contractual notice conditions.</w:t>
      </w:r>
    </w:p>
    <w:p>
      <w:r>
        <w:t>The causal theory is also disputed and overclaimed. The objective fact cited by Pinnacle is temperatures only 2–4°F above the 30-year average for June–August—not “record-breaking,” “unprecedented,” or a natural disaster. There were no utility outages (SUMF ¶22), and §11.7’s example of third-party utility failure is therefore inapplicable. Holt described refrigerant leaks and compressor failure, said the unit was old and needed replacement, and testified that heat may have worsened but did not cause the mechanical problems. His August email says replacement was needed; Okafor chose a patch because replacement was not in the budget. Venkatesh likewise attributes the failures to mechanical condition/deferred maintenance and repeated patch repairs. Okafor’s statements about regional HVAC stress and the equipment’s design limits are unsupported technical conclusions, not a substitute for admissible engineering evidence.</w:t>
      </w:r>
    </w:p>
    <w:p>
      <w:r>
        <w:t>Even if heat contributed to equipment stress, it does not explain or excuse failures to maintain humidity at or below 60%, install sufficient backup climate-control/dehumidification under §4.3, notify Greenfield within 24 hours of HVAC failures under §4.3, or send monthly reports and excursion details under §4.2. Fans circulate air; Holt and Venkatesh explain they do not dehumidify. The 14-day June outage, 13-day August outage, October 78% reading, recurrent later readings, and January outage are distinct mechanical events and not shown to be one force-majeure event that rendered performance beyond Pinnacle’s control. A factfinder must decide cause, scope, and the extent of any excuse.</w:t>
      </w:r>
    </w:p>
    <w:p>
      <w:pPr>
        <w:pStyle w:val="Heading1"/>
      </w:pPr>
      <w:r>
        <w:t>3. THE RECORD ESTABLISHES GENUINE DISPUTES ON BREACH, NOTICE, AND CAUSATION</w:t>
      </w:r>
    </w:p>
    <w:p>
      <w:r>
        <w:t>The LSA imposed affirmative, measurable obligations: humidity no higher than 60% “at all times”; commercially reasonable monitoring; monthly reports containing daily high/low readings, excursions, cause, and corrective actions; HVAC/dehumidification sufficient to meet the limits; temporary climate controls sufficient to maintain them during failure; and written notice within 24 hours of an HVAC failure affecting the zones. (LSA §§4.2–4.3; Ex. B, environmental compliance standard.) The record is not consistent with Pinnacle’s claim of undisputed performance:</w:t>
      </w:r>
    </w:p>
    <w:p>
      <w:pPr>
        <w:pStyle w:val="ListBullet"/>
        <w:spacing w:after="50"/>
        <w:ind w:left="346" w:hanging="202"/>
      </w:pPr>
      <w:r>
        <w:t>Holt testified Unit 3 was completely down for approximately 14 days in June and 13 days in August, with no real climate control or humidity control; no dehumidifiers were deployed and Greenfield was not notified. (Holt Dep. pp. 28–30, 38–41.)</w:t>
      </w:r>
    </w:p>
    <w:p>
      <w:pPr>
        <w:pStyle w:val="ListBullet"/>
        <w:spacing w:after="50"/>
        <w:ind w:left="346" w:hanging="202"/>
      </w:pPr>
      <w:r>
        <w:t>On October 3, Holt’s independent sensor showed 78% RH, 18 points above the contractual maximum. He recorded that Blackthorn could not come until the following week; he did not tell Greenfield, and he could not recall whether the October report disclosed the excursion. (Holt Dep. pp. 56–58.)</w:t>
      </w:r>
    </w:p>
    <w:p>
      <w:pPr>
        <w:pStyle w:val="ListBullet"/>
        <w:spacing w:after="50"/>
        <w:ind w:left="346" w:hanging="202"/>
      </w:pPr>
      <w:r>
        <w:t>Holt testified November 2022–January 2023 humidity was routinely in the upper 60s and sometimes the 70s, and that Okafor directed him to hold reports because the numbers were bad. He recalled a further December instruction to continue holding them. (Holt Dep. pp. 65–68, 97–99.)</w:t>
      </w:r>
    </w:p>
    <w:p>
      <w:pPr>
        <w:pStyle w:val="ListBullet"/>
        <w:spacing w:after="50"/>
        <w:ind w:left="346" w:hanging="202"/>
      </w:pPr>
      <w:r>
        <w:t>Unit 3 failed completely January 18. Pinnacle used fans, not dehumidifiers; the unit remained down when mold was found; and Greenfield was not notified. (Holt Dep. pp. 82–85.)</w:t>
      </w:r>
    </w:p>
    <w:p>
      <w:pPr>
        <w:pStyle w:val="ListBullet"/>
        <w:spacing w:after="50"/>
        <w:ind w:left="346" w:hanging="202"/>
      </w:pPr>
      <w:r>
        <w:t>Venkatesh measured 72%–85% RH in February 2023, documented deep colonization and moisture/structural damage, and opined that prolonged high humidity—not a single brief excursion—caused the mold. She identifies the missing reports and lack of prompt notice as lost opportunities to relocate inventory. (Venkatesh summary §§3.3–3.7, 4.2–4.7, 5.1–5.8.)</w:t>
      </w:r>
    </w:p>
    <w:p>
      <w:r>
        <w:t>This is affirmative evidence, not merely a denial of the motion. Okafor’s declaration (¶¶6–8) says the October event was isolated, readings returned to 58%, and missing reports resulted from calibration issues; Holt gives a contrary account that readings remained high and reports were deliberately withheld. The court cannot choose between those accounts or credit Okafor over Holt at summary judgment. The motion’s assertion that Pinnacle “promptly” repaired the system is also incomplete: repair dates followed multi-day outages, the unit failed again, no adequate humidity-control backup was deployed, and the complete January failure continued through discovery of the mold.</w:t>
      </w:r>
    </w:p>
    <w:p>
      <w:pPr>
        <w:pStyle w:val="Heading1"/>
      </w:pPr>
      <w:r>
        <w:t>4. DAMAGE LIMITATIONS AND EXPERT OPINIONS ARE NOT UNDISPUTED</w:t>
      </w:r>
    </w:p>
    <w:p>
      <w:pPr>
        <w:pStyle w:val="Heading2"/>
      </w:pPr>
      <w:r>
        <w:t>A. Ellington’s salvage opinion is outside his admitted expertise</w:t>
      </w:r>
    </w:p>
    <w:p>
      <w:r>
        <w:t>Ellington is a supply-chain/economic consultant, not an industrial hygienist, mycologist, building-science professional, or mold-remediation specialist. In deposition he admitted he had not reviewed IICRC S520 in detail, had no peer-reviewed wood-panel remediation support, had never remediated a panel, and would defer to Greenfield’s industrial-hygiene expert on whether these particular panels could safely be salvaged. He acknowledged Venkatesh concluded they were not salvageable. (Ellington Dep. pp. 78–85.) Venkatesh reports hyphal penetration into porous substrates, 22%–35% moisture content, warping/delamination/swelling and toxigenic contamination, and opines full disposal was required. (Venkatesh summary §§3.5–3.7, 4.2, 4.5, 5.5–5.6.) Seek exclusion/limitation under Rule 702/Daubert of Ellington’s technical salvageability and mold-safety opinions; at minimum they cannot be treated as undisputed facts. Any properly supported economic estimate of remediation cost can be considered separately from his unsupported view that panels were physically safe/usable.</w:t>
      </w:r>
    </w:p>
    <w:p>
      <w:r>
        <w:t>The percentage changes across the record: Ellington’s declaration says 30%–40% salvageable; his deposition says at least 25%–30%; Pinnacle’s brief asserts 35%–45%. The declaration’s adjusted-damages table instead assumes only 600–800 panels affected under an earlier-discovery scenario. These are not interchangeable salvage and mitigation assumptions. Require a reliable calculation tied to panel-level inspection evidence.</w:t>
      </w:r>
    </w:p>
    <w:p>
      <w:pPr>
        <w:pStyle w:val="Heading2"/>
      </w:pPr>
      <w:r>
        <w:t>B. Variable manufacturing cost is not automatically the legal measure of inventory loss</w:t>
      </w:r>
    </w:p>
    <w:p>
      <w:r>
        <w:t>The motion assumes “incremental cost” is the exclusive measure and removes all fixed overhead without establishing the market/replacement value of the panels, whether production capacity was constrained, or whether replenishment displaced profitable orders. The LSA and damage evidence concern finished inventory and its loss, not simply the cost of producing one more unit under an unconstrained factory model. Ellington’s figures are inconsistent: his declaration uses $1,680 direct cost (¶¶11–13); his deposition gives $1,780 (pp. 42–43); the motion says approximately $1,750 and a $790 overhead allocation. Those yield materially different values. His qualifications may support a cost-accounting opinion, but they do not make his chosen legal measure conclusive or establish that fixed costs are irrelevant to replacement value. The motion’s estimate is a disputed valuation opinion, not a basis to grant judgment on damages.</w:t>
      </w:r>
    </w:p>
    <w:p>
      <w:pPr>
        <w:pStyle w:val="Heading2"/>
      </w:pPr>
      <w:r>
        <w:t>C. Other claimed categories require individualized treatment</w:t>
      </w:r>
    </w:p>
    <w:p>
      <w:pPr>
        <w:pStyle w:val="ListBullet"/>
        <w:spacing w:after="50"/>
        <w:ind w:left="346" w:hanging="202"/>
      </w:pPr>
      <w:r>
        <w:t>Remediation/disposal ($385,000): Venkatesh supports necessity and reasonableness (§6.2). Ellington says he does not directly challenge the rates and reduces them only by assuming an earlier discovery/lesser affected area (¶26). That assumption depends on the disputed mitigation counterfactual, not proof that the actual work was unnecessary.</w:t>
      </w:r>
    </w:p>
    <w:p>
      <w:pPr>
        <w:pStyle w:val="ListBullet"/>
        <w:spacing w:after="50"/>
        <w:ind w:left="346" w:hanging="202"/>
      </w:pPr>
      <w:r>
        <w:t>Expedited manufacturing ($1,150,000): Venkatesh describes the costs as foreseeable and directly tied to fixed builder schedules (§6.3). Ellington’s assertions of regular overtime, $180,000 of unrelated shipping, and $600,000–$750,000 support need invoice-level and customer-level foundation. Pinnacle cannot erase the whole category as consequential on this record; alternatively, segregate any proven duplicative/unrelated amounts rather than seek claim dismissal.</w:t>
      </w:r>
    </w:p>
    <w:p>
      <w:pPr>
        <w:pStyle w:val="ListBullet"/>
        <w:spacing w:after="50"/>
        <w:ind w:left="346" w:hanging="202"/>
      </w:pPr>
      <w:r>
        <w:t>Lost profits ($890,000): This category needs contract-level proof of net profit, causation, and avoided costs. But Pinnacle’s motion cites Ellington declaration ¶¶10–12 for its speculation argument; those paragraphs address the per-panel cost/overhead, not the lost-profit analysis. Ellington’s conclusion is not a substitute for contract-specific evidence. The §7.3 exception for §4.2 breach remains central.</w:t>
      </w:r>
    </w:p>
    <w:p>
      <w:pPr>
        <w:pStyle w:val="ListBullet"/>
        <w:spacing w:after="50"/>
        <w:ind w:left="346" w:hanging="202"/>
      </w:pPr>
      <w:r>
        <w:t>Linden consulting/expert fees ($175,000): The motion calls all of this litigation preparation expense and cites O.C.G.A. §13-6-5 as a litigation-expense statute. The fee-shifting statute for bad-faith/stubborn-litigation/unnecessary-expense claims is §13-6-11, not §13-6-5. The record describes Linden’s work as environmental inspection and assessment following contamination, potentially investigation/mitigation costs rather than solely trial-preparation expense. Section 9.1 also covers reasonable fees/costs for covered losses. Establish billing detail and preserve the contractual and statutory bases; do not assume the entire amount is automatically recoverable.</w:t>
      </w:r>
    </w:p>
    <w:p>
      <w:r>
        <w:t>The motion’s authorities list includes O.C.G.A. §11-2-715, the Article 2 buyer’s consequential-damages provision, but the LSA is principally a logistics/warehousing services agreement and Pinnacle did not sell the panels. The motion does not explain why Article 2 supplies the governing measure here; insist on a rule tied to this contract and these facts. The total arithmetic ($4.7m + $385k + $1.15m + $890k + $175k = $7.3m) is correct, but the substantive components are disputed. The expert’s “adjusted” total is not a fact finding: it combines an early-discovery counterfactual, salvage assumptions, adjusted unit costs, and categorical exclusions. No summary judgment on the amount is warranted merely because damages will require jury evaluation.</w:t>
      </w:r>
    </w:p>
    <w:p>
      <w:pPr>
        <w:pStyle w:val="Heading1"/>
      </w:pPr>
      <w:r>
        <w:t>5. COMPARATIVE FAULT AND CLAIM-BY-CLAIM ANALYSIS</w:t>
      </w:r>
    </w:p>
    <w:p>
      <w:r>
        <w:t>O.C.G.A. §51-12-33 may govern allocation on the negligence claim if supported by evidence, but it is not an automatic defense to the contract claim or a means to rewrite §7.4. The motion offers no undisputed basis to assign Greenfield 50% or more fault. Greenfield paid for climate control and reports, relied on reports that showed compliance, received no notice of failures, and followed up when reports stopped. The LSA contains no requirement to install Greenfield sensors or conduct monthly environmental inspections. Whether more inspections would have found invisible humidity excursions, whether alternative space was available, and whether earlier discovery would have avoided the loss are disputed causal questions. The absence of a Greenfield sensor cannot excuse Pinnacle’s express environmental, monitoring, and disclosure duties.</w:t>
      </w:r>
    </w:p>
    <w:p>
      <w:r>
        <w:t>The motion requests dismissal of breach of contract, negligence, and breach of the implied covenant, but offers no separate element-by-element analysis of each. Force majeure is a contract performance defense; a damages waiver/cap does not by itself disprove negligence or breach. Any independent claim for breach of the implied covenant may face a Georgia-law objection if pleaded as a freestanding tort/contract claim duplicating the express contract. Address that candidly: preserve the implied-covenant allegations as a theory of contractual performance/remedy, but do not make survival of a standalone Count III the centerpiece. Review Count II for an adequately pleaded independent duty and the application of Georgia’s economic-loss rule; Pinnacle does not develop that ground in this motion, and the contract claim remains independently viable. Regardless, these issues cannot dispose of Count I or the fact-supported negligence theory on the arguments presented. The motion’s conclusion that all claims should be dismissed with prejudice is broader than its argument.</w:t>
      </w:r>
    </w:p>
    <w:p>
      <w:pPr>
        <w:pStyle w:val="Heading1"/>
      </w:pPr>
      <w:r>
        <w:t>6. RECORD-QUALITY AND CITATION PROBLEMS TO USE CAREFULLY</w:t>
      </w:r>
    </w:p>
    <w:p>
      <w:pPr>
        <w:pStyle w:val="ListBullet"/>
        <w:spacing w:after="50"/>
        <w:ind w:left="346" w:hanging="202"/>
      </w:pPr>
      <w:r>
        <w:t>Expert identity and report contamination: the motion calls its damages expert “Dr. Raymond Ellington,” while the signed declaration and deposition identify Dr. Marcus Ellington. Okafor declaration ¶10 calls Greenfield’s expert “Dr. Anita Subramanian,” whereas the supplied report is by Dr. Anita Venkatesh. Ellington’s deposition says he reviewed a report by “Dr. Ananya Subramanian,” refers to “Warehouse 7” in Perry, and calls the logistics coordinator “Robert Santos”; the actual case materials concern the Warner Robins facility and Miguel Santos. This may be careless template carryover, but it undermines the assertion that the expert reviewed this case’s actual record and merits clarification before the court relies on his opinions.</w:t>
      </w:r>
    </w:p>
    <w:p>
      <w:pPr>
        <w:pStyle w:val="ListBullet"/>
        <w:spacing w:after="50"/>
        <w:ind w:left="346" w:hanging="202"/>
      </w:pPr>
      <w:r>
        <w:t>Ellington qualification inconsistency: his declaration claims an industrial engineering degree from Georgia Tech and an MBA from Halford University; his deposition says an economics degree from UVA and an MBA from Emory. Obtain the actual CV and any errata, and challenge foundation/credibility without overstating that a discrepancy alone requires exclusion.</w:t>
      </w:r>
    </w:p>
    <w:p>
      <w:pPr>
        <w:pStyle w:val="ListBullet"/>
        <w:spacing w:after="50"/>
        <w:ind w:left="346" w:hanging="202"/>
      </w:pPr>
      <w:r>
        <w:t>Venkatesh area discrepancy: her summary says Zones C and D together are 48,000 square feet (§3.2), while LSA Exhibit A lists Zone C at 48,000 and Zone D at 42,000 (90,000 total). Correct the area figure and ensure remediation estimates are tied to actual work area; do not let this distraction obscure contamination evidence.</w:t>
      </w:r>
    </w:p>
    <w:p>
      <w:pPr>
        <w:pStyle w:val="ListBullet"/>
        <w:spacing w:after="50"/>
        <w:ind w:left="346" w:hanging="202"/>
      </w:pPr>
      <w:r>
        <w:t>Contract and SUMF errors: the motion says nonrenewal required 90 days’ notice; the LSA says 180 days (§2.1). SUMF ¶13 attributes an “impracticable” standard to §11.7 that does not appear in the signed text. SUMF ¶43 labels $1.86m the cap despite §7.1’s $2m floor. SUMF ¶23 overstates data access. SUMF ¶45 presents disputed weather causation as an undisputed fact. Cite the document itself and controvert each as a legal characterization, not a fact.</w:t>
      </w:r>
    </w:p>
    <w:p>
      <w:pPr>
        <w:pStyle w:val="ListBullet"/>
        <w:spacing w:after="50"/>
        <w:ind w:left="346" w:hanging="202"/>
      </w:pPr>
      <w:r>
        <w:t>Unsupported/potentially inadmissible assertions: Okafor’s opinions that weather was unprecedented, HVAC systems were overwhelmed, and repair choices met industry standards need personal-knowledge/Rule 702 foundation. Her “no gross negligence” statement is a legal conclusion. The motion also relies on Hargrove deposition passages not included in the supplied excerpts; quote the complete transcript and context if Pinnacle cites them.</w:t>
      </w:r>
    </w:p>
    <w:p>
      <w:pPr>
        <w:pStyle w:val="Heading1"/>
      </w:pPr>
      <w:r>
        <w:t>OPPOSITION PLAN / EVIDENCE CHECKLIST</w:t>
      </w:r>
    </w:p>
    <w:p>
      <w:pPr>
        <w:pStyle w:val="ListBullet"/>
        <w:spacing w:after="50"/>
        <w:ind w:left="346" w:hanging="202"/>
      </w:pPr>
      <w:r>
        <w:t>Open with a side-by-side statement of the actual §§7.1, 7.2, 7.3, 7.4, 4.2–4.5, 6.1(b), and 9.1 text; identify each material misquotation in the motion and SUMF.</w:t>
      </w:r>
    </w:p>
    <w:p>
      <w:pPr>
        <w:pStyle w:val="ListBullet"/>
        <w:spacing w:after="50"/>
        <w:ind w:left="346" w:hanging="202"/>
      </w:pPr>
      <w:r>
        <w:t>File a paragraph-by-paragraph Rule 56 response. Most directly controvert SUMF ¶¶23, 26–27, 31, 38–39, and 43–45; distinguish the true facts in ¶¶18–22 from the incomplete assertion that repairs/fans satisfied the contract.</w:t>
      </w:r>
    </w:p>
    <w:p>
      <w:pPr>
        <w:pStyle w:val="ListBullet"/>
        <w:spacing w:after="50"/>
        <w:ind w:left="346" w:hanging="202"/>
      </w:pPr>
      <w:r>
        <w:t>Use Holt’s full, pinpoint testimony and the August 9 email to establish notice within Pinnacle, failures, replacement recommendation, budget decision, humidity readings, withheld reports, and no Greenfield notice. Use Santos to show reliance, follow-up, lack of knowledge, and logistics-only visits.</w:t>
      </w:r>
    </w:p>
    <w:p>
      <w:pPr>
        <w:pStyle w:val="ListBullet"/>
        <w:spacing w:after="50"/>
        <w:ind w:left="346" w:hanging="202"/>
      </w:pPr>
      <w:r>
        <w:t>Authenticate and submit the complete Venkatesh report/appendices, relevant raw RH readings, sampling/photo data, remediation invoices, and declaration testimony. Reconcile the square-footage discrepancy and explain what the samples support regarding the 1,850 panels.</w:t>
      </w:r>
    </w:p>
    <w:p>
      <w:pPr>
        <w:pStyle w:val="ListBullet"/>
        <w:spacing w:after="50"/>
        <w:ind w:left="346" w:hanging="202"/>
      </w:pPr>
      <w:r>
        <w:t>If the record lacks the actual monitoring logs, complete Blackthorn work orders/invoices, Okafor–Holt communications, the property-insurance policy, or support for the $1.86m calculation, seek targeted relief (including Rule 56(d), if procedurally available) rather than allowing Pinnacle’s summaries to stand as undisputed.</w:t>
      </w:r>
    </w:p>
    <w:p>
      <w:pPr>
        <w:pStyle w:val="ListBullet"/>
        <w:spacing w:after="50"/>
        <w:ind w:left="346" w:hanging="202"/>
      </w:pPr>
      <w:r>
        <w:t>Support each damages item separately: inventory valuation and replacement records; Southeastern invoices and scope; rush manufacturing/shipping invoices and builder schedules; net-profit evidence for each builder contract; and Linden’s billing/time records distinguishing mitigation investigation from litigation work.</w:t>
      </w:r>
    </w:p>
    <w:p>
      <w:pPr>
        <w:pStyle w:val="ListBullet"/>
        <w:spacing w:after="50"/>
        <w:ind w:left="346" w:hanging="202"/>
      </w:pPr>
      <w:r>
        <w:t>Ask the court to deny summary judgment on liability and disputed damages. In the alternative, argue that any partial ruling must preserve the §4.2/gross-negligence/willful-misconduct/insurance/indemnity exceptions, the correct $2m minimum cap, and all nonwaived direct and mitigation damages.</w:t>
      </w:r>
    </w:p>
    <w:p>
      <w:pPr>
        <w:pStyle w:val="Heading1"/>
      </w:pPr>
      <w:r>
        <w:t>BOTTOM LINE</w:t>
      </w:r>
    </w:p>
    <w:p>
      <w:r>
        <w:t>The best opposition is narrow and document-driven: Pinnacle’s quoted contract provisions are wrong; the actual agreement places affirmative climate-control and disclosure duties on Pinnacle and expressly rejects Greenfield’s supposed duty to uncover undisclosed breaches; and Holt’s testimony creates direct disputes about mechanical failure, concealment, notice, and remedial effort. Weather, inspection frequency, panel salvageability, and damages amount are not “undisputed.” Correct the cap to the contract’s minimum $2 million and preserve its exceptions. A possible weakness in a standalone implied-covenant count or particular damages proof should be handled separately, not allowed to convert this record into judgment for Pinnacle on all claims.</w:t>
      </w:r>
    </w:p>
    <w:p>
      <w:pPr>
        <w:pStyle w:val="MemoSmall"/>
        <w:spacing w:before="160"/>
      </w:pPr>
      <w:r>
        <w:rPr>
          <w:i/>
        </w:rPr>
        <w:t>Prepared from the motion memorandum, SUMF, executed LSA, declarations/expert summaries, and selected deposition excerpts supplied for review. Pinpoint citations should be conformed to the complete filed record before submission.</w:t>
      </w:r>
    </w:p>
    <w:sectPr w:rsidR="00FC693F" w:rsidRPr="0006063C" w:rsidSect="00034616">
      <w:headerReference w:type="default" r:id="rId9"/>
      <w:footerReference w:type="default" r:id="rId10"/>
      <w:pgSz w:w="12240" w:h="15840"/>
      <w:pgMar w:top="1037"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color w:val="5F6973"/>
        <w:sz w:val="16"/>
      </w:rPr>
      <w:t xml:space="preserve">ATTORNEY WORK PRODUCT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emoSmall"/>
      <w:jc w:val="right"/>
    </w:pPr>
    <w:r>
      <w:t>GREENFIELD MODULAR HOMES, INC. v. PINNACLE SUPPLY CHAIN SOLUTIONS,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color w:val="232A3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365F9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moSmall">
    <w:name w:val="Memo Small"/>
    <w:pPr>
      <w:spacing w:after="60"/>
    </w:pPr>
    <w:rPr>
      <w:rFonts w:ascii="Calibri" w:hAnsi="Calibri"/>
      <w:color w:val="50586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