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365D"/>
          <w:sz w:val="48"/>
        </w:rPr>
        <w:t>INVOICE REVIEW MEMORANDUM</w:t>
      </w:r>
    </w:p>
    <w:p>
      <w:pPr>
        <w:spacing w:after="200"/>
      </w:pPr>
      <w:r>
        <w:rPr>
          <w:b/>
          <w:color w:val="0F6B78"/>
          <w:sz w:val="26"/>
        </w:rPr>
        <w:t>Pinnacle Health Systems, Inc. v. MedCore Analytics, LLC</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5141"/>
        <w:gridCol w:w="5141"/>
      </w:tblGrid>
      <w:tr>
        <w:trPr>
          <w:tblHeader w:val="true"/>
        </w:trPr>
        <w:tc>
          <w:tcPr>
            <w:tcW w:type="dxa" w:w="2160"/>
            <w:vAlign w:val="center"/>
            <w:tcMar>
              <w:top w:w="55" w:type="dxa"/>
              <w:start w:w="65" w:type="dxa"/>
              <w:bottom w:w="55" w:type="dxa"/>
              <w:end w:w="65" w:type="dxa"/>
            </w:tcMar>
            <w:shd w:fill="0F6B78"/>
          </w:tcPr>
          <w:p>
            <w:pPr>
              <w:spacing w:after="0" w:before="0" w:line="240" w:lineRule="auto"/>
            </w:pPr>
            <w:r/>
            <w:r>
              <w:rPr>
                <w:rFonts w:ascii="Aptos" w:hAnsi="Aptos"/>
                <w:b/>
                <w:color w:val="FFFFFF"/>
                <w:sz w:val="17"/>
              </w:rPr>
              <w:t>REVIEW DETAILS</w:t>
            </w:r>
          </w:p>
        </w:tc>
        <w:tc>
          <w:tcPr>
            <w:tcW w:type="dxa" w:w="8568"/>
            <w:vAlign w:val="center"/>
            <w:tcMar>
              <w:top w:w="55" w:type="dxa"/>
              <w:start w:w="65" w:type="dxa"/>
              <w:bottom w:w="55" w:type="dxa"/>
              <w:end w:w="65" w:type="dxa"/>
            </w:tcMar>
            <w:shd w:fill="0F6B78"/>
          </w:tcPr>
          <w:p>
            <w:pPr>
              <w:spacing w:after="0" w:before="0" w:line="240" w:lineRule="auto"/>
            </w:pPr>
            <w:r/>
            <w:r>
              <w:rPr>
                <w:rFonts w:ascii="Aptos" w:hAnsi="Aptos"/>
                <w:b/>
                <w:color w:val="FFFFFF"/>
                <w:sz w:val="17"/>
              </w:rPr>
            </w:r>
          </w:p>
        </w:tc>
      </w:tr>
      <w:tr>
        <w:trPr>
          <w:cantSplit/>
        </w:trPr>
        <w:tc>
          <w:tcPr>
            <w:tcW w:type="dxa" w:w="2160"/>
            <w:vAlign w:val="center"/>
            <w:tcMar>
              <w:top w:w="55" w:type="dxa"/>
              <w:start w:w="65" w:type="dxa"/>
              <w:bottom w:w="55" w:type="dxa"/>
              <w:end w:w="65" w:type="dxa"/>
            </w:tcMar>
          </w:tcPr>
          <w:p>
            <w:pPr>
              <w:spacing w:after="0" w:before="0" w:line="240" w:lineRule="auto"/>
            </w:pPr>
            <w:r/>
            <w:r>
              <w:rPr>
                <w:rFonts w:ascii="Aptos" w:hAnsi="Aptos"/>
                <w:b w:val="0"/>
                <w:color w:val="17212B"/>
                <w:sz w:val="17"/>
              </w:rPr>
              <w:t>Invoice</w:t>
            </w:r>
          </w:p>
        </w:tc>
        <w:tc>
          <w:tcPr>
            <w:tcW w:type="dxa" w:w="8568"/>
            <w:vAlign w:val="center"/>
            <w:tcMar>
              <w:top w:w="55" w:type="dxa"/>
              <w:start w:w="65" w:type="dxa"/>
              <w:bottom w:w="55" w:type="dxa"/>
              <w:end w:w="65" w:type="dxa"/>
            </w:tcMar>
          </w:tcPr>
          <w:p>
            <w:pPr>
              <w:spacing w:after="0" w:before="0" w:line="240" w:lineRule="auto"/>
            </w:pPr>
            <w:r/>
            <w:r>
              <w:rPr>
                <w:rFonts w:ascii="Aptos" w:hAnsi="Aptos"/>
                <w:b w:val="0"/>
                <w:color w:val="17212B"/>
                <w:sz w:val="17"/>
              </w:rPr>
              <w:t>HL-2025-05-PIN  |  dated June 5, 2025</w:t>
            </w:r>
          </w:p>
        </w:tc>
      </w:tr>
      <w:tr>
        <w:trPr>
          <w:cantSplit/>
        </w:trPr>
        <w:tc>
          <w:tcPr>
            <w:tcW w:type="dxa" w:w="216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Billing period</w:t>
            </w:r>
          </w:p>
        </w:tc>
        <w:tc>
          <w:tcPr>
            <w:tcW w:type="dxa" w:w="8568"/>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May 1–31, 2025</w:t>
            </w:r>
          </w:p>
        </w:tc>
      </w:tr>
      <w:tr>
        <w:trPr>
          <w:cantSplit/>
        </w:trPr>
        <w:tc>
          <w:tcPr>
            <w:tcW w:type="dxa" w:w="2160"/>
            <w:vAlign w:val="center"/>
            <w:tcMar>
              <w:top w:w="55" w:type="dxa"/>
              <w:start w:w="65" w:type="dxa"/>
              <w:bottom w:w="55" w:type="dxa"/>
              <w:end w:w="65" w:type="dxa"/>
            </w:tcMar>
          </w:tcPr>
          <w:p>
            <w:pPr>
              <w:spacing w:after="0" w:before="0" w:line="240" w:lineRule="auto"/>
            </w:pPr>
            <w:r/>
            <w:r>
              <w:rPr>
                <w:rFonts w:ascii="Aptos" w:hAnsi="Aptos"/>
                <w:b w:val="0"/>
                <w:color w:val="17212B"/>
                <w:sz w:val="17"/>
              </w:rPr>
              <w:t>Matter</w:t>
            </w:r>
          </w:p>
        </w:tc>
        <w:tc>
          <w:tcPr>
            <w:tcW w:type="dxa" w:w="8568"/>
            <w:vAlign w:val="center"/>
            <w:tcMar>
              <w:top w:w="55" w:type="dxa"/>
              <w:start w:w="65" w:type="dxa"/>
              <w:bottom w:w="55" w:type="dxa"/>
              <w:end w:w="65" w:type="dxa"/>
            </w:tcMar>
          </w:tcPr>
          <w:p>
            <w:pPr>
              <w:spacing w:after="0" w:before="0" w:line="240" w:lineRule="auto"/>
            </w:pPr>
            <w:r/>
            <w:r>
              <w:rPr>
                <w:rFonts w:ascii="Aptos" w:hAnsi="Aptos"/>
                <w:b w:val="0"/>
                <w:color w:val="17212B"/>
                <w:sz w:val="17"/>
              </w:rPr>
              <w:t>Case No. 1:24-cv-04187-RWS (N.D. Ga.)</w:t>
            </w:r>
          </w:p>
        </w:tc>
      </w:tr>
      <w:tr>
        <w:trPr>
          <w:cantSplit/>
        </w:trPr>
        <w:tc>
          <w:tcPr>
            <w:tcW w:type="dxa" w:w="216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Review basis</w:t>
            </w:r>
          </w:p>
        </w:tc>
        <w:tc>
          <w:tcPr>
            <w:tcW w:type="dxa" w:w="8568"/>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Invoice workbook, staffing plan, billing guidelines, staffing email chain, and May case-status report</w:t>
            </w:r>
          </w:p>
        </w:tc>
      </w:tr>
    </w:tbl>
    <w:p>
      <w:pPr>
        <w:spacing w:after="0" w:before="0"/>
      </w:pPr>
    </w:p>
    <w:p>
      <w:pPr>
        <w:pStyle w:val="Heading1"/>
      </w:pPr>
      <w:r>
        <w:t>Executive recommendation</w:t>
      </w:r>
    </w:p>
    <w:p>
      <w:r>
        <w:rPr>
          <w:i w:val="0"/>
        </w:rPr>
        <w:t>Do not approve the invoice as submitted. The record supports material reductions for unapproved staffing, a contract-attorney rate above the approved pass-through rate, excessive staffing at the May 8 internal strategy call and Dr. Liu deposition, block billing, and work billed at an inappropriate level. The invoice also exceeds the monthly budget’s 115% ceiling on its face and lacks the required budget-to-actual report. Expense payment should be held pending receipts, vendor invoices, and required pre-approvals.</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5141"/>
        <w:gridCol w:w="5141"/>
      </w:tblGrid>
      <w:tr>
        <w:trPr>
          <w:tblHeader w:val="true"/>
        </w:trPr>
        <w:tc>
          <w:tcPr>
            <w:tcW w:type="dxa" w:w="6696"/>
            <w:vAlign w:val="center"/>
            <w:tcMar>
              <w:top w:w="55" w:type="dxa"/>
              <w:start w:w="65" w:type="dxa"/>
              <w:bottom w:w="55" w:type="dxa"/>
              <w:end w:w="65" w:type="dxa"/>
            </w:tcMar>
            <w:shd w:fill="17365D"/>
          </w:tcPr>
          <w:p>
            <w:pPr>
              <w:spacing w:after="0" w:before="0" w:line="240" w:lineRule="auto"/>
            </w:pPr>
            <w:r/>
            <w:r>
              <w:rPr>
                <w:rFonts w:ascii="Aptos" w:hAnsi="Aptos"/>
                <w:b/>
                <w:color w:val="FFFFFF"/>
                <w:sz w:val="17"/>
              </w:rPr>
              <w:t>SUMMARY</w:t>
            </w:r>
          </w:p>
        </w:tc>
        <w:tc>
          <w:tcPr>
            <w:tcW w:type="dxa" w:w="4032"/>
            <w:vAlign w:val="center"/>
            <w:tcMar>
              <w:top w:w="55" w:type="dxa"/>
              <w:start w:w="65" w:type="dxa"/>
              <w:bottom w:w="55" w:type="dxa"/>
              <w:end w:w="65" w:type="dxa"/>
            </w:tcMar>
            <w:shd w:fill="17365D"/>
          </w:tcPr>
          <w:p>
            <w:pPr>
              <w:spacing w:after="0" w:before="0" w:line="240" w:lineRule="auto"/>
            </w:pPr>
            <w:r/>
            <w:r>
              <w:rPr>
                <w:rFonts w:ascii="Aptos" w:hAnsi="Aptos"/>
                <w:b/>
                <w:color w:val="FFFFFF"/>
                <w:sz w:val="17"/>
              </w:rPr>
              <w:t>AMOUNT / DISPOSITION</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Attorney fees billed</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$193,372.50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Expenses billed (documentation/approval not supplied in review set)</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$8,450.00</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Total invoice</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$201,822.50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Itemized fee reductions before budget adjustment</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($70,091.99)</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Additional §7.3 gross overage exposure (conservative cumulative treatment)</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($3,622.50)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Conservative fee amount after reductions</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$119,658.01</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Expenses payable only if substantiated and compliant</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Up to $8,450.00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Potential payment if all expenses are substantiated/approved</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$128,108.01</w:t>
            </w:r>
          </w:p>
        </w:tc>
      </w:tr>
    </w:tbl>
    <w:p>
      <w:pPr>
        <w:spacing w:after="0" w:before="0"/>
      </w:pPr>
    </w:p>
    <w:p>
      <w:r>
        <w:rPr>
          <w:b/>
        </w:rPr>
        <w:t>Budget treatment note:</w:t>
      </w:r>
      <w:r>
        <w:t xml:space="preserve"> The $3,622.50 §7.3 figure is the face-value amount above the $189,750 cap (115% × $165,000). The specific fee corrections alone reduce fees to $123,280.51, below that cap. The Guidelines state that budget compliance and other reductions are independent; accordingly, the conservative figure above treats the overage adjustment as cumulative. If Pinnacle applies §7.3 solely as a cap after correcting the time entries, no additional budget haircut would be needed. The memo shows both amounts so the decision is explicit.</w:t>
      </w:r>
    </w:p>
    <w:p>
      <w:r>
        <w:rPr>
          <w:b/>
        </w:rPr>
        <w:t>Expense note:</w:t>
      </w:r>
      <w:r>
        <w:t xml:space="preserve"> No receipts or vendor invoices are included in the review materials. The $8,450 is not included in the fee-reduction total; it should remain on hold unless supported and any required pre-approval is produced.</w:t>
      </w:r>
    </w:p>
    <w:p>
      <w:pPr>
        <w:pStyle w:val="Heading1"/>
      </w:pPr>
      <w:r>
        <w:t>1. Scope and assumptions</w:t>
      </w:r>
    </w:p>
    <w:p>
      <w:r>
        <w:rPr>
          <w:i w:val="0"/>
        </w:rPr>
        <w:t>This review applies Pinnacle’s January 2023 Outside Counsel Billing Guidelines and treats the supplied staffing plan as the operative approved discovery plan, consistent with the task description. The copy provided, however, is styled as a proposed plan and its acknowledgment/signature lines appear blank. Confirm that Pinnacle’s written approval exists in the matter file; if not, the authorized roster and budget need separate confirmation. This caveat does not change the email record for Nina Barros: the only supplied client response says approval was still under review, not granted.</w:t>
      </w:r>
    </w:p>
    <w:p>
      <w:r>
        <w:rPr>
          <w:i w:val="0"/>
        </w:rPr>
        <w:t>The May status report credibly explains an unusually active month (an 85,000-document production, Dr. Liu’s deposition, and a motion to compel). That explains workload, but does not itself approve added timekeepers, more than two deposition billers, an over-budget spend, or expenses requiring pre-approval. No later written approvals were supplied.</w:t>
      </w:r>
    </w:p>
    <w:p>
      <w:pPr>
        <w:pStyle w:val="Heading1"/>
      </w:pPr>
      <w:r>
        <w:t>2. Staffing, rates, and budget</w:t>
      </w:r>
    </w:p>
    <w:p>
      <w:r>
        <w:rPr>
          <w:i w:val="0"/>
        </w:rPr>
        <w:t>The plan authorizes Hargrove, Cho, Pettersson, one junior associate at a time, and a contract reviewer through Redwood at $185/hour. The firm’s own invoice rate schedule is not a Pinnacle approval where it conflicts with the plan or Guidelines.</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2570"/>
        <w:gridCol w:w="2570"/>
        <w:gridCol w:w="2570"/>
        <w:gridCol w:w="2570"/>
      </w:tblGrid>
      <w:tr>
        <w:trPr>
          <w:tblHeader w:val="true"/>
        </w:trPr>
        <w:tc>
          <w:tcPr>
            <w:tcW w:type="dxa" w:w="1800"/>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TIMEKEEPER</w:t>
            </w:r>
          </w:p>
        </w:tc>
        <w:tc>
          <w:tcPr>
            <w:tcW w:type="dxa" w:w="2232"/>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PLAN / EXPECTATION</w:t>
            </w:r>
          </w:p>
        </w:tc>
        <w:tc>
          <w:tcPr>
            <w:tcW w:type="dxa" w:w="1944"/>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INVOICE ACTUAL</w:t>
            </w:r>
          </w:p>
        </w:tc>
        <w:tc>
          <w:tcPr>
            <w:tcW w:type="dxa" w:w="4752"/>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REVIEW</w:t>
            </w:r>
          </w:p>
        </w:tc>
      </w:tr>
      <w:tr>
        <w:trPr>
          <w:cantSplit/>
        </w:trPr>
        <w:tc>
          <w:tcPr>
            <w:tcW w:type="dxa" w:w="1800"/>
            <w:vAlign w:val="center"/>
            <w:tcMar>
              <w:top w:w="55" w:type="dxa"/>
              <w:start w:w="65" w:type="dxa"/>
              <w:bottom w:w="55" w:type="dxa"/>
              <w:end w:w="65" w:type="dxa"/>
            </w:tcMar>
          </w:tcPr>
          <w:p>
            <w:pPr>
              <w:spacing w:after="0" w:before="0" w:line="240" w:lineRule="auto"/>
            </w:pPr>
            <w:r/>
            <w:r>
              <w:rPr>
                <w:rFonts w:ascii="Aptos" w:hAnsi="Aptos"/>
                <w:b w:val="0"/>
                <w:color w:val="17212B"/>
                <w:sz w:val="15"/>
              </w:rPr>
              <w:t>David Hargrove</w:t>
            </w:r>
          </w:p>
        </w:tc>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Partner; 15–25 hrs/mo</w:t>
            </w:r>
          </w:p>
        </w:tc>
        <w:tc>
          <w:tcPr>
            <w:tcW w:type="dxa" w:w="1944"/>
            <w:vAlign w:val="center"/>
            <w:tcMar>
              <w:top w:w="55" w:type="dxa"/>
              <w:start w:w="65" w:type="dxa"/>
              <w:bottom w:w="55" w:type="dxa"/>
              <w:end w:w="65" w:type="dxa"/>
            </w:tcMar>
          </w:tcPr>
          <w:p>
            <w:pPr>
              <w:spacing w:after="0" w:before="0" w:line="240" w:lineRule="auto"/>
            </w:pPr>
            <w:r/>
            <w:r>
              <w:rPr>
                <w:rFonts w:ascii="Aptos" w:hAnsi="Aptos"/>
                <w:b w:val="0"/>
                <w:color w:val="17212B"/>
                <w:sz w:val="15"/>
              </w:rPr>
              <w:t>38.5 hrs; $37,922.50</w:t>
            </w:r>
          </w:p>
        </w:tc>
        <w:tc>
          <w:tcPr>
            <w:tcW w:type="dxa" w:w="4752"/>
            <w:vAlign w:val="center"/>
            <w:tcMar>
              <w:top w:w="55" w:type="dxa"/>
              <w:start w:w="65" w:type="dxa"/>
              <w:bottom w:w="55" w:type="dxa"/>
              <w:end w:w="65" w:type="dxa"/>
            </w:tcMar>
          </w:tcPr>
          <w:p>
            <w:pPr>
              <w:spacing w:after="0" w:before="0" w:line="240" w:lineRule="auto"/>
            </w:pPr>
            <w:r/>
            <w:r>
              <w:rPr>
                <w:rFonts w:ascii="Aptos" w:hAnsi="Aptos"/>
                <w:b w:val="0"/>
                <w:color w:val="17212B"/>
                <w:sz w:val="15"/>
              </w:rPr>
              <w:t>13.5 hrs above expected range; no automatic range haircut, but material variance and budget driver.</w:t>
            </w:r>
          </w:p>
        </w:tc>
      </w:tr>
      <w:tr>
        <w:trPr>
          <w:cantSplit/>
        </w:trPr>
        <w:tc>
          <w:tcPr>
            <w:tcW w:type="dxa" w:w="180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Karen Cho</w:t>
            </w:r>
          </w:p>
        </w:tc>
        <w:tc>
          <w:tcPr>
            <w:tcW w:type="dxa" w:w="22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Senior associate; 50–80</w:t>
            </w:r>
          </w:p>
        </w:tc>
        <w:tc>
          <w:tcPr>
            <w:tcW w:type="dxa" w:w="194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74.0 hrs; $46,250.00</w:t>
            </w:r>
          </w:p>
        </w:tc>
        <w:tc>
          <w:tcPr>
            <w:tcW w:type="dxa" w:w="475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Within range.</w:t>
            </w:r>
          </w:p>
        </w:tc>
      </w:tr>
      <w:tr>
        <w:trPr>
          <w:cantSplit/>
        </w:trPr>
        <w:tc>
          <w:tcPr>
            <w:tcW w:type="dxa" w:w="1800"/>
            <w:vAlign w:val="center"/>
            <w:tcMar>
              <w:top w:w="55" w:type="dxa"/>
              <w:start w:w="65" w:type="dxa"/>
              <w:bottom w:w="55" w:type="dxa"/>
              <w:end w:w="65" w:type="dxa"/>
            </w:tcMar>
          </w:tcPr>
          <w:p>
            <w:pPr>
              <w:spacing w:after="0" w:before="0" w:line="240" w:lineRule="auto"/>
            </w:pPr>
            <w:r/>
            <w:r>
              <w:rPr>
                <w:rFonts w:ascii="Aptos" w:hAnsi="Aptos"/>
                <w:b w:val="0"/>
                <w:color w:val="17212B"/>
                <w:sz w:val="15"/>
              </w:rPr>
              <w:t>James Pettersson</w:t>
            </w:r>
          </w:p>
        </w:tc>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Mid-level; 60–90</w:t>
            </w:r>
          </w:p>
        </w:tc>
        <w:tc>
          <w:tcPr>
            <w:tcW w:type="dxa" w:w="1944"/>
            <w:vAlign w:val="center"/>
            <w:tcMar>
              <w:top w:w="55" w:type="dxa"/>
              <w:start w:w="65" w:type="dxa"/>
              <w:bottom w:w="55" w:type="dxa"/>
              <w:end w:w="65" w:type="dxa"/>
            </w:tcMar>
          </w:tcPr>
          <w:p>
            <w:pPr>
              <w:spacing w:after="0" w:before="0" w:line="240" w:lineRule="auto"/>
            </w:pPr>
            <w:r/>
            <w:r>
              <w:rPr>
                <w:rFonts w:ascii="Aptos" w:hAnsi="Aptos"/>
                <w:b w:val="0"/>
                <w:color w:val="17212B"/>
                <w:sz w:val="15"/>
              </w:rPr>
              <w:t>82.5 hrs; $39,187.50</w:t>
            </w:r>
          </w:p>
        </w:tc>
        <w:tc>
          <w:tcPr>
            <w:tcW w:type="dxa" w:w="4752"/>
            <w:vAlign w:val="center"/>
            <w:tcMar>
              <w:top w:w="55" w:type="dxa"/>
              <w:start w:w="65" w:type="dxa"/>
              <w:bottom w:w="55" w:type="dxa"/>
              <w:end w:w="65" w:type="dxa"/>
            </w:tcMar>
          </w:tcPr>
          <w:p>
            <w:pPr>
              <w:spacing w:after="0" w:before="0" w:line="240" w:lineRule="auto"/>
            </w:pPr>
            <w:r/>
            <w:r>
              <w:rPr>
                <w:rFonts w:ascii="Aptos" w:hAnsi="Aptos"/>
                <w:b w:val="0"/>
                <w:color w:val="17212B"/>
                <w:sz w:val="15"/>
              </w:rPr>
              <w:t>Within range.</w:t>
            </w:r>
          </w:p>
        </w:tc>
      </w:tr>
      <w:tr>
        <w:trPr>
          <w:cantSplit/>
        </w:trPr>
        <w:tc>
          <w:tcPr>
            <w:tcW w:type="dxa" w:w="180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Tyler Webb</w:t>
            </w:r>
          </w:p>
        </w:tc>
        <w:tc>
          <w:tcPr>
            <w:tcW w:type="dxa" w:w="22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One junior; 20–40</w:t>
            </w:r>
          </w:p>
        </w:tc>
        <w:tc>
          <w:tcPr>
            <w:tcW w:type="dxa" w:w="194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35.0 hrs; $13,125.00</w:t>
            </w:r>
          </w:p>
        </w:tc>
        <w:tc>
          <w:tcPr>
            <w:tcW w:type="dxa" w:w="475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Within range; only junior on roster.</w:t>
            </w:r>
          </w:p>
        </w:tc>
      </w:tr>
      <w:tr>
        <w:trPr>
          <w:cantSplit/>
        </w:trPr>
        <w:tc>
          <w:tcPr>
            <w:tcW w:type="dxa" w:w="1800"/>
            <w:vAlign w:val="center"/>
            <w:tcMar>
              <w:top w:w="55" w:type="dxa"/>
              <w:start w:w="65" w:type="dxa"/>
              <w:bottom w:w="55" w:type="dxa"/>
              <w:end w:w="65" w:type="dxa"/>
            </w:tcMar>
          </w:tcPr>
          <w:p>
            <w:pPr>
              <w:spacing w:after="0" w:before="0" w:line="240" w:lineRule="auto"/>
            </w:pPr>
            <w:r/>
            <w:r>
              <w:rPr>
                <w:rFonts w:ascii="Aptos" w:hAnsi="Aptos"/>
                <w:b w:val="0"/>
                <w:color w:val="17212B"/>
                <w:sz w:val="15"/>
              </w:rPr>
              <w:t>Nina Barros</w:t>
            </w:r>
          </w:p>
        </w:tc>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Not on approved roster; request 40–50 hrs</w:t>
            </w:r>
          </w:p>
        </w:tc>
        <w:tc>
          <w:tcPr>
            <w:tcW w:type="dxa" w:w="1944"/>
            <w:vAlign w:val="center"/>
            <w:tcMar>
              <w:top w:w="55" w:type="dxa"/>
              <w:start w:w="65" w:type="dxa"/>
              <w:bottom w:w="55" w:type="dxa"/>
              <w:end w:w="65" w:type="dxa"/>
            </w:tcMar>
          </w:tcPr>
          <w:p>
            <w:pPr>
              <w:spacing w:after="0" w:before="0" w:line="240" w:lineRule="auto"/>
            </w:pPr>
            <w:r/>
            <w:r>
              <w:rPr>
                <w:rFonts w:ascii="Aptos" w:hAnsi="Aptos"/>
                <w:b w:val="0"/>
                <w:color w:val="17212B"/>
                <w:sz w:val="15"/>
              </w:rPr>
              <w:t>45.0 hrs; $21,375.00</w:t>
            </w:r>
          </w:p>
        </w:tc>
        <w:tc>
          <w:tcPr>
            <w:tcW w:type="dxa" w:w="4752"/>
            <w:vAlign w:val="center"/>
            <w:tcMar>
              <w:top w:w="55" w:type="dxa"/>
              <w:start w:w="65" w:type="dxa"/>
              <w:bottom w:w="55" w:type="dxa"/>
              <w:end w:w="65" w:type="dxa"/>
            </w:tcMar>
          </w:tcPr>
          <w:p>
            <w:pPr>
              <w:spacing w:after="0" w:before="0" w:line="240" w:lineRule="auto"/>
            </w:pPr>
            <w:r/>
            <w:r>
              <w:rPr>
                <w:rFonts w:ascii="Aptos" w:hAnsi="Aptos"/>
                <w:b w:val="0"/>
                <w:color w:val="17212B"/>
                <w:sz w:val="15"/>
              </w:rPr>
              <w:t>No written approval. April 28 request; May 1 reply expressly pending. Disallow all fees under §4.2.</w:t>
            </w:r>
          </w:p>
        </w:tc>
      </w:tr>
      <w:tr>
        <w:trPr>
          <w:cantSplit/>
        </w:trPr>
        <w:tc>
          <w:tcPr>
            <w:tcW w:type="dxa" w:w="180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Priya Sengupta</w:t>
            </w:r>
          </w:p>
        </w:tc>
        <w:tc>
          <w:tcPr>
            <w:tcW w:type="dxa" w:w="22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No approval; second junior</w:t>
            </w:r>
          </w:p>
        </w:tc>
        <w:tc>
          <w:tcPr>
            <w:tcW w:type="dxa" w:w="194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27.5 hrs; $10,312.50</w:t>
            </w:r>
          </w:p>
        </w:tc>
        <w:tc>
          <w:tcPr>
            <w:tcW w:type="dxa" w:w="475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No written staffing request/approval supplied; billed concurrently with Tyler. Disallow all fees under §4.2 and one-junior limit.</w:t>
            </w:r>
          </w:p>
        </w:tc>
      </w:tr>
      <w:tr>
        <w:trPr>
          <w:cantSplit/>
        </w:trPr>
        <w:tc>
          <w:tcPr>
            <w:tcW w:type="dxa" w:w="1800"/>
            <w:vAlign w:val="center"/>
            <w:tcMar>
              <w:top w:w="55" w:type="dxa"/>
              <w:start w:w="65" w:type="dxa"/>
              <w:bottom w:w="55" w:type="dxa"/>
              <w:end w:w="65" w:type="dxa"/>
            </w:tcMar>
          </w:tcPr>
          <w:p>
            <w:pPr>
              <w:spacing w:after="0" w:before="0" w:line="240" w:lineRule="auto"/>
            </w:pPr>
            <w:r/>
            <w:r>
              <w:rPr>
                <w:rFonts w:ascii="Aptos" w:hAnsi="Aptos"/>
                <w:b w:val="0"/>
                <w:color w:val="17212B"/>
                <w:sz w:val="15"/>
              </w:rPr>
              <w:t>Marcus Tate</w:t>
            </w:r>
          </w:p>
        </w:tc>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Contract reviewer; 80–150 hrs at $185</w:t>
            </w:r>
          </w:p>
        </w:tc>
        <w:tc>
          <w:tcPr>
            <w:tcW w:type="dxa" w:w="1944"/>
            <w:vAlign w:val="center"/>
            <w:tcMar>
              <w:top w:w="55" w:type="dxa"/>
              <w:start w:w="65" w:type="dxa"/>
              <w:bottom w:w="55" w:type="dxa"/>
              <w:end w:w="65" w:type="dxa"/>
            </w:tcMar>
          </w:tcPr>
          <w:p>
            <w:pPr>
              <w:spacing w:after="0" w:before="0" w:line="240" w:lineRule="auto"/>
            </w:pPr>
            <w:r/>
            <w:r>
              <w:rPr>
                <w:rFonts w:ascii="Aptos" w:hAnsi="Aptos"/>
                <w:b w:val="0"/>
                <w:color w:val="17212B"/>
                <w:sz w:val="15"/>
              </w:rPr>
              <w:t>120.0 hrs at $210; $25,200.00</w:t>
            </w:r>
          </w:p>
        </w:tc>
        <w:tc>
          <w:tcPr>
            <w:tcW w:type="dxa" w:w="4752"/>
            <w:vAlign w:val="center"/>
            <w:tcMar>
              <w:top w:w="55" w:type="dxa"/>
              <w:start w:w="65" w:type="dxa"/>
              <w:bottom w:w="55" w:type="dxa"/>
              <w:end w:w="65" w:type="dxa"/>
            </w:tcMar>
          </w:tcPr>
          <w:p>
            <w:pPr>
              <w:spacing w:after="0" w:before="0" w:line="240" w:lineRule="auto"/>
            </w:pPr>
            <w:r/>
            <w:r>
              <w:rPr>
                <w:rFonts w:ascii="Aptos" w:hAnsi="Aptos"/>
                <w:b w:val="0"/>
                <w:color w:val="17212B"/>
                <w:sz w:val="15"/>
              </w:rPr>
              <w:t>Hours within range; rate is not. Re-rate to $185 (approved pass-through): 120 × ($210−$185) = $3,000.00.</w:t>
            </w:r>
          </w:p>
        </w:tc>
      </w:tr>
    </w:tbl>
    <w:p>
      <w:pPr>
        <w:spacing w:after="0" w:before="0"/>
      </w:pPr>
    </w:p>
    <w:p>
      <w:r>
        <w:rPr>
          <w:i w:val="0"/>
        </w:rPr>
        <w:t>Section 4.2 requires written pre-approval before a new timekeeper starts. Barros’s April 28 request asked for 40–50 hours/month; Dominguez’s May 1 response said she would consult the General Counsel and get back to the firm. The supplied record has no affirmative response. The May status report’s statement that Barros’s work was “consistent with the request” is not written approval. Her 45 hours therefore produce a $21,375.00 reduction. Sengupta has no approval request at all. The plan authorizes only one junior associate at a time; the invoice shows Tyler and Priya billing on overlapping May dates. Sengupta’s $10,312.50 should be rejected in full absent written approval for a second junior or documented approved substitution.</w:t>
      </w:r>
    </w:p>
    <w:p>
      <w:r>
        <w:rPr>
          <w:i w:val="0"/>
        </w:rPr>
        <w:t>Rate: The contract-attorney cap is $200/hour, so the $210 invoice rate is automatically above the Guidelines cap by $1,200 (120 × $10). The staffing plan is more specific and sets the pass-through at $185/hour with no firm markup; applying that approved rate yields a total $3,000 reduction (120 × $25). If the firm produces a later, written rate amendment, re-evaluate only the portion above the newly approved rate, while never exceeding the $200 cap.</w:t>
      </w:r>
    </w:p>
    <w:p>
      <w:pPr>
        <w:pStyle w:val="Heading1"/>
      </w:pPr>
      <w:r>
        <w:t>3. Monthly budget and required reporting</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5141"/>
        <w:gridCol w:w="5141"/>
      </w:tblGrid>
      <w:tr>
        <w:trPr>
          <w:tblHeader w:val="true"/>
        </w:trPr>
        <w:tc>
          <w:tcPr>
            <w:tcW w:type="dxa" w:w="6696"/>
            <w:vAlign w:val="center"/>
            <w:tcMar>
              <w:top w:w="55" w:type="dxa"/>
              <w:start w:w="65" w:type="dxa"/>
              <w:bottom w:w="55" w:type="dxa"/>
              <w:end w:w="65" w:type="dxa"/>
            </w:tcMar>
            <w:shd w:fill="17365D"/>
          </w:tcPr>
          <w:p>
            <w:pPr>
              <w:spacing w:after="0" w:before="0" w:line="240" w:lineRule="auto"/>
            </w:pPr>
            <w:r/>
            <w:r>
              <w:rPr>
                <w:rFonts w:ascii="Aptos" w:hAnsi="Aptos"/>
                <w:b/>
                <w:color w:val="FFFFFF"/>
                <w:sz w:val="17"/>
              </w:rPr>
              <w:t>CALCULATION</w:t>
            </w:r>
          </w:p>
        </w:tc>
        <w:tc>
          <w:tcPr>
            <w:tcW w:type="dxa" w:w="4032"/>
            <w:vAlign w:val="center"/>
            <w:tcMar>
              <w:top w:w="55" w:type="dxa"/>
              <w:start w:w="65" w:type="dxa"/>
              <w:bottom w:w="55" w:type="dxa"/>
              <w:end w:w="65" w:type="dxa"/>
            </w:tcMar>
            <w:shd w:fill="17365D"/>
          </w:tcPr>
          <w:p>
            <w:pPr>
              <w:spacing w:after="0" w:before="0" w:line="240" w:lineRule="auto"/>
            </w:pPr>
            <w:r/>
            <w:r>
              <w:rPr>
                <w:rFonts w:ascii="Aptos" w:hAnsi="Aptos"/>
                <w:b/>
                <w:color w:val="FFFFFF"/>
                <w:sz w:val="17"/>
              </w:rPr>
              <w:t>AMOUNT</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Approved monthly high end</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$165,000.00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Maximum without pre-approval (115% × $165,000)</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$189,750.00</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May attorney/professional fees as invoiced</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$193,372.50</w:t>
            </w:r>
          </w:p>
        </w:tc>
      </w:tr>
      <w:tr>
        <w:trPr>
          <w:cantSplit/>
        </w:trPr>
        <w:tc>
          <w:tcPr>
            <w:tcW w:type="dxa" w:w="669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Excess over 115% ceiling</w:t>
            </w:r>
          </w:p>
        </w:tc>
        <w:tc>
          <w:tcPr>
            <w:tcW w:type="dxa" w:w="40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7"/>
              </w:rPr>
              <w:t>$3,622.50</w:t>
            </w:r>
          </w:p>
        </w:tc>
      </w:tr>
      <w:tr>
        <w:trPr>
          <w:cantSplit/>
        </w:trPr>
        <w:tc>
          <w:tcPr>
            <w:tcW w:type="dxa" w:w="6696"/>
            <w:vAlign w:val="center"/>
            <w:tcMar>
              <w:top w:w="55" w:type="dxa"/>
              <w:start w:w="65" w:type="dxa"/>
              <w:bottom w:w="55" w:type="dxa"/>
              <w:end w:w="65" w:type="dxa"/>
            </w:tcMar>
          </w:tcPr>
          <w:p>
            <w:pPr>
              <w:spacing w:after="0" w:before="0" w:line="240" w:lineRule="auto"/>
            </w:pPr>
            <w:r/>
            <w:r>
              <w:rPr>
                <w:rFonts w:ascii="Aptos" w:hAnsi="Aptos"/>
                <w:b w:val="0"/>
                <w:color w:val="17212B"/>
                <w:sz w:val="17"/>
              </w:rPr>
              <w:t>Variance over monthly midpoint ($130,000)</w:t>
            </w:r>
          </w:p>
        </w:tc>
        <w:tc>
          <w:tcPr>
            <w:tcW w:type="dxa" w:w="4032"/>
            <w:vAlign w:val="center"/>
            <w:tcMar>
              <w:top w:w="55" w:type="dxa"/>
              <w:start w:w="65" w:type="dxa"/>
              <w:bottom w:w="55" w:type="dxa"/>
              <w:end w:w="65" w:type="dxa"/>
            </w:tcMar>
          </w:tcPr>
          <w:p>
            <w:pPr>
              <w:spacing w:after="0" w:before="0" w:line="240" w:lineRule="auto"/>
            </w:pPr>
            <w:r/>
            <w:r>
              <w:rPr>
                <w:rFonts w:ascii="Aptos" w:hAnsi="Aptos"/>
                <w:b w:val="0"/>
                <w:color w:val="17212B"/>
                <w:sz w:val="17"/>
              </w:rPr>
              <w:t>$63,372.50 / 48.75%</w:t>
            </w:r>
          </w:p>
        </w:tc>
      </w:tr>
    </w:tbl>
    <w:p>
      <w:pPr>
        <w:spacing w:after="0" w:before="0"/>
      </w:pPr>
    </w:p>
    <w:p>
      <w:r>
        <w:rPr>
          <w:i w:val="0"/>
        </w:rPr>
        <w:t>No advance written overage approval appears in the staffing email or other materials. The status report explains extraordinary activity and says partner hours should moderate, but it is not the §7.3 advance request, does not quantify the projected fees/overage, and does not revise the budget. Apply the $3,622.50 gross-ceiling reduction as a separate conservative adjustment under §7.3, subject to the sequencing note above.</w:t>
      </w:r>
    </w:p>
    <w:p>
      <w:r>
        <w:rPr>
          <w:i w:val="0"/>
        </w:rPr>
        <w:t>The invoice does not supply the §7.2 budget-to-actual reconciliation: current monthly low/high, cumulative fees and expenses, phase-budget consumption, or the required explanation of the &gt;10% midpoint variance and impact on total phase budget. Require a corrected report and phase-to-date forecast. The absence is a reporting defect independent of the overage.</w:t>
      </w:r>
    </w:p>
    <w:p>
      <w:pPr>
        <w:pStyle w:val="Heading1"/>
      </w:pPr>
      <w:r>
        <w:t>4. Conference and deposition staffing</w:t>
      </w:r>
    </w:p>
    <w:p>
      <w:pPr>
        <w:pStyle w:val="Heading2"/>
      </w:pPr>
      <w:r>
        <w:t>May 8 internal strategy call — §4.3</w:t>
      </w:r>
    </w:p>
    <w:p>
      <w:r>
        <w:rPr>
          <w:i w:val="0"/>
        </w:rPr>
        <w:t>Entries 22–26 bill five timekeepers (Hargrove, Cho, Pettersson, Barros, and Webb) for the same internal strategy/deposition-preparation call. Even a substantive case-strategy session is capped at three billing timekeepers. Retain the three core matter leads (Hargrove, Cho, Pettersson) and remove Webb’s 2.5 hours: 2.5 × $375 = $937.50. Barros’s 2.5 hours ($1,187.50) is already included in the full §4.2 Barros write-off, so it is not counted again. The status report also names Sengupta as a call participant; entry 31 is dated May 9 and mixes call time with research, but all Sengupta fees are already disallowed for lack of approval. If the firm contends the attendee list or billing allocation differs, require contemporaneous records and the advance designation required by §4.3.</w:t>
      </w:r>
    </w:p>
    <w:p>
      <w:pPr>
        <w:pStyle w:val="Heading2"/>
      </w:pPr>
      <w:r>
        <w:t>May 19 Dr. Liu deposition — §4.3</w:t>
      </w:r>
    </w:p>
    <w:p>
      <w:r>
        <w:rPr>
          <w:i w:val="0"/>
        </w:rPr>
        <w:t>The status report says Hargrove, Cho, and Pettersson all attended the full deposition. Depositions are not “Court Appearances”; more than two billing attorneys requires advance approval. None is supplied. Entry 62 bills Pettersson 5.0 hours ($2,375.00) for attending and preparing a testimony summary. Disallow the entry as submitted because it combines prohibited third-attorney attendance with potentially compensable summary work and gives no time split. The firm may resubmit separately timed summary work, if substantiated and nonduplicative; do not apply an additional block-bill cut to entry 62 in this calculation because the current entry is removed in full.</w:t>
      </w:r>
    </w:p>
    <w:p>
      <w:pPr>
        <w:pStyle w:val="Heading1"/>
      </w:pPr>
      <w:r>
        <w:t>5. Task level and administrative time — §6.1</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3427"/>
        <w:gridCol w:w="3427"/>
        <w:gridCol w:w="3427"/>
      </w:tblGrid>
      <w:tr>
        <w:trPr>
          <w:tblHeader w:val="true"/>
        </w:trPr>
        <w:tc>
          <w:tcPr>
            <w:tcW w:type="dxa" w:w="2520"/>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ENTRY / ISSUE</w:t>
            </w:r>
          </w:p>
        </w:tc>
        <w:tc>
          <w:tcPr>
            <w:tcW w:type="dxa" w:w="5688"/>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TREATMENT</w:t>
            </w:r>
          </w:p>
        </w:tc>
        <w:tc>
          <w:tcPr>
            <w:tcW w:type="dxa" w:w="2520"/>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REDUCTION</w:t>
            </w:r>
          </w:p>
        </w:tc>
      </w:tr>
      <w:tr>
        <w:trPr>
          <w:cantSplit/>
        </w:trPr>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Entry 43 — Hargrove cite-checking</w:t>
            </w:r>
          </w:p>
        </w:tc>
        <w:tc>
          <w:tcPr>
            <w:tcW w:type="dxa" w:w="5688"/>
            <w:vAlign w:val="center"/>
            <w:tcMar>
              <w:top w:w="55" w:type="dxa"/>
              <w:start w:w="65" w:type="dxa"/>
              <w:bottom w:w="55" w:type="dxa"/>
              <w:end w:w="65" w:type="dxa"/>
            </w:tcMar>
          </w:tcPr>
          <w:p>
            <w:pPr>
              <w:spacing w:after="0" w:before="0" w:line="240" w:lineRule="auto"/>
            </w:pPr>
            <w:r/>
            <w:r>
              <w:rPr>
                <w:rFonts w:ascii="Aptos" w:hAnsi="Aptos"/>
                <w:b w:val="0"/>
                <w:color w:val="17212B"/>
                <w:sz w:val="15"/>
              </w:rPr>
              <w:t>2.0 hrs at $985; appropriate junior rate $375</w:t>
            </w:r>
          </w:p>
        </w:tc>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2 × ($985−$375) = $1,220.00</w:t>
            </w:r>
          </w:p>
        </w:tc>
      </w:tr>
      <w:tr>
        <w:trPr>
          <w:cantSplit/>
        </w:trPr>
        <w:tc>
          <w:tcPr>
            <w:tcW w:type="dxa" w:w="252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Entry 79 — Webb first-level document review</w:t>
            </w:r>
          </w:p>
        </w:tc>
        <w:tc>
          <w:tcPr>
            <w:tcW w:type="dxa" w:w="5688"/>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3.5 hrs at $375; routine relevance/privilege review at approved contract rate $185</w:t>
            </w:r>
          </w:p>
        </w:tc>
        <w:tc>
          <w:tcPr>
            <w:tcW w:type="dxa" w:w="252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3.5 × ($375−$185) = $665.00</w:t>
            </w:r>
          </w:p>
        </w:tc>
      </w:tr>
      <w:tr>
        <w:trPr>
          <w:cantSplit/>
        </w:trPr>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Entry 56 — Pettersson exhibit/binder preparation</w:t>
            </w:r>
          </w:p>
        </w:tc>
        <w:tc>
          <w:tcPr>
            <w:tcW w:type="dxa" w:w="5688"/>
            <w:vAlign w:val="center"/>
            <w:tcMar>
              <w:top w:w="55" w:type="dxa"/>
              <w:start w:w="65" w:type="dxa"/>
              <w:bottom w:w="55" w:type="dxa"/>
              <w:end w:w="65" w:type="dxa"/>
            </w:tcMar>
          </w:tcPr>
          <w:p>
            <w:pPr>
              <w:spacing w:after="0" w:before="0" w:line="240" w:lineRule="auto"/>
            </w:pPr>
            <w:r/>
            <w:r>
              <w:rPr>
                <w:rFonts w:ascii="Aptos" w:hAnsi="Aptos"/>
                <w:b w:val="0"/>
                <w:color w:val="17212B"/>
                <w:sz w:val="15"/>
              </w:rPr>
              <w:t>5.0 hrs at $475; routine exhibit/binder work at junior rate $375</w:t>
            </w:r>
          </w:p>
        </w:tc>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5 × ($475−$375) = $500.00</w:t>
            </w:r>
          </w:p>
        </w:tc>
      </w:tr>
      <w:tr>
        <w:trPr>
          <w:cantSplit/>
        </w:trPr>
        <w:tc>
          <w:tcPr>
            <w:tcW w:type="dxa" w:w="252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Entry 15 — deposition scheduling/logistics</w:t>
            </w:r>
          </w:p>
        </w:tc>
        <w:tc>
          <w:tcPr>
            <w:tcW w:type="dxa" w:w="5688"/>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1.5 hrs of scheduling, reporter coordination, and location confirmation; administrative overhead</w:t>
            </w:r>
          </w:p>
        </w:tc>
        <w:tc>
          <w:tcPr>
            <w:tcW w:type="dxa" w:w="252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1.5 × $475 = $712.50</w:t>
            </w:r>
          </w:p>
        </w:tc>
      </w:tr>
      <w:tr>
        <w:trPr>
          <w:cantSplit/>
        </w:trPr>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Entry 111 — invoice/billing administration</w:t>
            </w:r>
          </w:p>
        </w:tc>
        <w:tc>
          <w:tcPr>
            <w:tcW w:type="dxa" w:w="5688"/>
            <w:vAlign w:val="center"/>
            <w:tcMar>
              <w:top w:w="55" w:type="dxa"/>
              <w:start w:w="65" w:type="dxa"/>
              <w:bottom w:w="55" w:type="dxa"/>
              <w:end w:w="65" w:type="dxa"/>
            </w:tcMar>
          </w:tcPr>
          <w:p>
            <w:pPr>
              <w:spacing w:after="0" w:before="0" w:line="240" w:lineRule="auto"/>
            </w:pPr>
            <w:r/>
            <w:r>
              <w:rPr>
                <w:rFonts w:ascii="Aptos" w:hAnsi="Aptos"/>
                <w:b w:val="0"/>
                <w:color w:val="17212B"/>
                <w:sz w:val="15"/>
              </w:rPr>
              <w:t>1.5 hrs reviewing billing summary and preparing invoice cover memo; no discrete legal task/time split</w:t>
            </w:r>
          </w:p>
        </w:tc>
        <w:tc>
          <w:tcPr>
            <w:tcW w:type="dxa" w:w="2520"/>
            <w:vAlign w:val="center"/>
            <w:tcMar>
              <w:top w:w="55" w:type="dxa"/>
              <w:start w:w="65" w:type="dxa"/>
              <w:bottom w:w="55" w:type="dxa"/>
              <w:end w:w="65" w:type="dxa"/>
            </w:tcMar>
          </w:tcPr>
          <w:p>
            <w:pPr>
              <w:spacing w:after="0" w:before="0" w:line="240" w:lineRule="auto"/>
            </w:pPr>
            <w:r/>
            <w:r>
              <w:rPr>
                <w:rFonts w:ascii="Aptos" w:hAnsi="Aptos"/>
                <w:b w:val="0"/>
                <w:color w:val="17212B"/>
                <w:sz w:val="15"/>
              </w:rPr>
              <w:t>1.5 × $985 = $1,477.50</w:t>
            </w:r>
          </w:p>
        </w:tc>
      </w:tr>
    </w:tbl>
    <w:p>
      <w:pPr>
        <w:spacing w:after="0" w:before="0"/>
      </w:pPr>
    </w:p>
    <w:p>
      <w:r>
        <w:rPr>
          <w:i w:val="0"/>
        </w:rPr>
        <w:t>Task-level reductions total $4,575.00. The routine-work rule is not a rate-cap issue: it requires assigning routine document review, cite-checking, and exhibit-binder work to the lowest-cost capable timekeeper. For entry 56, the full five-hour narrative describes preparing exhibits, organizing them, and assembling a witness binder; re-rate at the junior rate unless a time split shows substantive exhibit selection deserving the mid-level rate. Entries 12, 34–35, 51, 77–78, 94, 113, and 114 also embed filing, service, scheduling, logistics, or billing tasks in mixed narratives. The 25% block-billing reductions below do not make those administrative components payable; request allocations and write off the administrative portion.</w:t>
      </w:r>
    </w:p>
    <w:p>
      <w:r>
        <w:rPr>
          <w:i w:val="0"/>
        </w:rPr>
        <w:t>Entry 9 (Hargrove’s review of selected production documents and client memorandum) is included in the block-billing schedule. The case report describes a targeted, strategic review to calibrate prioritization, not routine first-level coding, so this review does not apply an unsupported blanket partner-to-contract rate reduction. If the underlying work was ordinary relevance/privilege review, re-rate that time under §6.1 after the firm separates it from the substantive analysis/memo.</w:t>
      </w:r>
    </w:p>
    <w:p>
      <w:pPr>
        <w:pStyle w:val="Heading1"/>
      </w:pPr>
      <w:r>
        <w:t>6. Block billing — §5.4</w:t>
      </w:r>
    </w:p>
    <w:p>
      <w:r>
        <w:rPr>
          <w:i w:val="0"/>
        </w:rPr>
        <w:t>The Guidelines impose an automatic 25% reduction on each entry that combines separately describable tasks without allocating time. The table below identifies the 44 facially block-billed entries for otherwise approved timekeepers, excluding Barros/Sengupta entries already rejected in full and entry 62 removed in full under the deposition-staffing rule. Amounts are rounded to cents per entry. Total identified fees: $110,067.50; total block-billing reduction: $27,516.99. Firm may avoid this reduction by timely resubmission of separate entries with reasonable time allocations under §5.4.</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2056"/>
        <w:gridCol w:w="2056"/>
        <w:gridCol w:w="2056"/>
        <w:gridCol w:w="2056"/>
        <w:gridCol w:w="2056"/>
      </w:tblGrid>
      <w:tr>
        <w:trPr>
          <w:tblHeader w:val="true"/>
        </w:trPr>
        <w:tc>
          <w:tcPr>
            <w:tcW w:type="dxa" w:w="691"/>
            <w:vAlign w:val="center"/>
            <w:tcMar>
              <w:top w:w="55" w:type="dxa"/>
              <w:start w:w="65" w:type="dxa"/>
              <w:bottom w:w="55" w:type="dxa"/>
              <w:end w:w="65" w:type="dxa"/>
            </w:tcMar>
            <w:shd w:fill="17365D"/>
          </w:tcPr>
          <w:p>
            <w:pPr>
              <w:spacing w:after="0" w:before="0" w:line="240" w:lineRule="auto"/>
            </w:pPr>
            <w:r/>
            <w:r>
              <w:rPr>
                <w:rFonts w:ascii="Aptos" w:hAnsi="Aptos"/>
                <w:b/>
                <w:color w:val="FFFFFF"/>
                <w:sz w:val="14"/>
              </w:rPr>
              <w:t>ENTRY</w:t>
            </w:r>
          </w:p>
        </w:tc>
        <w:tc>
          <w:tcPr>
            <w:tcW w:type="dxa" w:w="1512"/>
            <w:vAlign w:val="center"/>
            <w:tcMar>
              <w:top w:w="55" w:type="dxa"/>
              <w:start w:w="65" w:type="dxa"/>
              <w:bottom w:w="55" w:type="dxa"/>
              <w:end w:w="65" w:type="dxa"/>
            </w:tcMar>
            <w:shd w:fill="17365D"/>
          </w:tcPr>
          <w:p>
            <w:pPr>
              <w:spacing w:after="0" w:before="0" w:line="240" w:lineRule="auto"/>
            </w:pPr>
            <w:r/>
            <w:r>
              <w:rPr>
                <w:rFonts w:ascii="Aptos" w:hAnsi="Aptos"/>
                <w:b/>
                <w:color w:val="FFFFFF"/>
                <w:sz w:val="14"/>
              </w:rPr>
              <w:t>TIMEKEEPER</w:t>
            </w:r>
          </w:p>
        </w:tc>
        <w:tc>
          <w:tcPr>
            <w:tcW w:type="dxa" w:w="5040"/>
            <w:vAlign w:val="center"/>
            <w:tcMar>
              <w:top w:w="55" w:type="dxa"/>
              <w:start w:w="65" w:type="dxa"/>
              <w:bottom w:w="55" w:type="dxa"/>
              <w:end w:w="65" w:type="dxa"/>
            </w:tcMar>
            <w:shd w:fill="17365D"/>
          </w:tcPr>
          <w:p>
            <w:pPr>
              <w:spacing w:after="0" w:before="0" w:line="240" w:lineRule="auto"/>
            </w:pPr>
            <w:r/>
            <w:r>
              <w:rPr>
                <w:rFonts w:ascii="Aptos" w:hAnsi="Aptos"/>
                <w:b/>
                <w:color w:val="FFFFFF"/>
                <w:sz w:val="14"/>
              </w:rPr>
              <w:t>SEPARATE TASKS COMBINED</w:t>
            </w:r>
          </w:p>
        </w:tc>
        <w:tc>
          <w:tcPr>
            <w:tcW w:type="dxa" w:w="1656"/>
            <w:vAlign w:val="center"/>
            <w:tcMar>
              <w:top w:w="55" w:type="dxa"/>
              <w:start w:w="65" w:type="dxa"/>
              <w:bottom w:w="55" w:type="dxa"/>
              <w:end w:w="65" w:type="dxa"/>
            </w:tcMar>
            <w:shd w:fill="17365D"/>
          </w:tcPr>
          <w:p>
            <w:pPr>
              <w:spacing w:after="0" w:before="0" w:line="240" w:lineRule="auto"/>
            </w:pPr>
            <w:r/>
            <w:r>
              <w:rPr>
                <w:rFonts w:ascii="Aptos" w:hAnsi="Aptos"/>
                <w:b/>
                <w:color w:val="FFFFFF"/>
                <w:sz w:val="14"/>
              </w:rPr>
              <w:t>BILLED FEE</w:t>
            </w:r>
          </w:p>
        </w:tc>
        <w:tc>
          <w:tcPr>
            <w:tcW w:type="dxa" w:w="1685"/>
            <w:vAlign w:val="center"/>
            <w:tcMar>
              <w:top w:w="55" w:type="dxa"/>
              <w:start w:w="65" w:type="dxa"/>
              <w:bottom w:w="55" w:type="dxa"/>
              <w:end w:w="65" w:type="dxa"/>
            </w:tcMar>
            <w:shd w:fill="17365D"/>
          </w:tcPr>
          <w:p>
            <w:pPr>
              <w:spacing w:after="0" w:before="0" w:line="240" w:lineRule="auto"/>
            </w:pPr>
            <w:r/>
            <w:r>
              <w:rPr>
                <w:rFonts w:ascii="Aptos" w:hAnsi="Aptos"/>
                <w:b/>
                <w:color w:val="FFFFFF"/>
                <w:sz w:val="14"/>
              </w:rPr>
              <w:t>25% CUT</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2</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Discovery responses + trade-secret preemption research</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$1,662.50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$415.63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3</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Review responses + client conference</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6</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Draft responses + client factual coordination</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$1,900.00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$475.00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7</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Review opponent responses + client call</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9</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Production review + client findings memo</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$4,432.50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$1,108.13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11</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Finalize responses + verification forms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$1,425.00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$356.25</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12</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Response review + service letter + deadline coordination</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16</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Privilege-log review + conference with Pettersson</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19</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Motion drafting + Rule 37 research</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$2,137.50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$534.38</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20</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Motion revision + privilege analysis + strategy conference</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29</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Motion drafting/research + supporting declaration</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$1,900.00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$475.00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30</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Motion review + facts statement + exhibit coordination</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32</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Motion review + conference + filing authorization</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$2,462.50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$615.63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34</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Brief + proposed order + clerk logistics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$1,662.50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$415.63</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35</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Final motion/exhibit review + filing/service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40</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Outline revision + partner conference + exhibits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46</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Outline review + witness confrontation strategy</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51</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Deposition outline + notice/subpoena + logistics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$1,900.00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$475.00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52</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Prep-material review + mock examination + exhibits</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57</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Exhibit-binder review + partner conference</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60</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Deposition attendance + client conference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$3,940.00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$985.00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61</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Deposition preparation/attendance + debrief/analysis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$4,062.50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$1,015.63</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68</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Supplemental responses + damages research</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$2,137.50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$534.38</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69</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Transcript analysis + memo + partner conference</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70</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Strategy-memo revision + expert/budget conference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$2,462.50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$615.63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72</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Opposition drafting + Rule 26(c) research</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$2,375.00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$593.75</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73</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Opposition revision + confidentiality analysis</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77</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Opposition + declaration/exhibits + filing coordination</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$1,900.00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$475.00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78</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Brief review + filing/service + court letter</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83</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Krenshaw outline + document review</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$2,137.50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$534.38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84</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Outline review + conference + exhibits</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$2,187.50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$546.88</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88</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Outline preparation + technical-background research</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$2,375.00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$593.75</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89</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Outline review + witness strategy + conference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92</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Client strategy session + expert plan + response review</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$5,910.00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$1,477.50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94</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Outline + exhibit list/binder + logistics</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$2,375.00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$593.75</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95</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Prep-material review + mock examination + strategy memo</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98</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Hargrove</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Expert-plan revision + conference + client correspondence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$3,447.50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$861.88</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100</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Summary-judgment outline + legal research</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$2,375.00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$593.75</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101</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Outline review + conference + evidentiary-gap analysis</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$2,812.50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$703.13</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107</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Summary-judgment outline + factual chronology</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$2,137.50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$534.38</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108</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Chronology review + conference + client timeline</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112</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Tate</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Final document review + completion report/statistics</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$1,050.00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$262.50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113</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t>Pettersson</w:t>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Case timeline + witness list + scheduling</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$1,900.00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$475.00</w:t>
            </w:r>
          </w:p>
        </w:tc>
      </w:tr>
      <w:tr>
        <w:trPr>
          <w:cantSplit/>
        </w:trPr>
        <w:tc>
          <w:tcPr>
            <w:tcW w:type="dxa" w:w="691"/>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114</w:t>
            </w:r>
          </w:p>
        </w:tc>
        <w:tc>
          <w:tcPr>
            <w:tcW w:type="dxa" w:w="15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Cho</w:t>
            </w:r>
          </w:p>
        </w:tc>
        <w:tc>
          <w:tcPr>
            <w:tcW w:type="dxa" w:w="50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Status report + billing summary + conference</w:t>
            </w:r>
          </w:p>
        </w:tc>
        <w:tc>
          <w:tcPr>
            <w:tcW w:type="dxa" w:w="1656"/>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$2,500.00</w:t>
            </w:r>
          </w:p>
        </w:tc>
        <w:tc>
          <w:tcPr>
            <w:tcW w:type="dxa" w:w="1685"/>
            <w:vAlign w:val="center"/>
            <w:tcMar>
              <w:top w:w="55" w:type="dxa"/>
              <w:start w:w="65" w:type="dxa"/>
              <w:bottom w:w="55" w:type="dxa"/>
              <w:end w:w="65" w:type="dxa"/>
            </w:tcMar>
            <w:shd w:fill="F4F7F9"/>
          </w:tcPr>
          <w:p>
            <w:pPr>
              <w:spacing w:after="0" w:before="0" w:line="240" w:lineRule="auto"/>
            </w:pPr>
            <w:r/>
            <w:r>
              <w:rPr>
                <w:rFonts w:ascii="Aptos" w:hAnsi="Aptos"/>
                <w:b w:val="0"/>
                <w:color w:val="17212B"/>
                <w:sz w:val="14"/>
              </w:rPr>
              <w:t>$625.00</w:t>
            </w:r>
          </w:p>
        </w:tc>
      </w:tr>
      <w:tr>
        <w:trPr>
          <w:cantSplit/>
        </w:trPr>
        <w:tc>
          <w:tcPr>
            <w:tcW w:type="dxa" w:w="691"/>
            <w:vAlign w:val="center"/>
            <w:tcMar>
              <w:top w:w="55" w:type="dxa"/>
              <w:start w:w="65" w:type="dxa"/>
              <w:bottom w:w="55" w:type="dxa"/>
              <w:end w:w="65" w:type="dxa"/>
            </w:tcMar>
          </w:tcPr>
          <w:p>
            <w:pPr>
              <w:spacing w:after="0" w:before="0" w:line="240" w:lineRule="auto"/>
            </w:pPr>
            <w:r/>
            <w:r>
              <w:rPr>
                <w:rFonts w:ascii="Aptos" w:hAnsi="Aptos"/>
                <w:b w:val="0"/>
                <w:color w:val="17212B"/>
                <w:sz w:val="14"/>
              </w:rPr>
              <w:t>TOTAL</w:t>
            </w:r>
          </w:p>
        </w:tc>
        <w:tc>
          <w:tcPr>
            <w:tcW w:type="dxa" w:w="1512"/>
            <w:vAlign w:val="center"/>
            <w:tcMar>
              <w:top w:w="55" w:type="dxa"/>
              <w:start w:w="65" w:type="dxa"/>
              <w:bottom w:w="55" w:type="dxa"/>
              <w:end w:w="65" w:type="dxa"/>
            </w:tcMar>
          </w:tcPr>
          <w:p>
            <w:pPr>
              <w:spacing w:after="0" w:before="0" w:line="240" w:lineRule="auto"/>
            </w:pPr>
            <w:r/>
            <w:r>
              <w:rPr>
                <w:rFonts w:ascii="Aptos" w:hAnsi="Aptos"/>
                <w:b w:val="0"/>
                <w:color w:val="17212B"/>
                <w:sz w:val="14"/>
              </w:rPr>
            </w:r>
          </w:p>
        </w:tc>
        <w:tc>
          <w:tcPr>
            <w:tcW w:type="dxa" w:w="5040"/>
            <w:vAlign w:val="center"/>
            <w:tcMar>
              <w:top w:w="55" w:type="dxa"/>
              <w:start w:w="65" w:type="dxa"/>
              <w:bottom w:w="55" w:type="dxa"/>
              <w:end w:w="65" w:type="dxa"/>
            </w:tcMar>
          </w:tcPr>
          <w:p>
            <w:pPr>
              <w:spacing w:after="0" w:before="0" w:line="240" w:lineRule="auto"/>
            </w:pPr>
            <w:r/>
            <w:r>
              <w:rPr>
                <w:rFonts w:ascii="Aptos" w:hAnsi="Aptos"/>
                <w:b w:val="0"/>
                <w:color w:val="17212B"/>
                <w:sz w:val="14"/>
              </w:rPr>
              <w:t>44 entries; 25% × $110,067.50</w:t>
            </w:r>
          </w:p>
        </w:tc>
        <w:tc>
          <w:tcPr>
            <w:tcW w:type="dxa" w:w="1656"/>
            <w:vAlign w:val="center"/>
            <w:tcMar>
              <w:top w:w="55" w:type="dxa"/>
              <w:start w:w="65" w:type="dxa"/>
              <w:bottom w:w="55" w:type="dxa"/>
              <w:end w:w="65" w:type="dxa"/>
            </w:tcMar>
          </w:tcPr>
          <w:p>
            <w:pPr>
              <w:spacing w:after="0" w:before="0" w:line="240" w:lineRule="auto"/>
            </w:pPr>
            <w:r/>
            <w:r>
              <w:rPr>
                <w:rFonts w:ascii="Aptos" w:hAnsi="Aptos"/>
                <w:b w:val="0"/>
                <w:color w:val="17212B"/>
                <w:sz w:val="14"/>
              </w:rPr>
              <w:t>$110,067.50</w:t>
            </w:r>
          </w:p>
        </w:tc>
        <w:tc>
          <w:tcPr>
            <w:tcW w:type="dxa" w:w="1685"/>
            <w:vAlign w:val="center"/>
            <w:tcMar>
              <w:top w:w="55" w:type="dxa"/>
              <w:start w:w="65" w:type="dxa"/>
              <w:bottom w:w="55" w:type="dxa"/>
              <w:end w:w="65" w:type="dxa"/>
            </w:tcMar>
          </w:tcPr>
          <w:p>
            <w:pPr>
              <w:spacing w:after="0" w:before="0" w:line="240" w:lineRule="auto"/>
            </w:pPr>
            <w:r/>
            <w:r>
              <w:rPr>
                <w:rFonts w:ascii="Aptos" w:hAnsi="Aptos"/>
                <w:b w:val="0"/>
                <w:color w:val="17212B"/>
                <w:sz w:val="14"/>
              </w:rPr>
              <w:t>$27,516.99</w:t>
            </w:r>
          </w:p>
        </w:tc>
      </w:tr>
    </w:tbl>
    <w:p>
      <w:pPr>
        <w:spacing w:after="0" w:before="0"/>
      </w:pPr>
    </w:p>
    <w:p>
      <w:r>
        <w:br w:type="page"/>
      </w:r>
    </w:p>
    <w:p>
      <w:pPr>
        <w:pStyle w:val="Heading1"/>
      </w:pPr>
      <w:r>
        <w:t>7. Expenses and invoice/reporting defects</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3427"/>
        <w:gridCol w:w="3427"/>
        <w:gridCol w:w="3427"/>
      </w:tblGrid>
      <w:tr>
        <w:trPr>
          <w:tblHeader w:val="true"/>
        </w:trPr>
        <w:tc>
          <w:tcPr>
            <w:tcW w:type="dxa" w:w="2232"/>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EXPENSE</w:t>
            </w:r>
          </w:p>
        </w:tc>
        <w:tc>
          <w:tcPr>
            <w:tcW w:type="dxa" w:w="1440"/>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AMOUNT ($)</w:t>
            </w:r>
          </w:p>
        </w:tc>
        <w:tc>
          <w:tcPr>
            <w:tcW w:type="dxa" w:w="6912"/>
            <w:vAlign w:val="center"/>
            <w:tcMar>
              <w:top w:w="55" w:type="dxa"/>
              <w:start w:w="65" w:type="dxa"/>
              <w:bottom w:w="55" w:type="dxa"/>
              <w:end w:w="65" w:type="dxa"/>
            </w:tcMar>
            <w:shd w:fill="0F6B78"/>
          </w:tcPr>
          <w:p>
            <w:pPr>
              <w:spacing w:after="0" w:before="0" w:line="240" w:lineRule="auto"/>
            </w:pPr>
            <w:r/>
            <w:r>
              <w:rPr>
                <w:rFonts w:ascii="Aptos" w:hAnsi="Aptos"/>
                <w:b/>
                <w:color w:val="FFFFFF"/>
                <w:sz w:val="15"/>
              </w:rPr>
              <w:t>REVIEW / REQUIRED SUPPORT</w:t>
            </w:r>
          </w:p>
        </w:tc>
      </w:tr>
      <w:tr>
        <w:trPr>
          <w:cantSplit/>
        </w:trPr>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Court reporting — Grayson</w:t>
            </w:r>
          </w:p>
        </w:tc>
        <w:tc>
          <w:tcPr>
            <w:tcW w:type="dxa" w:w="1440"/>
            <w:vAlign w:val="center"/>
            <w:tcMar>
              <w:top w:w="55" w:type="dxa"/>
              <w:start w:w="65" w:type="dxa"/>
              <w:bottom w:w="55" w:type="dxa"/>
              <w:end w:w="65" w:type="dxa"/>
            </w:tcMar>
          </w:tcPr>
          <w:p>
            <w:pPr>
              <w:spacing w:after="0" w:before="0" w:line="240" w:lineRule="auto"/>
            </w:pPr>
            <w:r/>
            <w:r>
              <w:rPr>
                <w:rFonts w:ascii="Aptos" w:hAnsi="Aptos"/>
                <w:b w:val="0"/>
                <w:color w:val="17212B"/>
                <w:sz w:val="15"/>
              </w:rPr>
              <w:t>3,200.00</w:t>
            </w:r>
          </w:p>
        </w:tc>
        <w:tc>
          <w:tcPr>
            <w:tcW w:type="dxa" w:w="6912"/>
            <w:vAlign w:val="center"/>
            <w:tcMar>
              <w:top w:w="55" w:type="dxa"/>
              <w:start w:w="65" w:type="dxa"/>
              <w:bottom w:w="55" w:type="dxa"/>
              <w:end w:w="65" w:type="dxa"/>
            </w:tcMar>
          </w:tcPr>
          <w:p>
            <w:pPr>
              <w:spacing w:after="0" w:before="0" w:line="240" w:lineRule="auto"/>
            </w:pPr>
            <w:r/>
            <w:r>
              <w:rPr>
                <w:rFonts w:ascii="Aptos" w:hAnsi="Aptos"/>
                <w:b w:val="0"/>
                <w:color w:val="17212B"/>
                <w:sz w:val="15"/>
              </w:rPr>
              <w:t>Approved vendor; original + one copy generally allowable. Require vendor invoice and standard-rate support; identify/justify expedited-delivery premium.</w:t>
            </w:r>
          </w:p>
        </w:tc>
      </w:tr>
      <w:tr>
        <w:trPr>
          <w:cantSplit/>
        </w:trPr>
        <w:tc>
          <w:tcPr>
            <w:tcW w:type="dxa" w:w="22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Travel — Hargrove/Cho</w:t>
            </w:r>
          </w:p>
        </w:tc>
        <w:tc>
          <w:tcPr>
            <w:tcW w:type="dxa" w:w="14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2,100.00</w:t>
            </w:r>
          </w:p>
        </w:tc>
        <w:tc>
          <w:tcPr>
            <w:tcW w:type="dxa" w:w="69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Aggregate exceeds $1,000 pre-approval threshold; deposition was at firm’s Atlanta office. Require written approval and itemized receipts. Disallow meal portion absent qualifying out-of-town travel or work after 8 p.m.; local travel time is nonbillable (no travel time identified here).</w:t>
            </w:r>
          </w:p>
        </w:tc>
      </w:tr>
      <w:tr>
        <w:trPr>
          <w:cantSplit/>
        </w:trPr>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E-discovery hosting — Tripoint</w:t>
            </w:r>
          </w:p>
        </w:tc>
        <w:tc>
          <w:tcPr>
            <w:tcW w:type="dxa" w:w="1440"/>
            <w:vAlign w:val="center"/>
            <w:tcMar>
              <w:top w:w="55" w:type="dxa"/>
              <w:start w:w="65" w:type="dxa"/>
              <w:bottom w:w="55" w:type="dxa"/>
              <w:end w:w="65" w:type="dxa"/>
            </w:tcMar>
          </w:tcPr>
          <w:p>
            <w:pPr>
              <w:spacing w:after="0" w:before="0" w:line="240" w:lineRule="auto"/>
            </w:pPr>
            <w:r/>
            <w:r>
              <w:rPr>
                <w:rFonts w:ascii="Aptos" w:hAnsi="Aptos"/>
                <w:b w:val="0"/>
                <w:color w:val="17212B"/>
                <w:sz w:val="15"/>
              </w:rPr>
              <w:t>2,650.00</w:t>
            </w:r>
          </w:p>
        </w:tc>
        <w:tc>
          <w:tcPr>
            <w:tcW w:type="dxa" w:w="6912"/>
            <w:vAlign w:val="center"/>
            <w:tcMar>
              <w:top w:w="55" w:type="dxa"/>
              <w:start w:w="65" w:type="dxa"/>
              <w:bottom w:w="55" w:type="dxa"/>
              <w:end w:w="65" w:type="dxa"/>
            </w:tcMar>
          </w:tcPr>
          <w:p>
            <w:pPr>
              <w:spacing w:after="0" w:before="0" w:line="240" w:lineRule="auto"/>
            </w:pPr>
            <w:r/>
            <w:r>
              <w:rPr>
                <w:rFonts w:ascii="Aptos" w:hAnsi="Aptos"/>
                <w:b w:val="0"/>
                <w:color w:val="17212B"/>
                <w:sz w:val="15"/>
              </w:rPr>
              <w:t>Approved vendor, but §8.1 makes e-discovery vendor costs subject to pre-approval and actual-cost support. Require prior written approval and vendor invoice.</w:t>
            </w:r>
          </w:p>
        </w:tc>
      </w:tr>
      <w:tr>
        <w:trPr>
          <w:cantSplit/>
        </w:trPr>
        <w:tc>
          <w:tcPr>
            <w:tcW w:type="dxa" w:w="223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Courier/delivery — Various</w:t>
            </w:r>
          </w:p>
        </w:tc>
        <w:tc>
          <w:tcPr>
            <w:tcW w:type="dxa" w:w="1440"/>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500.00</w:t>
            </w:r>
          </w:p>
        </w:tc>
        <w:tc>
          <w:tcPr>
            <w:tcW w:type="dxa" w:w="6912"/>
            <w:vAlign w:val="center"/>
            <w:tcMar>
              <w:top w:w="55" w:type="dxa"/>
              <w:start w:w="65" w:type="dxa"/>
              <w:bottom w:w="55" w:type="dxa"/>
              <w:end w:w="65" w:type="dxa"/>
            </w:tcMar>
            <w:shd w:fill="F4F7F9"/>
          </w:tcPr>
          <w:p>
            <w:pPr>
              <w:spacing w:after="0" w:before="0" w:line="240" w:lineRule="auto"/>
            </w:pPr>
            <w:r/>
            <w:r>
              <w:rPr>
                <w:rFonts w:ascii="Aptos" w:hAnsi="Aptos"/>
                <w:b w:val="0"/>
                <w:color w:val="17212B"/>
                <w:sz w:val="15"/>
              </w:rPr>
              <w:t>Potentially allowable for time-sensitive delivery; require actual vendor receipt/invoice and confirm no firm markup.</w:t>
            </w:r>
          </w:p>
        </w:tc>
      </w:tr>
      <w:tr>
        <w:trPr>
          <w:cantSplit/>
        </w:trPr>
        <w:tc>
          <w:tcPr>
            <w:tcW w:type="dxa" w:w="2232"/>
            <w:vAlign w:val="center"/>
            <w:tcMar>
              <w:top w:w="55" w:type="dxa"/>
              <w:start w:w="65" w:type="dxa"/>
              <w:bottom w:w="55" w:type="dxa"/>
              <w:end w:w="65" w:type="dxa"/>
            </w:tcMar>
          </w:tcPr>
          <w:p>
            <w:pPr>
              <w:spacing w:after="0" w:before="0" w:line="240" w:lineRule="auto"/>
            </w:pPr>
            <w:r/>
            <w:r>
              <w:rPr>
                <w:rFonts w:ascii="Aptos" w:hAnsi="Aptos"/>
                <w:b w:val="0"/>
                <w:color w:val="17212B"/>
                <w:sz w:val="15"/>
              </w:rPr>
              <w:t>TOTAL EXPENSES</w:t>
            </w:r>
          </w:p>
        </w:tc>
        <w:tc>
          <w:tcPr>
            <w:tcW w:type="dxa" w:w="1440"/>
            <w:vAlign w:val="center"/>
            <w:tcMar>
              <w:top w:w="55" w:type="dxa"/>
              <w:start w:w="65" w:type="dxa"/>
              <w:bottom w:w="55" w:type="dxa"/>
              <w:end w:w="65" w:type="dxa"/>
            </w:tcMar>
          </w:tcPr>
          <w:p>
            <w:pPr>
              <w:spacing w:after="0" w:before="0" w:line="240" w:lineRule="auto"/>
            </w:pPr>
            <w:r/>
            <w:r>
              <w:rPr>
                <w:rFonts w:ascii="Aptos" w:hAnsi="Aptos"/>
                <w:b w:val="0"/>
                <w:color w:val="17212B"/>
                <w:sz w:val="15"/>
              </w:rPr>
              <w:t>8,450.00</w:t>
            </w:r>
          </w:p>
        </w:tc>
        <w:tc>
          <w:tcPr>
            <w:tcW w:type="dxa" w:w="6912"/>
            <w:vAlign w:val="center"/>
            <w:tcMar>
              <w:top w:w="55" w:type="dxa"/>
              <w:start w:w="65" w:type="dxa"/>
              <w:bottom w:w="55" w:type="dxa"/>
              <w:end w:w="65" w:type="dxa"/>
            </w:tcMar>
          </w:tcPr>
          <w:p>
            <w:pPr>
              <w:spacing w:after="0" w:before="0" w:line="240" w:lineRule="auto"/>
            </w:pPr>
            <w:r/>
            <w:r>
              <w:rPr>
                <w:rFonts w:ascii="Aptos" w:hAnsi="Aptos"/>
                <w:b w:val="0"/>
                <w:color w:val="17212B"/>
                <w:sz w:val="15"/>
              </w:rPr>
              <w:t>Hold all pending source documentation; travel/hosting/courier are specifically at risk absent approvals/support.</w:t>
            </w:r>
          </w:p>
        </w:tc>
      </w:tr>
    </w:tbl>
    <w:p>
      <w:pPr>
        <w:spacing w:after="0" w:before="0"/>
      </w:pPr>
    </w:p>
    <w:p>
      <w:r>
        <w:rPr>
          <w:i w:val="0"/>
        </w:rPr>
        <w:t>The materials do not substantiate any expense with a receipt/vendor invoice, as §8.1 requires. The travel line also includes meals, which are non-reimbursable except during approved out-of-town travel or qualifying work sessions extending past 8 p.m.; neither is shown. Do not treat the local-travel rule as automatically disallowing all mileage/parking expense, but enforce the aggregate pre-approval threshold and support requirement. On present documentation, hold the full $8,450; reduce the disallowed meal component and any unapproved/unsubstantiated charges once itemized.</w:t>
      </w:r>
    </w:p>
    <w:p>
      <w:pPr>
        <w:pStyle w:val="Heading1"/>
      </w:pPr>
      <w:r>
        <w:t>8. Additional compliance points</w:t>
      </w:r>
    </w:p>
    <w:p>
      <w:pPr>
        <w:pStyle w:val="ListBullet"/>
        <w:spacing w:after="40"/>
        <w:ind w:left="317" w:hanging="173"/>
      </w:pPr>
      <w:r>
        <w:t>The June 5 invoice is timely for a May billing period (guideline deadline: June 15).</w:t>
      </w:r>
    </w:p>
    <w:p>
      <w:pPr>
        <w:pStyle w:val="ListBullet"/>
        <w:spacing w:after="40"/>
        <w:ind w:left="317" w:hanging="173"/>
      </w:pPr>
      <w:r>
        <w:t>The invoice lists the litigation case number but no Pinnacle matter number; add the Company matter number required by §9.1(a).</w:t>
      </w:r>
    </w:p>
    <w:p>
      <w:pPr>
        <w:pStyle w:val="ListBullet"/>
        <w:spacing w:after="40"/>
        <w:ind w:left="317" w:hanging="173"/>
      </w:pPr>
      <w:r>
        <w:t>Invoice terms state net 30 (due July 5), while §9.3 provides review/payment processing within 45 days of receipt absent a controlling engagement-letter modification. Confirm the governing term and correct the invoice; this is not a fee reduction.</w:t>
      </w:r>
    </w:p>
    <w:p>
      <w:pPr>
        <w:pStyle w:val="ListBullet"/>
        <w:spacing w:after="40"/>
        <w:ind w:left="317" w:hanging="173"/>
      </w:pPr>
      <w:r>
        <w:t>All displayed time entries are whole- or half-hour values. The Guidelines require timekeeping increments no greater than 0.1 hour. The displayed numbers alone do not prove how the underlying time was rounded; request contemporaneous tenths-based records and correct any entries rounded to larger increments. No separate mechanical adjustment is calculated without those records.</w:t>
      </w:r>
    </w:p>
    <w:p>
      <w:pPr>
        <w:pStyle w:val="ListBullet"/>
        <w:spacing w:after="40"/>
        <w:ind w:left="317" w:hanging="173"/>
      </w:pPr>
      <w:r>
        <w:t>Resubmission of split block-billed entries is permitted within 15 days after notice under §5.4. Request the corrected detail and contemporaneous time records promptly.</w:t>
      </w:r>
    </w:p>
    <w:p>
      <w:r>
        <w:br w:type="page"/>
      </w:r>
    </w:p>
    <w:p>
      <w:pPr>
        <w:pStyle w:val="Heading1"/>
      </w:pPr>
      <w:r>
        <w:t>9. Reduction calculation and payment position</w:t>
      </w:r>
    </w:p>
    <w:tbl>
      <w:tblPr>
        <w:tblW w:type="auto" w:w="0"/>
        <w:jc w:val="center"/>
        <w:tblLayout w:type="fixed"/>
        <w:tblLook w:firstColumn="1" w:firstRow="1" w:lastColumn="0" w:lastRow="0" w:noHBand="0" w:noVBand="1" w:val="04A0"/>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Pr>
      <w:tblGrid>
        <w:gridCol w:w="5141"/>
        <w:gridCol w:w="5141"/>
      </w:tblGrid>
      <w:tr>
        <w:trPr>
          <w:tblHeader w:val="true"/>
        </w:trPr>
        <w:tc>
          <w:tcPr>
            <w:tcW w:type="dxa" w:w="7704"/>
            <w:vAlign w:val="center"/>
            <w:tcMar>
              <w:top w:w="55" w:type="dxa"/>
              <w:start w:w="65" w:type="dxa"/>
              <w:bottom w:w="55" w:type="dxa"/>
              <w:end w:w="65" w:type="dxa"/>
            </w:tcMar>
            <w:shd w:fill="17365D"/>
          </w:tcPr>
          <w:p>
            <w:pPr>
              <w:spacing w:after="0" w:before="0" w:line="240" w:lineRule="auto"/>
            </w:pPr>
            <w:r/>
            <w:r>
              <w:rPr>
                <w:rFonts w:ascii="Aptos" w:hAnsi="Aptos"/>
                <w:b/>
                <w:color w:val="FFFFFF"/>
                <w:sz w:val="16"/>
              </w:rPr>
              <w:t>ITEM</w:t>
            </w:r>
          </w:p>
        </w:tc>
        <w:tc>
          <w:tcPr>
            <w:tcW w:type="dxa" w:w="3024"/>
            <w:vAlign w:val="center"/>
            <w:tcMar>
              <w:top w:w="55" w:type="dxa"/>
              <w:start w:w="65" w:type="dxa"/>
              <w:bottom w:w="55" w:type="dxa"/>
              <w:end w:w="65" w:type="dxa"/>
            </w:tcMar>
            <w:shd w:fill="17365D"/>
          </w:tcPr>
          <w:p>
            <w:pPr>
              <w:spacing w:after="0" w:before="0" w:line="240" w:lineRule="auto"/>
            </w:pPr>
            <w:r/>
            <w:r>
              <w:rPr>
                <w:rFonts w:ascii="Aptos" w:hAnsi="Aptos"/>
                <w:b/>
                <w:color w:val="FFFFFF"/>
                <w:sz w:val="16"/>
              </w:rPr>
              <w:t>AMOUNT</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Unapproved Nina Barros (45.0 × $475)</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($21,375.00)</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Unapproved/concurrent junior Priya Sengupta (27.5 × $375)</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($10,312.50)</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Marcus Tate rate correction (120 × [$210−$185])</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($3,000.00)</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May 8 strategy call — Webb excess attendee (2.5 × $375)</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($937.50)</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Liu deposition — Pettersson third attendee, entry 62 (5.0 × $475)</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($2,375.00)</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Block-billing automatic reduction — 44 entries</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($27,516.99)</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Task-level/admin reductions — §6.1</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($4,575.00)</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TOTAL SPECIFIC FEE REDUCTIONS</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($70,091.99)</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Fees after specific reductions</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$123,280.51</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§7.3 gross-ceiling exposure: $193,372.50 − $189,750.00</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($3,622.50)</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Conservative cumulative fee amount</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$119,658.01</w:t>
            </w:r>
          </w:p>
        </w:tc>
      </w:tr>
      <w:tr>
        <w:trPr>
          <w:cantSplit/>
        </w:trPr>
        <w:tc>
          <w:tcPr>
            <w:tcW w:type="dxa" w:w="770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Expenses, held pending support</w:t>
            </w:r>
          </w:p>
        </w:tc>
        <w:tc>
          <w:tcPr>
            <w:tcW w:type="dxa" w:w="3024"/>
            <w:vAlign w:val="center"/>
            <w:tcMar>
              <w:top w:w="55" w:type="dxa"/>
              <w:start w:w="65" w:type="dxa"/>
              <w:bottom w:w="55" w:type="dxa"/>
              <w:end w:w="65" w:type="dxa"/>
            </w:tcMar>
            <w:shd w:fill="F4F7F9"/>
          </w:tcPr>
          <w:p>
            <w:pPr>
              <w:spacing w:after="0" w:before="0" w:line="240" w:lineRule="auto"/>
            </w:pPr>
            <w:r/>
            <w:r>
              <w:rPr>
                <w:rFonts w:ascii="Aptos" w:hAnsi="Aptos"/>
                <w:b w:val="0"/>
                <w:color w:val="17212B"/>
                <w:sz w:val="16"/>
              </w:rPr>
              <w:t>Up to $8,450.00</w:t>
            </w:r>
          </w:p>
        </w:tc>
      </w:tr>
      <w:tr>
        <w:trPr>
          <w:cantSplit/>
        </w:trPr>
        <w:tc>
          <w:tcPr>
            <w:tcW w:type="dxa" w:w="7704"/>
            <w:vAlign w:val="center"/>
            <w:tcMar>
              <w:top w:w="55" w:type="dxa"/>
              <w:start w:w="65" w:type="dxa"/>
              <w:bottom w:w="55" w:type="dxa"/>
              <w:end w:w="65" w:type="dxa"/>
            </w:tcMar>
          </w:tcPr>
          <w:p>
            <w:pPr>
              <w:spacing w:after="0" w:before="0" w:line="240" w:lineRule="auto"/>
            </w:pPr>
            <w:r/>
            <w:r>
              <w:rPr>
                <w:rFonts w:ascii="Aptos" w:hAnsi="Aptos"/>
                <w:b w:val="0"/>
                <w:color w:val="17212B"/>
                <w:sz w:val="16"/>
              </w:rPr>
              <w:t>Potential payment if all expenses are supported and allowed</w:t>
            </w:r>
          </w:p>
        </w:tc>
        <w:tc>
          <w:tcPr>
            <w:tcW w:type="dxa" w:w="3024"/>
            <w:vAlign w:val="center"/>
            <w:tcMar>
              <w:top w:w="55" w:type="dxa"/>
              <w:start w:w="65" w:type="dxa"/>
              <w:bottom w:w="55" w:type="dxa"/>
              <w:end w:w="65" w:type="dxa"/>
            </w:tcMar>
          </w:tcPr>
          <w:p>
            <w:pPr>
              <w:spacing w:after="0" w:before="0" w:line="240" w:lineRule="auto"/>
            </w:pPr>
            <w:r/>
            <w:r>
              <w:rPr>
                <w:rFonts w:ascii="Aptos" w:hAnsi="Aptos"/>
                <w:b w:val="0"/>
                <w:color w:val="17212B"/>
                <w:sz w:val="16"/>
              </w:rPr>
              <w:t>$128,108.01</w:t>
            </w:r>
          </w:p>
        </w:tc>
      </w:tr>
    </w:tbl>
    <w:p>
      <w:pPr>
        <w:spacing w:after="0" w:before="0"/>
      </w:pPr>
    </w:p>
    <w:p>
      <w:r>
        <w:rPr>
          <w:i w:val="0"/>
        </w:rPr>
        <w:t>The $4,575.00 task-level/admin subtotal is $1,220.00 (Hargrove cite-checking) + $665.00 (Webb first-level document review) + $500.00 (Pettersson binder work) + $712.50 (Pettersson scheduling/logistics) + $1,477.50 (Hargrove invoice/billing preparation). The specific fee reductions are cumulative but no fee line is counted twice: the Barros/Sengupta fees are fully rejected rather than also charged a 25% block cut; entry 62 is removed under §4.3 rather than also charged a 25% cut.</w:t>
      </w:r>
    </w:p>
    <w:p>
      <w:r>
        <w:rPr>
          <w:b/>
        </w:rPr>
        <w:t>Recommended next step:</w:t>
      </w:r>
      <w:r>
        <w:t xml:space="preserve"> withhold approval of the invoice as submitted; request a revised invoice and support package addressing the staffing/rate cuts, meeting/deposition attendance, block billing, task-level rates, expense documentation/approvals, and missing §7.2 report. The conservative fee amount is $119,658.01 if Pinnacle applies the gross-budget exposure cumulatively; add only expenses that are documented and approved. Without the cumulative budget adjustment, item-specific corrected fees are $123,280.51.</w:t>
      </w:r>
    </w:p>
    <w:p>
      <w:pPr>
        <w:pStyle w:val="Heading1"/>
      </w:pPr>
      <w:r>
        <w:t>Source documents reviewed</w:t>
      </w:r>
    </w:p>
    <w:p>
      <w:pPr>
        <w:pStyle w:val="ListBullet"/>
        <w:spacing w:after="40"/>
        <w:ind w:left="317" w:hanging="173"/>
      </w:pPr>
      <w:r>
        <w:t>HL May 2025 Invoice workbook HL-2025-05-PIN (Summary, Time Detail, Expense Detail, Rate Schedule).</w:t>
      </w:r>
    </w:p>
    <w:p>
      <w:pPr>
        <w:pStyle w:val="ListBullet"/>
        <w:spacing w:after="40"/>
        <w:ind w:left="317" w:hanging="173"/>
      </w:pPr>
      <w:r>
        <w:t>Discovery-Phase Staffing Plan dated February 10, 2025 (provided as approved staffing plan; acknowledgment signature block in supplied copy appears blank).</w:t>
      </w:r>
    </w:p>
    <w:p>
      <w:pPr>
        <w:pStyle w:val="ListBullet"/>
        <w:spacing w:after="40"/>
        <w:ind w:left="317" w:hanging="173"/>
      </w:pPr>
      <w:r>
        <w:t>Pinnacle Outside Counsel Billing Guidelines, effective January 1, 2023.</w:t>
      </w:r>
    </w:p>
    <w:p>
      <w:pPr>
        <w:pStyle w:val="ListBullet"/>
        <w:spacing w:after="40"/>
        <w:ind w:left="317" w:hanging="173"/>
      </w:pPr>
      <w:r>
        <w:t>April 28–May 1, 2025 staffing email chain between Karen Cho and Rachel Dominguez.</w:t>
      </w:r>
    </w:p>
    <w:p>
      <w:pPr>
        <w:pStyle w:val="ListBullet"/>
        <w:spacing w:after="40"/>
        <w:ind w:left="317" w:hanging="173"/>
      </w:pPr>
      <w:r>
        <w:t>May 2025 case-status summary dated June 1, 2025.</w:t>
      </w:r>
    </w:p>
    <w:sectPr w:rsidR="00FC693F" w:rsidRPr="0006063C" w:rsidSect="00034616">
      <w:headerReference w:type="default" r:id="rId9"/>
      <w:footerReference w:type="default" r:id="rId10"/>
      <w:pgSz w:w="12240" w:h="15840"/>
      <w:pgMar w:top="893" w:right="979" w:bottom="893"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Pinnacle v. MedCore  •  HL-2025-05-PIN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CONFIDENTIAL  |  INTERNAL BILLING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Review Memorandum — HL-2025-05-PIN</dc:title>
  <dc:subject>May 2025 litigation invoice review against staffing plan and billing guidelines</dc:subject>
  <dc:creator>Pinnacle Health Systems — Invoice Review</dc:creator>
  <cp:keywords>invoice review, litigation billing, Pinnacle, MedCore</cp:keywords>
  <dc:description>generated by python-docx</dc:description>
  <cp:lastModifiedBy/>
  <cp:revision>1</cp:revision>
  <dcterms:created xsi:type="dcterms:W3CDTF">2013-12-23T23:15:00Z</dcterms:created>
  <dcterms:modified xsi:type="dcterms:W3CDTF">2013-12-23T23:15:00Z</dcterms:modified>
  <cp:category/>
</cp:coreProperties>
</file>