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jc w:val="center"/>
      </w:pPr>
      <w:r>
        <w:rPr>
          <w:rFonts w:ascii="Arial" w:hAnsi="Arial" w:eastAsia="Arial"/>
          <w:b/>
          <w:color w:val="17365D"/>
          <w:sz w:val="46"/>
        </w:rPr>
        <w:t>LITIGATION CASE TIMELINE</w:t>
      </w:r>
    </w:p>
    <w:p>
      <w:pPr>
        <w:spacing w:after="40"/>
        <w:jc w:val="center"/>
      </w:pPr>
      <w:r>
        <w:rPr>
          <w:rFonts w:ascii="Arial" w:hAnsi="Arial" w:eastAsia="Arial"/>
          <w:b/>
          <w:color w:val="1F4E79"/>
          <w:sz w:val="22"/>
        </w:rPr>
        <w:t>Summary-Judgment Preparation | Harborview Distribution Partners, LLC v. Greenleaf Organics, Inc.</w:t>
      </w:r>
    </w:p>
    <w:p>
      <w:pPr>
        <w:spacing w:after="220"/>
        <w:jc w:val="center"/>
      </w:pPr>
      <w:r>
        <w:rPr>
          <w:rFonts w:ascii="Arial" w:hAnsi="Arial" w:eastAsia="Arial"/>
          <w:color w:val="666666"/>
          <w:sz w:val="18"/>
        </w:rPr>
        <w:t>U.S. District Court, District of Oregon • Portland Division • No. 3:24-cv-00613-MRH</w:t>
      </w:r>
    </w:p>
    <w:tbl>
      <w:tblPr>
        <w:tblW w:type="auto" w:w="0"/>
        <w:jc w:val="center"/>
        <w:tblLayout w:type="fixed"/>
        <w:tblLook w:firstColumn="1" w:firstRow="1" w:lastColumn="0" w:lastRow="0" w:noHBand="0" w:noVBand="1" w:val="04A0"/>
        <w:tblBorders>
          <w:top w:val="single" w:sz="5" w:space="0" w:color="A6B9C8"/>
          <w:left w:val="single" w:sz="5" w:space="0" w:color="A6B9C8"/>
          <w:bottom w:val="single" w:sz="5" w:space="0" w:color="A6B9C8"/>
          <w:right w:val="single" w:sz="5" w:space="0" w:color="A6B9C8"/>
          <w:insideH w:val="single" w:sz="5" w:space="0" w:color="A6B9C8"/>
          <w:insideV w:val="single" w:sz="5" w:space="0" w:color="A6B9C8"/>
        </w:tblBorders>
      </w:tblPr>
      <w:tblGrid>
        <w:gridCol w:w="10008"/>
      </w:tblGrid>
      <w:tr>
        <w:tc>
          <w:tcPr>
            <w:tcW w:type="dxa" w:w="10008"/>
            <w:tcMar>
              <w:top w:w="120" w:type="dxa"/>
              <w:start w:w="150" w:type="dxa"/>
              <w:bottom w:w="120" w:type="dxa"/>
              <w:end w:w="150" w:type="dxa"/>
            </w:tcMar>
            <w:shd w:fill="FFF2CC"/>
            <w:vAlign w:val="center"/>
          </w:tcPr>
          <w:p>
            <w:pPr>
              <w:spacing w:after="40"/>
            </w:pPr>
            <w:r>
              <w:rPr>
                <w:rFonts w:ascii="Arial" w:hAnsi="Arial" w:eastAsia="Arial"/>
                <w:b/>
                <w:color w:val="17365D"/>
                <w:sz w:val="20"/>
              </w:rPr>
              <w:t>CONFIDENTIALITY / USE LIMITATION</w:t>
            </w:r>
          </w:p>
          <w:p>
            <w:pPr>
              <w:spacing w:after="0" w:line="254" w:lineRule="auto"/>
            </w:pPr>
            <w:r>
              <w:rPr>
                <w:rFonts w:ascii="Arial" w:hAnsi="Arial" w:eastAsia="Arial"/>
                <w:color w:val="1F1F1F"/>
                <w:sz w:val="18"/>
              </w:rPr>
              <w:t>Prepared from the supplied case materials for internal litigation strategy. The supplied deposition summaries are marked attorney work product/privileged; use them only as investigative aids. This timeline is not evidence, does not resolve disputed facts, and is not a legal opinion. Before filing, verify every material fact, quotation, exhibit, date, and pin cite against the produced exhibit, certified transcript, docket, and operative scheduling orders. The record packet contains significant internal inconsistencies described below.</w:t>
            </w:r>
          </w:p>
        </w:tc>
      </w:tr>
    </w:tbl>
    <w:p>
      <w:pPr>
        <w:spacing w:after="0"/>
      </w:pPr>
    </w:p>
    <w:p>
      <w:pPr>
        <w:pStyle w:val="Heading1"/>
        <w:keepNext/>
        <w:spacing w:before="180" w:after="80"/>
      </w:pPr>
      <w:r>
        <w:rPr>
          <w:rFonts w:ascii="Arial" w:hAnsi="Arial" w:eastAsia="Arial"/>
          <w:b/>
          <w:color w:val="17365D"/>
          <w:sz w:val="30"/>
        </w:rPr>
        <w:t>Executive Snapshot</w:t>
      </w:r>
    </w:p>
    <w:p>
      <w:pPr>
        <w:pStyle w:val="ListBullet"/>
        <w:spacing w:after="40" w:line="250" w:lineRule="auto"/>
      </w:pPr>
      <w:r>
        <w:rPr>
          <w:rFonts w:ascii="Arial" w:hAnsi="Arial" w:eastAsia="Arial"/>
          <w:color w:val="1F1F1F"/>
          <w:sz w:val="18"/>
        </w:rPr>
        <w:t>Claims / counterclaim: Harborview pleads breach of contract (exclusivity and termination), breach of the implied covenant, fraud/intentional misrepresentation, and tortious interference; Greenleaf denies liability and counterclaims for the Year 3 minimum-purchase shortfall ($1.2 million).</w:t>
      </w:r>
    </w:p>
    <w:p>
      <w:pPr>
        <w:pStyle w:val="ListBullet"/>
        <w:spacing w:after="40" w:line="250" w:lineRule="auto"/>
      </w:pPr>
      <w:r>
        <w:rPr>
          <w:rFonts w:ascii="Arial" w:hAnsi="Arial" w:eastAsia="Arial"/>
          <w:color w:val="1F1F1F"/>
          <w:sz w:val="18"/>
        </w:rPr>
        <w:t>Central chronology: Cascade shipments began in June 2022; Greenleaf leadership directed targeted QA screening in September 2022; Greenleaf cited an incomplete Year 3 purchasing period in a January 10, 2023 breach notice; it issued termination February 15, effective March 17; Harborview disputes validity and says no timely non-renewal notice was sent.</w:t>
      </w:r>
    </w:p>
    <w:p>
      <w:pPr>
        <w:pStyle w:val="ListBullet"/>
        <w:spacing w:after="40" w:line="250" w:lineRule="auto"/>
      </w:pPr>
      <w:r>
        <w:rPr>
          <w:rFonts w:ascii="Arial" w:hAnsi="Arial" w:eastAsia="Arial"/>
          <w:color w:val="1F1F1F"/>
          <w:sz w:val="18"/>
        </w:rPr>
        <w:t>Potentially powerful record: the executed EDA; Greenleaf’s pleading admission of certain Cascade shipments; the Holcomb deposition summary’s account of an approximately $1.9M Oregon shipment admission (verify transcript and invoices); contemporaneous Holcomb/Stanton/Fong emails; and the notices/response.</w:t>
      </w:r>
    </w:p>
    <w:p>
      <w:pPr>
        <w:pStyle w:val="ListBullet"/>
        <w:spacing w:after="40" w:line="250" w:lineRule="auto"/>
      </w:pPr>
      <w:r>
        <w:rPr>
          <w:rFonts w:ascii="Arial" w:hAnsi="Arial" w:eastAsia="Arial"/>
          <w:color w:val="1F1F1F"/>
          <w:sz w:val="18"/>
        </w:rPr>
        <w:t>Critical caution: QA counts, denominators, lot identities, values, and standards do not reconcile across the QA spreadsheet, expert reports, and email/deposition summaries. Do not present Dr. Buckley’s statistical or lot-by-lot conclusions as established until the underlying dataset is reconciled.</w:t>
      </w:r>
    </w:p>
    <w:p>
      <w:pPr>
        <w:pStyle w:val="ListBullet"/>
        <w:spacing w:after="40" w:line="250" w:lineRule="auto"/>
      </w:pPr>
      <w:r>
        <w:rPr>
          <w:rFonts w:ascii="Arial" w:hAnsi="Arial" w:eastAsia="Arial"/>
          <w:color w:val="1F1F1F"/>
          <w:sz w:val="18"/>
        </w:rPr>
        <w:t>Procedural posture: the June 3, 2024 scheduling order sets dispositive motions by March 1, 2025 and trial for June 16, 2025. No later docket activity or amended order was supplied; confirm the live schedule before using this calendar.</w:t>
      </w:r>
    </w:p>
    <w:p>
      <w:pPr>
        <w:pStyle w:val="Heading2"/>
        <w:keepNext/>
        <w:spacing w:before="120" w:after="80"/>
      </w:pPr>
      <w:r>
        <w:rPr>
          <w:rFonts w:ascii="Arial" w:hAnsi="Arial" w:eastAsia="Arial"/>
          <w:b/>
          <w:color w:val="1F4E79"/>
          <w:sz w:val="23"/>
        </w:rPr>
        <w:t>Case Frame &amp; Contract Provisions to Keep in View</w:t>
      </w:r>
    </w:p>
    <w:p>
      <w:pPr>
        <w:pStyle w:val="ListBullet"/>
        <w:spacing w:after="40" w:line="250" w:lineRule="auto"/>
      </w:pPr>
      <w:r>
        <w:rPr>
          <w:rFonts w:ascii="Arial" w:hAnsi="Arial" w:eastAsia="Arial"/>
          <w:color w:val="1F1F1F"/>
          <w:sz w:val="18"/>
        </w:rPr>
        <w:t>EDA (effective March 15, 2020): initial term through March 14, 2023; automatic one-year renewal unless written non-renewal notice at least 90 days before expiration; Section 3.1 grants Harborview exclusive distribution rights to all Greenleaf Products in Oregon, Washington, Idaho, and Montana.</w:t>
      </w:r>
    </w:p>
    <w:p>
      <w:pPr>
        <w:pStyle w:val="ListBullet"/>
        <w:spacing w:after="40" w:line="250" w:lineRule="auto"/>
      </w:pPr>
      <w:r>
        <w:rPr>
          <w:rFonts w:ascii="Arial" w:hAnsi="Arial" w:eastAsia="Arial"/>
          <w:color w:val="1F1F1F"/>
          <w:sz w:val="18"/>
        </w:rPr>
        <w:t>Purchase minimums: Year 1 $4.0M; Year 2 $5.5M; Year 3 $7.0M; each renewal year $7.5M. Sections 5.2–5.3 measure the commitment over the full Purchase Year. Commission: 18% of defined Net Wholesale Revenue under Section 6.1.</w:t>
      </w:r>
    </w:p>
    <w:p>
      <w:pPr>
        <w:pStyle w:val="ListBullet"/>
        <w:spacing w:after="40" w:line="250" w:lineRule="auto"/>
      </w:pPr>
      <w:r>
        <w:rPr>
          <w:rFonts w:ascii="Arial" w:hAnsi="Arial" w:eastAsia="Arial"/>
          <w:color w:val="1F1F1F"/>
          <w:sz w:val="18"/>
        </w:rPr>
        <w:t>Termination: Section 9.2 requires written notice specifying the breach and a 30-day cure period; termination is available only for an actual material breach remaining uncured, and a notice before an actual breach or before the cure period ends is stated to have no force or effect. Section 9.3 governs auto-renewal.</w:t>
      </w:r>
    </w:p>
    <w:p>
      <w:pPr>
        <w:pStyle w:val="ListBullet"/>
        <w:spacing w:after="40" w:line="250" w:lineRule="auto"/>
      </w:pPr>
      <w:r>
        <w:rPr>
          <w:rFonts w:ascii="Arial" w:hAnsi="Arial" w:eastAsia="Arial"/>
          <w:color w:val="1F1F1F"/>
          <w:sz w:val="18"/>
        </w:rPr>
        <w:t>Other potentially material terms: §§5.1, 7.1–7.2 (order fulfillment and quality), 1.11 (Quality Standards may be amended in reasonable discretion upon written notice), Exhibit B (contract quality thresholds), §§12.1–12.2 (consequential-damage exclusion/liability cap, with express carve-outs including Article 3 exclusivity), §14.4 (notice effective upon actual receipt), §14.5 (written waiver), and §14.8 (Oregon law/forum).</w:t>
      </w:r>
    </w:p>
    <w:p>
      <w:pPr>
        <w:pStyle w:val="Heading1"/>
        <w:keepNext/>
        <w:spacing w:before="180" w:after="80"/>
      </w:pPr>
      <w:r>
        <w:rPr>
          <w:rFonts w:ascii="Arial" w:hAnsi="Arial" w:eastAsia="Arial"/>
          <w:b/>
          <w:color w:val="17365D"/>
          <w:sz w:val="30"/>
        </w:rPr>
        <w:t>I. Merits Timeline: Contract, Performance, Conduct &amp; Termination</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55"/>
        <w:gridCol w:w="4320"/>
        <w:gridCol w:w="4133"/>
      </w:tblGrid>
      <w:tr>
        <w:trPr>
          <w:tblHeader w:val="true"/>
        </w:trPr>
        <w:tc>
          <w:tcPr>
            <w:tcW w:type="dxa" w:w="1555"/>
            <w:shd w:fill="17365D"/>
            <w:tcMar>
              <w:top w:w="90" w:type="dxa"/>
              <w:start w:w="90" w:type="dxa"/>
              <w:bottom w:w="90" w:type="dxa"/>
              <w:end w:w="90" w:type="dxa"/>
            </w:tcMar>
          </w:tcPr>
          <w:p>
            <w:pPr>
              <w:spacing w:after="0"/>
            </w:pPr>
            <w:r>
              <w:rPr>
                <w:rFonts w:ascii="Arial" w:hAnsi="Arial" w:eastAsia="Arial"/>
                <w:b/>
                <w:color w:val="FFFFFF"/>
                <w:sz w:val="17"/>
              </w:rPr>
              <w:t>DATE / PERIOD</w:t>
            </w:r>
          </w:p>
        </w:tc>
        <w:tc>
          <w:tcPr>
            <w:tcW w:type="dxa" w:w="4320"/>
            <w:shd w:fill="17365D"/>
            <w:tcMar>
              <w:top w:w="90" w:type="dxa"/>
              <w:start w:w="90" w:type="dxa"/>
              <w:bottom w:w="90" w:type="dxa"/>
              <w:end w:w="90" w:type="dxa"/>
            </w:tcMar>
          </w:tcPr>
          <w:p>
            <w:pPr>
              <w:spacing w:after="0"/>
            </w:pPr>
            <w:r>
              <w:rPr>
                <w:rFonts w:ascii="Arial" w:hAnsi="Arial" w:eastAsia="Arial"/>
                <w:b/>
                <w:color w:val="FFFFFF"/>
                <w:sz w:val="17"/>
              </w:rPr>
              <w:t>EVENT &amp; RECORD</w:t>
            </w:r>
          </w:p>
        </w:tc>
        <w:tc>
          <w:tcPr>
            <w:tcW w:type="dxa" w:w="4132"/>
            <w:shd w:fill="17365D"/>
            <w:tcMar>
              <w:top w:w="90" w:type="dxa"/>
              <w:start w:w="90" w:type="dxa"/>
              <w:bottom w:w="90" w:type="dxa"/>
              <w:end w:w="90" w:type="dxa"/>
            </w:tcMar>
          </w:tcPr>
          <w:p>
            <w:pPr>
              <w:spacing w:after="0"/>
            </w:pPr>
            <w:r>
              <w:rPr>
                <w:rFonts w:ascii="Arial" w:hAnsi="Arial" w:eastAsia="Arial"/>
                <w:b/>
                <w:color w:val="FFFFFF"/>
                <w:sz w:val="17"/>
              </w:rPr>
              <w:t>SUMMARY-JUDGMENT ANNOTATION</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March 15, 2020</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The parties execute the EDA. Harborview receives exclusive distribution rights in OR/WA/ID/MT; the agreement establishes annual minimums, an 18% commission, quality provisions, a 3-year initial term, one-year auto-renewals, and a for-cause termination process.</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EDA §§1.7, 1.10–1.14, 3.1, 5.2–5.3, 6.1, 9.1–9.3, 12.1–12.2, 14.4, 14.8.</w:t>
            </w:r>
          </w:p>
        </w:tc>
        <w:tc>
          <w:tcPr>
            <w:tcW w:type="dxa" w:w="4132"/>
            <w:tcMar>
              <w:top w:w="72" w:type="dxa"/>
              <w:start w:w="82" w:type="dxa"/>
              <w:bottom w:w="72" w:type="dxa"/>
              <w:end w:w="82" w:type="dxa"/>
            </w:tcMar>
            <w:vAlign w:val="top"/>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Anchor the motion in the operative signed contract, not pleadings’ paraphrases. The exclusivity grant bars Greenleaf from directly or through a third party appointing another distributor/dealer/reseller in the Territory. Keep Cascade shipments (third-party distributor) analytically separate from disputed direct-to-retailer conduct.</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Mar. 15, 2020–</w:t>
              <w:br/>
              <w:t>Mar. 14, 2021</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Year 1: Harborview purchases approximately $4.3M against a $4.0M minimum (reported by both sides and expert materials).</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Chakrabarti Report (Dec. 10, 2024); Complaint; Answer/Counterclaim; Holcomb Dep. Summary (verify transcript).</w:t>
            </w:r>
          </w:p>
        </w:tc>
        <w:tc>
          <w:tcPr>
            <w:tcW w:type="dxa" w:w="4132"/>
            <w:tcMar>
              <w:top w:w="72" w:type="dxa"/>
              <w:start w:w="82" w:type="dxa"/>
              <w:bottom w:w="72" w:type="dxa"/>
              <w:end w:w="82" w:type="dxa"/>
            </w:tcMar>
            <w:vAlign w:val="top"/>
            <w:shd w:fill="F7F9FB"/>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Supports early performance and relationship trajectory; not dispositive of Year 3. Obtain the underlying purchase ledger and confirm “purchases” are measured consistently with §5.3.</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Mar. 15, 2021–</w:t>
              <w:br/>
              <w:t>Mar. 14, 2022</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Year 2: Harborview purchases approximately $6.1M against a $5.5M minimum, about 42% above Year 1.</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Chakrabarti Report; Complaint; Answer/Counterclaim; Holcomb Dep. Summary.</w:t>
            </w:r>
          </w:p>
        </w:tc>
        <w:tc>
          <w:tcPr>
            <w:tcW w:type="dxa" w:w="4132"/>
            <w:tcMar>
              <w:top w:w="72" w:type="dxa"/>
              <w:start w:w="82" w:type="dxa"/>
              <w:bottom w:w="72" w:type="dxa"/>
              <w:end w:w="82" w:type="dxa"/>
            </w:tcMar>
            <w:vAlign w:val="top"/>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Useful context for alleged continuation and future-profit assumptions. Greenleaf can argue a one-year minimum is not a promise of future renewal; link projection evidence to actual account, market, investment, and renewal records.</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Mar. 15, 2022</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Year 3 begins; $7.0M full-year minimum applies through March 14, 2023.</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EDA §§1.10, 5.2(c), 5.3; Jan. 10 Notice; pleadings.</w:t>
            </w:r>
          </w:p>
        </w:tc>
        <w:tc>
          <w:tcPr>
            <w:tcW w:type="dxa" w:w="4132"/>
            <w:tcMar>
              <w:top w:w="72" w:type="dxa"/>
              <w:start w:w="82" w:type="dxa"/>
              <w:bottom w:w="72" w:type="dxa"/>
              <w:end w:w="82" w:type="dxa"/>
            </w:tcMar>
            <w:vAlign w:val="top"/>
            <w:shd w:fill="F7F9FB"/>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The EDA says the minimum is measured over the full Purchase Year. This text is central to whether the January notice could identify a then-existing breach and whether Harborview had a full measurement/cure opportunity.</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June 8–10, 2022</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Holcomb proposes a two-pallet Cascade “trial run,” asks Yee to “keep it quiet,” says he prefers the arrangement “off the books,” and says Greenleaf will ship directly to Cascade. Yee replies that he knows Harborview serves the same accounts and asks whether the arrangement could become regular; Holcomb tells him not to worry and says he will manage channel strategy.</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Holcomb–Yee email chain, June 8–10, Bates GRN-004217–004222; Holcomb Dep. Summary (verify transcript).</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Strong contemporaneous evidence of knowledge, concealment, and a planned third-party distribution channel. Pair with proof of actual delivery, territory, invoices, and subsequent volumes. The “off the books” language is potent but authenticate and use exact email context.</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June 22, 2022;</w:t>
              <w:br/>
              <w:t>June–Aug. 2022</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Holcomb schedules first two-pallet Cascade delivery for June 22. By August, the reported Cascade shipments total about $420,000.</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Holcomb–Yee/Stanton email chain; Holcomb Dep. Summary; Chakrabarti Report; Complaint.</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Beginning of alleged exclusivity breach and first quarter of the escalation. Confirm delivery dates and sales to Cascade versus Cascade’s downstream resale; separate sales within Oregon from any outside-Territory volume.</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Aug. 22–23, 2022</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Holcomb tells Stanton Cascade is moving product faster than Harborview in Portland, recommends increasing Cascade allocation and “phasing Harborview out.” Stanton approves aggressive scaling, instructs separate invoicing/general distribution codes, says she wants leverage if Harborview finds out, and says not to involve Fong in routing because she will handle the QA side separately.</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Holcomb–Stanton email chain, Aug. 22–23, Bates GRN-004223–004227; Holcomb Dep. Summary.</w:t>
            </w:r>
          </w:p>
        </w:tc>
        <w:tc>
          <w:tcPr>
            <w:tcW w:type="dxa" w:w="4132"/>
            <w:tcMar>
              <w:top w:w="72" w:type="dxa"/>
              <w:start w:w="82" w:type="dxa"/>
              <w:bottom w:w="72" w:type="dxa"/>
              <w:end w:w="82" w:type="dxa"/>
            </w:tcMar>
            <w:vAlign w:val="top"/>
            <w:shd w:fill="FCE4D6"/>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Highly probative of intent, concealment, and coordination between distribution and QA. Defense may characterize as strategic planning/business rationale; test against the actual EDA, full email chain, subsequent conduct, and chronology. Preserve metadata and all referenced weekly-meeting materials.</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Sept. 6, 2022</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Holcomb gives Cascade a fall allocation plan: about $200K–$215K per month, approximately $630K for September–November; he notes other channels may be adjusted to accommodate Cascade.</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Holcomb–Yee/Stanton email chain, Sept. 6, Bates GRN-004228–004229; Complaint; Chakrabarti Report.</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Supports escalating diversion and potential cause of Harborview supply reduction. Reconcile projected allocations with actual invoice/shipments and Harborview accepted/unfilled purchase orders.</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Sept. 14–19, 2022</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Stanton directs Fong to “tighten up QA on the Harborview batches.” Fong asks whether enhanced methods should apply to all channels, describes additional sampling/tighter tolerances, and warns more borderline lots would fail. Stanton says to keep it targeted to Harborview; Fong says the protocol begins Monday, Sept. 19.</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Stanton–Fong email thread, Sept. 14–15; Fong reply Oct. 3; EDA §§1.11, 7.1–7.2, Exhibit B; Buckley Report.</w:t>
            </w:r>
          </w:p>
        </w:tc>
        <w:tc>
          <w:tcPr>
            <w:tcW w:type="dxa" w:w="4132"/>
            <w:tcMar>
              <w:top w:w="72" w:type="dxa"/>
              <w:start w:w="82" w:type="dxa"/>
              <w:bottom w:w="72" w:type="dxa"/>
              <w:end w:w="82" w:type="dxa"/>
            </w:tcMar>
            <w:vAlign w:val="top"/>
            <w:shd w:fill="FCE4D6"/>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Direct evidence of destination-specific treatment, plus a written-contract issue: EDA §§1.11 and 7.1–7.2 refer to written notice/contractual Quality Standards and reasonable discretion. Determine whether actual criteria changed, what was communicated to Harborview, and whether any safety or customer complaint justified the directive.</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Sept. 15–19, 2022</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The QA log records H-2202 as the first enhanced-screening lot inspected Sept. 15; Fong’s email says the planned start was Sept. 19. The log separately identifies H-2201 as the last lot under standard QA before the Sept. 14 directive.</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QA Rejection Log, Harborview Lots sheet; Stanton–Fong email thread.</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A four-day start-date/implementation discrepancy is small but illustrates the need to authenticate the log, protocol rollout, and actual screening dates. Obtain technician instructions, training records, and raw test records.</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Sept. 2022–Feb. 2023</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QA documents/reporting describe 14 Harborview rejection notices valued at about $1.4M and two non-Harborview notices; Greenleaf’s spreadsheet contains a materially different count/denominator and lot-level detail (see reconciliation section). Buckley concludes 11 rejections were unjustified; three were proper.</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QA Rejection Log (two sheets); Buckley Report (Dec. 10, 2024); Chakrabarti Report; Fong Dep. Summary.</w:t>
            </w:r>
          </w:p>
        </w:tc>
        <w:tc>
          <w:tcPr>
            <w:tcW w:type="dxa" w:w="4132"/>
            <w:tcMar>
              <w:top w:w="72" w:type="dxa"/>
              <w:start w:w="82" w:type="dxa"/>
              <w:bottom w:w="72" w:type="dxa"/>
              <w:end w:w="82" w:type="dxa"/>
            </w:tcMar>
            <w:vAlign w:val="top"/>
            <w:shd w:fill="FCE4D6"/>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This is the core selective-QA record but also the largest evidentiary vulnerability. Establish one authoritative universe, date/lot mapping, actual contractual standard, product value, and sampling method before relying on any rate or expert conclusion.</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Oct. 3, 2022</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Fong reports that enhanced screening of H-2209 through H-2215 rejected four lots and that applying the same criteria to Cascade lots would have flagged at least two, but Cascade was not screened under that protocol. Fong’s email lists four lots and about $187,000 in product value.</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Fong email, Oct. 3, GL-PROD-004220 (chain); Buckley Report; QA Rejection Log; Fong Dep. Summary.</w:t>
            </w:r>
          </w:p>
        </w:tc>
        <w:tc>
          <w:tcPr>
            <w:tcW w:type="dxa" w:w="4132"/>
            <w:tcMar>
              <w:top w:w="72" w:type="dxa"/>
              <w:start w:w="82" w:type="dxa"/>
              <w:bottom w:w="72" w:type="dxa"/>
              <w:end w:w="82" w:type="dxa"/>
            </w:tcMar>
            <w:vAlign w:val="top"/>
            <w:shd w:fill="FCE4D6"/>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Contemporaneous admission directly supports unequal screening; however, lots, number/value, dates, and rejection reasons do not match the supplied QA spreadsheet or Buckley lot analysis. Use the admission while separately reconciling the underlying lots and avoiding a false lot-level attribution.</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Sept.–Nov. 2022</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Cascade shipment totals are reported at approximately $630,000 for this quarter; Fall allocation email anticipated that amount.</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Holcomb–Yee/Stanton email chain; Holcomb Dep. Summary; Chakrabarti Report.</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Build a shipment chart from invoices, bills of lading, inventory routing, and Cascade destination/customer data. Use the admissions and produced records to prove territory and avoid relying solely on pleaded estimates.</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Nov. 22–Dec. 2022</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Harborview’s later letter says it experienced unexplained reductions and contends QA rejections were selectively applied. QA log records rejections continuing in November and December; Greenleaf’s spreadsheet includes non-Harborview lots that passed standard screening despite values its notes say would fail enhanced standards.</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Harborview Response (Feb. 22, 2023); QA Rejection Log; Chakrabarti/Buckley Reports.</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Evidence supports a causal comparison, subject to the population/data conflicts. Seek order-level and production-level information proving Harborview submitted orders Greenleaf could have filled and that same-line/same-product lots were routed elsewhere.</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Dec. 1, 2022</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Holcomb tells Stanton Beckett is asking why shipments declined; Holcomb admits he told Beckett “supply chain issues,” then proposes concrete examples that may collapse if investigated. He also estimates Year 3 purchases around $5.8M–$6.0M and flags an approaching non-renewal date.</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Holcomb email to Stanton, Dec. 1, Bates GRN-004230–004231; Holcomb Dep. Summary; Complaint.</w:t>
            </w:r>
          </w:p>
        </w:tc>
        <w:tc>
          <w:tcPr>
            <w:tcW w:type="dxa" w:w="4132"/>
            <w:tcMar>
              <w:top w:w="72" w:type="dxa"/>
              <w:start w:w="82" w:type="dxa"/>
              <w:bottom w:w="72" w:type="dxa"/>
              <w:end w:w="82" w:type="dxa"/>
            </w:tcMar>
            <w:vAlign w:val="top"/>
            <w:shd w:fill="FCE4D6"/>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Strong fraud/knowledge evidence, corroborated in Holcomb deposition summary by inability to identify a concrete disruption. Authenticate the communication to Beckett, identify exact statement/date, and examine reliance, diligence, and alternative explanations. The message also shows contemporaneous awareness of the renewal deadline.</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Dec. 14 / 15, 2022</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The EDA requires non-renewal notice at least 90 days before March 14, 2023. Holcomb’s Dec. 1 email calls Dec. 15 the deadline and asks whether to send notice; the produced record and Chakrabarti report identify no notice by the deadline.</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EDA §§9.3, 14.4; Holcomb email Dec. 1; Chakrabarti Report; Holcomb Dep. Summary.</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Do not repeat the Dec. 15 date without confirming the contractual date calculation and actual-receipt rule in §14.4 (Dec. 14 vs. Dec. 15 is disputed/uncertain in the materials). Prove absence with custodian testimony and complete notice records; no notice in a production is not conclusive by itself.</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Jan. 3, 2023</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Stanton emails outside counsel that Greenleaf needs to move on termination, says to use minimums as the basis, and asks for the formal notice/cure process and draft. The message was produced as GL-PROD-007834; defense counsel later asserted privilege over its substance during Fong’s deposition.</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Stanton–Ivers email, Jan. 3, GL-PROD-007834; Fong and Holcomb Dep. Summaries; QA production/privilege log.</w:t>
            </w:r>
          </w:p>
        </w:tc>
        <w:tc>
          <w:tcPr>
            <w:tcW w:type="dxa" w:w="4132"/>
            <w:tcMar>
              <w:top w:w="72" w:type="dxa"/>
              <w:start w:w="82" w:type="dxa"/>
              <w:bottom w:w="72" w:type="dxa"/>
              <w:end w:w="82" w:type="dxa"/>
            </w:tcMar>
            <w:vAlign w:val="top"/>
            <w:shd w:fill="FCE4D6"/>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Potentially powerful pretext/intent evidence, but privilege, waiver, clawback, and admissibility status must be resolved before using it in a motion. Preserve the production history, privilege log, and Rule 502(b) correspondence; do not quote it in public briefing until cleared.</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Jan. 8–24, 2023</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The QA log records additional Harborview rejections in January (including H-2237 and H-2240) after the Jan. 10 breach notice is issued; additional QA rejections continue through Feb. 13 per the spreadsheet.</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QA Rejection Log; EDA §7.2; Jan. 10 Notice; Feb. 15 Termination Notice.</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Chronology can support continuing supply constraint during the purported cure period. First confirm the log’s true rows, dates, and whether rejected product could be reworked/replaced under EDA §7.2.</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Jan. 10, 2023</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Greenleaf sends a Notice of Material Breach, stating Year 3 purchases were $4.27M as of that date, $2.73M below the $7.0M minimum; it demands cure within 30 days and requests a plan or purchases. More than two months remained in the defined Year 3.</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Notice of Material Breach, Jan. 10; EDA §§5.2–5.3, 9.2, 14.4; Harborview Response.</w:t>
            </w:r>
          </w:p>
        </w:tc>
        <w:tc>
          <w:tcPr>
            <w:tcW w:type="dxa" w:w="4132"/>
            <w:tcMar>
              <w:top w:w="72" w:type="dxa"/>
              <w:start w:w="82" w:type="dxa"/>
              <w:bottom w:w="72" w:type="dxa"/>
              <w:end w:w="82" w:type="dxa"/>
            </w:tcMar>
            <w:vAlign w:val="top"/>
            <w:shd w:fill="FCE4D6"/>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Strong partial-SJ issue under §5.3/§9.2: the EDA measures a full Purchase Year and says a notice before an actual breach has no force. Greenleaf will point to trajectory and ultimate shortfall. Address the later-accruing March 14 shortfall separately; prove receipt date, contractual notice content, and whether cure was contractually possible.</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Jan. 10–Feb. 9, 2023</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Purported 30-day cure period. Greenleaf’s notice calls for a commercially reasonable plan with binding purchase commitments or purchases; the EDA text instead describes cure of an actual material breach.</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Notice of Material Breach; EDA §§5.1, 9.2, 14.4; Holcomb/Fong Dep. Summaries.</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Contrast notice-imposed cure terms with the signed EDA. Determine exact receipt date (Section 14.4) and contractual calculation. Obtain orders and Greenleaf responses to show whether Harborview had available product, and whether Greenleaf continued diversion/rejections during the alleged cure period.</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Feb. 13–15, 2023</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QA spreadsheet lists another rejection on Feb. 13. On Feb. 15 Greenleaf sends a termination notice, claiming $5.6M cumulative purchases and a $1.4M shortfall; it makes termination effective March 17. The stated Year 3 period still runs through March 14.</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Notice of Termination, Feb. 15; QA Rejection Log; EDA §§5.3, 9.2–9.3, 14.4; Answer/Counterclaim.</w:t>
            </w:r>
          </w:p>
        </w:tc>
        <w:tc>
          <w:tcPr>
            <w:tcW w:type="dxa" w:w="4132"/>
            <w:tcMar>
              <w:top w:w="72" w:type="dxa"/>
              <w:start w:w="82" w:type="dxa"/>
              <w:bottom w:w="72" w:type="dxa"/>
              <w:end w:w="82" w:type="dxa"/>
            </w:tcMar>
            <w:vAlign w:val="top"/>
            <w:shd w:fill="FCE4D6"/>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Compare $5.6M at notice with final $5.8M and January $4.27M. The letter follows the purported cure period but predates year-end; its March 17 effective date falls after automatic renewal if no timely non-renewal. Also reconcile the contract’s text with notices’ descriptions of a “60-day” notice period: §9.2 itself states 30-day cure and no separate additional 60-day interval.</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Feb. 22, 2023</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Harborview’s counsel responds: disputes breach/termination, asserts the Year 3 period is incomplete and Greenleaf caused the shortfall through Cascade diversion and QA rejections, demands cessation/accounting, and reserves rights.</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Harborview breach-response letter, Feb. 22; Answer/Counterclaim ¶53 (characterizes response); EDA §14.5.</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Contemporaneous protest rebuts waiver/acquiescence and gives notice of the causation theory. It did not offer a cure or purchase plan, a point Greenleaf highlights; connect the response to supply constraints, actual ordering, and Harborview’s ability to cure.</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Mar. 14, 2023</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Year 3 ends. The pleadings and Chakrabarti report state final Harborview purchases were $5.8M, leaving a $1.2M shortfall.</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Answer/Counterclaim ¶¶48, 54, 59–61; Chakrabarti Report; EDA §5.3.</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The final shortfall is an undisputed-looking arithmetic fact, but its cause and contractual consequences remain contested. Greenleaf’s counterclaim depends on breach, causation, and proof of its alleged lost profits/consequential account losses.</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Mar. 15, 2023</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Absent effective non-renewal, Year 4 begins automatically with a $7.5M renewal-year minimum. The expert report says no notice was found.</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EDA §§5.2(d), 9.3, 14.4; Chakrabarti Report; production records.</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Prove notice was not sent/received under the contract, not merely that no copy was produced. Confirm the exact deadline/date computation and whether any notice was sent to the contract address or received by Harborview.</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Mar. 17, 2023</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Greenleaf’s stated effective termination date—two days into the asserted Year 4 renewal.</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Notice of Termination, Feb. 15; EDA §§9.2–9.3; Chakrabarti Report.</w:t>
            </w:r>
          </w:p>
        </w:tc>
        <w:tc>
          <w:tcPr>
            <w:tcW w:type="dxa" w:w="4132"/>
            <w:tcMar>
              <w:top w:w="72" w:type="dxa"/>
              <w:start w:w="82" w:type="dxa"/>
              <w:bottom w:w="72" w:type="dxa"/>
              <w:end w:w="82" w:type="dxa"/>
            </w:tcMar>
            <w:vAlign w:val="top"/>
            <w:shd w:fill="FCE4D6"/>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This is a clean chronology point if renewal is proven. Address whether termination for the Year 3 shortfall was available after the term rolled over and whether §§9.2/9.3 conditions were satisfied.</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June 2022–Feb. 2023 (aggregate)</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The experts/pleadings report Cascade product worth about $1.9M ($420K, $630K, $850K) and Harborview product denied through QA worth about $1.4M; Harborview adds these to $5.8M actual purchases to posit $9.1M but-for Year 3 purchases.</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Chakrabarti Report; Complaint; Holcomb Dep. Summary; QA Rejection Log; invoices/order data (must be verified).</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Causation is central to defeating the counterclaim and proving lost commissions/contract damages. Do not equate all diverted/rejected wholesale value with purchases Harborview would certainly have made: link to purchase orders, availability, demand, overlap, timing, quality and capacity. Avoid double recovery across damages categories.</w:t>
            </w:r>
          </w:p>
        </w:tc>
      </w:tr>
    </w:tbl>
    <w:p>
      <w:pPr>
        <w:spacing w:after="0"/>
      </w:pPr>
    </w:p>
    <w:p>
      <w:pPr>
        <w:pStyle w:val="Heading1"/>
        <w:keepNext/>
        <w:spacing w:before="180" w:after="80"/>
      </w:pPr>
      <w:r>
        <w:rPr>
          <w:rFonts w:ascii="Arial" w:hAnsi="Arial" w:eastAsia="Arial"/>
          <w:b/>
          <w:color w:val="17365D"/>
          <w:sz w:val="30"/>
        </w:rPr>
        <w:t>II. Litigation, Discovery &amp; Court-Ordered Calendar</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55"/>
        <w:gridCol w:w="4320"/>
        <w:gridCol w:w="4133"/>
      </w:tblGrid>
      <w:tr>
        <w:trPr>
          <w:tblHeader w:val="true"/>
        </w:trPr>
        <w:tc>
          <w:tcPr>
            <w:tcW w:type="dxa" w:w="1555"/>
            <w:shd w:fill="17365D"/>
            <w:tcMar>
              <w:top w:w="90" w:type="dxa"/>
              <w:start w:w="90" w:type="dxa"/>
              <w:bottom w:w="90" w:type="dxa"/>
              <w:end w:w="90" w:type="dxa"/>
            </w:tcMar>
          </w:tcPr>
          <w:p>
            <w:pPr>
              <w:spacing w:after="0"/>
            </w:pPr>
            <w:r>
              <w:rPr>
                <w:rFonts w:ascii="Arial" w:hAnsi="Arial" w:eastAsia="Arial"/>
                <w:b/>
                <w:color w:val="FFFFFF"/>
                <w:sz w:val="17"/>
              </w:rPr>
              <w:t>DATE / PERIOD</w:t>
            </w:r>
          </w:p>
        </w:tc>
        <w:tc>
          <w:tcPr>
            <w:tcW w:type="dxa" w:w="4320"/>
            <w:shd w:fill="17365D"/>
            <w:tcMar>
              <w:top w:w="90" w:type="dxa"/>
              <w:start w:w="90" w:type="dxa"/>
              <w:bottom w:w="90" w:type="dxa"/>
              <w:end w:w="90" w:type="dxa"/>
            </w:tcMar>
          </w:tcPr>
          <w:p>
            <w:pPr>
              <w:spacing w:after="0"/>
            </w:pPr>
            <w:r>
              <w:rPr>
                <w:rFonts w:ascii="Arial" w:hAnsi="Arial" w:eastAsia="Arial"/>
                <w:b/>
                <w:color w:val="FFFFFF"/>
                <w:sz w:val="17"/>
              </w:rPr>
              <w:t>EVENT &amp; RECORD</w:t>
            </w:r>
          </w:p>
        </w:tc>
        <w:tc>
          <w:tcPr>
            <w:tcW w:type="dxa" w:w="4132"/>
            <w:shd w:fill="17365D"/>
            <w:tcMar>
              <w:top w:w="90" w:type="dxa"/>
              <w:start w:w="90" w:type="dxa"/>
              <w:bottom w:w="90" w:type="dxa"/>
              <w:end w:w="90" w:type="dxa"/>
            </w:tcMar>
          </w:tcPr>
          <w:p>
            <w:pPr>
              <w:spacing w:after="0"/>
            </w:pPr>
            <w:r>
              <w:rPr>
                <w:rFonts w:ascii="Arial" w:hAnsi="Arial" w:eastAsia="Arial"/>
                <w:b/>
                <w:color w:val="FFFFFF"/>
                <w:sz w:val="17"/>
              </w:rPr>
              <w:t>SUMMARY-JUDGMENT ANNOTATION</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Feb. 28, 2024</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Harborview files Complaint and jury demand. It pleads four claims and seeks at least $8.2M, fees/costs, interest, and punitive damages. Allegations include diversion, selective QA, a supply-chain cover story, premature notice/termination, and auto-renewal.</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Complaint, filed Feb. 28, 2024 (Dkt. 1).</w:t>
            </w:r>
          </w:p>
        </w:tc>
        <w:tc>
          <w:tcPr>
            <w:tcW w:type="dxa" w:w="4132"/>
            <w:tcMar>
              <w:top w:w="72" w:type="dxa"/>
              <w:start w:w="82" w:type="dxa"/>
              <w:bottom w:w="72" w:type="dxa"/>
              <w:end w:w="82" w:type="dxa"/>
            </w:tcMar>
            <w:vAlign w:val="top"/>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Pleadings define claims, but summary judgment must rest on admissible evidence. Match each element to specific exhibit/testimony; distinguish the documentary admissions from allegations “on information and belief.” Review fraud particularity, limitations/discovery, and contract damage limitations.</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Mar. 2024 (approx.)</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Holcomb says Greenleaf issued litigation hold after suit was filed; the production was later completed Sept. 30.</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Holcomb Dep. Summary; production history; EDA/claims chronology.</w:t>
            </w:r>
          </w:p>
        </w:tc>
        <w:tc>
          <w:tcPr>
            <w:tcW w:type="dxa" w:w="4132"/>
            <w:tcMar>
              <w:top w:w="72" w:type="dxa"/>
              <w:start w:w="82" w:type="dxa"/>
              <w:bottom w:w="72" w:type="dxa"/>
              <w:end w:w="82" w:type="dxa"/>
            </w:tcMar>
            <w:vAlign w:val="top"/>
            <w:shd w:fill="F7F9FB"/>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Check preservation scope and timing for Holcomb/Stanton/Fong, text messages, routing/invoice data, deleted mail, and QA source files. Any spoliation contention needs evidence of loss, duty, culpability, and prejudice; do not infer from delay alone.</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Apr. 15, 2024</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Greenleaf files Answer and Counterclaim. It admits EDA, territory, minimums, rates, Cascade shipments generally, and QA rejection totals as pleaded; disputes exclusivity scope/materiality, bad faith, fraud, causation, and damages; seeks $1.2M for the Year 3 shortfall.</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Answer and Counterclaim, Apr. 15, 2024 (Dkt. 12).</w:t>
            </w:r>
          </w:p>
        </w:tc>
        <w:tc>
          <w:tcPr>
            <w:tcW w:type="dxa" w:w="4132"/>
            <w:tcMar>
              <w:top w:w="72" w:type="dxa"/>
              <w:start w:w="82" w:type="dxa"/>
              <w:bottom w:w="72" w:type="dxa"/>
              <w:end w:w="82" w:type="dxa"/>
            </w:tcMar>
            <w:vAlign w:val="top"/>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Use admissions for undisputed facts, but verify the precise admission language in the filed pleading. Counterclaim asks $408K lost profit + $792K consequential lost retail placement; test supporting documents, causation, damages cap/exclusion, and whether claimed retail losses are independently proven.</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May 21–June 3, 2024</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Joint Rule 26(f) Report filed May 21; scheduling conference May 28; Rule 16 order entered June 3. Cascade is identified as a nonparty and Nolan Yee as a key witness.</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Scheduling Order, June 3, 2024; Dkt. 18 (Joint Report).</w:t>
            </w:r>
          </w:p>
        </w:tc>
        <w:tc>
          <w:tcPr>
            <w:tcW w:type="dxa" w:w="4132"/>
            <w:tcMar>
              <w:top w:w="72" w:type="dxa"/>
              <w:start w:w="82" w:type="dxa"/>
              <w:bottom w:w="72" w:type="dxa"/>
              <w:end w:w="82" w:type="dxa"/>
            </w:tcMar>
            <w:vAlign w:val="top"/>
            <w:shd w:fill="F7F9FB"/>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Confirm whether later orders modified deadlines. The joinder deadline was Aug. 1, 2024; any remaining Cascade discovery should be pursued through available third-party discovery and deposition testimony, subject to current schedule.</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June 17 / June 24, 2024</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Initial disclosures due June 17; ESI protocol meet-and-confer due June 24.</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Scheduling Order §§III(A), III(E); summary of key dates.</w:t>
            </w:r>
          </w:p>
        </w:tc>
        <w:tc>
          <w:tcPr>
            <w:tcW w:type="dxa" w:w="4132"/>
            <w:tcMar>
              <w:top w:w="72" w:type="dxa"/>
              <w:start w:w="82" w:type="dxa"/>
              <w:bottom w:w="72" w:type="dxa"/>
              <w:end w:w="82" w:type="dxa"/>
            </w:tcMar>
            <w:vAlign w:val="top"/>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Review the ESI protocol, custodians, search terms, collection sources, and gaps for Stanton, Holcomb, Fong, Yee and finance/QA custodians. Match the produced datasets to the expert populations and underlying calculations.</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Aug. 1, 2024</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Deadline to amend pleadings/join parties; Cascade expressly identified as a potentially involved nonparty.</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Scheduling Order §II.</w:t>
            </w:r>
          </w:p>
        </w:tc>
        <w:tc>
          <w:tcPr>
            <w:tcW w:type="dxa" w:w="4132"/>
            <w:tcMar>
              <w:top w:w="72" w:type="dxa"/>
              <w:start w:w="82" w:type="dxa"/>
              <w:bottom w:w="72" w:type="dxa"/>
              <w:end w:w="82" w:type="dxa"/>
            </w:tcMar>
            <w:vAlign w:val="top"/>
            <w:shd w:fill="F7F9FB"/>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If joinder was not sought, the deadline has passed under the supplied order; any later request requires Rule 16(b)(4) good cause. Do not assume Cascade’s absence prevents proof against Greenleaf; assess subpoena/party discovery, witness availability, and allocation of fault.</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Aug. 2024</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Chakrabarti says her retention began in August 2024.</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Chakrabarti Report, §§I, III–VI.</w:t>
            </w:r>
          </w:p>
        </w:tc>
        <w:tc>
          <w:tcPr>
            <w:tcW w:type="dxa" w:w="4132"/>
            <w:tcMar>
              <w:top w:w="72" w:type="dxa"/>
              <w:start w:w="82" w:type="dxa"/>
              <w:bottom w:w="72" w:type="dxa"/>
              <w:end w:w="82" w:type="dxa"/>
            </w:tcMar>
            <w:vAlign w:val="top"/>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Check engagement scope, data she received, and whether she independently tested numbers or adopted counsel/client assumptions. Prepare a Rule 26/702 challenge to unsupported extrapolation while recognizing she disclosed a basis for her opinions.</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Sept. 30, 2024</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Greenleaf completes production of approximately 12,400 documents, including the Holcomb/Stanton/Fong emails, QA spreadsheet, and (as described in deposition summaries) Jan. 3 Stanton–Ivers email.</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Chakrabarti Report §III; Holcomb Dep. Summary; Fong Dep. Summary; QA Rejection Log.</w:t>
            </w:r>
          </w:p>
        </w:tc>
        <w:tc>
          <w:tcPr>
            <w:tcW w:type="dxa" w:w="4132"/>
            <w:tcMar>
              <w:top w:w="72" w:type="dxa"/>
              <w:start w:w="82" w:type="dxa"/>
              <w:bottom w:w="72" w:type="dxa"/>
              <w:end w:w="82" w:type="dxa"/>
            </w:tcMar>
            <w:vAlign w:val="top"/>
            <w:shd w:fill="F7F9FB"/>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Create a source-of-truth index and privilege/clawback chronology. Chakrabarti reports no non-renewal notice in the full production; validate completeness with a Rule 30(b)(6) or custodian witness, delivery records, and the privilege log.</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Oct. 18, 2024</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Holcomb deposition (summary prepared by Greenleaf counsel). Summary reports admissions about $1.9M Cascade shipments in Oregon, non-disclosure, “supply chain” explanation without concrete examples, notice before year-end, and no identified non-renewal.</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Holcomb Deposition Summary, Oct. 18, 2024 (internal work product; transcript not supplied).</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Obtain certified transcript and errata; cite page/line. Summary itself is work product and notes it is not verbatim. Prioritize admissions and impeachment against contemporaneous emails; explore testimony re orders, product allocation, customer accounts, termination, and preservation.</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Nov. 5, 2024</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Fong deposition (summary prepared by Greenleaf counsel). Summary reports Stanton-directed Harborview-only enhanced screening, undocumented thresholds, 14/2 contrast, and her concession that Cascade lots were not screened similarly.</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Fong Deposition Summary, Nov. 5, 2024 (internal work product; transcript not supplied).</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Obtain transcript/errata and technician-level corroboration. Cross-check each statement against actual emails, lot log, QA Manual, EDA Exhibit B, and Dr. Buckley’s report. Fong’s testimony is probative but not a substitute for accurate underlying data or proof of corporate intent.</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Nov. 22, 2024</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Beckett deposition is identified by Chakrabarti as reviewed. No Beckett summary/transcript was supplied in the packet.</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Chakrabarti Report §III; Beckett transcript/summary not supplied.</w:t>
            </w:r>
          </w:p>
        </w:tc>
        <w:tc>
          <w:tcPr>
            <w:tcW w:type="dxa" w:w="4132"/>
            <w:tcMar>
              <w:top w:w="72" w:type="dxa"/>
              <w:start w:w="82" w:type="dxa"/>
              <w:bottom w:w="72" w:type="dxa"/>
              <w:end w:w="82" w:type="dxa"/>
            </w:tcMar>
            <w:vAlign w:val="top"/>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Obtain transcript and financial/mitigation exhibits before relying on Chakrabarti’s assertion that Beckett confirmed each cost. Pin-cite proof of orders, reliance, customer losses, account investments, and mitigation.</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Dec. 1, 2024</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Plaintiff expert disclosures/reports due under scheduling order.</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Scheduling Order §IV(A); Chakrabarti Report cover/date.</w:t>
            </w:r>
          </w:p>
        </w:tc>
        <w:tc>
          <w:tcPr>
            <w:tcW w:type="dxa" w:w="4132"/>
            <w:tcMar>
              <w:top w:w="72" w:type="dxa"/>
              <w:start w:w="82" w:type="dxa"/>
              <w:bottom w:w="72" w:type="dxa"/>
              <w:end w:w="82" w:type="dxa"/>
            </w:tcMar>
            <w:vAlign w:val="top"/>
            <w:shd w:fill="FCE4D6"/>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Chakrabarti Report is dated Dec. 10, nine days after this stated deadline. Confirm actual service date, any stipulation/court order, amendments, and prejudice; assess Rule 37(c)(1) and scheduling-order implications without assuming date of report equals date of disclosure.</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Dec. 10, 2024</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Defendant expert deadline; Dr. Buckley report dated Dec. 10. Chakrabarti report is also dated Dec. 10.</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Scheduling Order §IV(A)–(C); Buckley Report; Chakrabarti Report.</w:t>
            </w:r>
          </w:p>
        </w:tc>
        <w:tc>
          <w:tcPr>
            <w:tcW w:type="dxa" w:w="4132"/>
            <w:tcMar>
              <w:top w:w="72" w:type="dxa"/>
              <w:start w:w="82" w:type="dxa"/>
              <w:bottom w:w="72" w:type="dxa"/>
              <w:end w:w="82" w:type="dxa"/>
            </w:tcMar>
            <w:vAlign w:val="top"/>
            <w:shd w:fill="FCE4D6"/>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Buckley’s report is facially dated on the defense deadline; confirm service. Both experts’ core QA figures conflict with the spreadsheet. Obtain raw exhibits B/C and calculation files, deposition testimony, qualifications, and source data before a Daubert motion or merits argument.</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Dec. 20, 2024</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Rebuttal expert reports due.</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Scheduling Order §IV(C).</w:t>
            </w:r>
          </w:p>
        </w:tc>
        <w:tc>
          <w:tcPr>
            <w:tcW w:type="dxa" w:w="4132"/>
            <w:tcMar>
              <w:top w:w="72" w:type="dxa"/>
              <w:start w:w="82" w:type="dxa"/>
              <w:bottom w:w="72" w:type="dxa"/>
              <w:end w:w="82" w:type="dxa"/>
            </w:tcMar>
            <w:vAlign w:val="top"/>
            <w:shd w:fill="F7F9FB"/>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Check docket/service for rebuttal reports and any supplementation. If absent, do not assume none; verify production and report status.</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Jan. 15, 2025</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Fact discovery and expert depositions cutoff.</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Scheduling Order §§III(C)–(D), IV(D).</w:t>
            </w:r>
          </w:p>
        </w:tc>
        <w:tc>
          <w:tcPr>
            <w:tcW w:type="dxa" w:w="4132"/>
            <w:tcMar>
              <w:top w:w="72" w:type="dxa"/>
              <w:start w:w="82" w:type="dxa"/>
              <w:bottom w:w="72" w:type="dxa"/>
              <w:end w:w="82" w:type="dxa"/>
            </w:tcMar>
            <w:vAlign w:val="top"/>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Order states no extensions absent extraordinary circumstances. Confirm completion/extension and whether key depositions—Stanton, Yee, QA technicians, corporate representative, experts—occurred. All factual foundation must be established before dispositive filing.</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Feb. 1, 2025</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Daubert / Rule 702 motions due.</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Scheduling Order §IV(E); both expert reports.</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Potential focus: Buckley’s lot universe/statistics and reliance on nonmatching lot data; Chakrabarti’s five-year duration, 6.5% discounting, mitigation categories, and commission-on-Cascade theory. A reliability challenge should identify the underlying factual mismatch and any failure to test alternative causes.</w:t>
            </w:r>
          </w:p>
        </w:tc>
      </w:tr>
      <w:tr>
        <w:trPr>
          <w:cantSplit/>
        </w:trPr>
        <w:tc>
          <w:tcPr>
            <w:tcW w:type="dxa" w:w="1555"/>
            <w:tcMar>
              <w:top w:w="72" w:type="dxa"/>
              <w:start w:w="82" w:type="dxa"/>
              <w:bottom w:w="72" w:type="dxa"/>
              <w:end w:w="82" w:type="dxa"/>
            </w:tcMar>
            <w:vAlign w:val="top"/>
          </w:tcPr>
          <w:p>
            <w:pPr>
              <w:spacing w:after="0" w:line="240" w:lineRule="auto"/>
            </w:pPr>
            <w:r>
              <w:rPr>
                <w:rFonts w:ascii="Arial" w:hAnsi="Arial" w:eastAsia="Arial"/>
                <w:b/>
                <w:color w:val="1F4E79"/>
                <w:sz w:val="17"/>
              </w:rPr>
              <w:t>Mar. 1, 2025</w:t>
            </w:r>
          </w:p>
        </w:tc>
        <w:tc>
          <w:tcPr>
            <w:tcW w:type="dxa" w:w="4320"/>
            <w:tcMar>
              <w:top w:w="72" w:type="dxa"/>
              <w:start w:w="82" w:type="dxa"/>
              <w:bottom w:w="72" w:type="dxa"/>
              <w:end w:w="82" w:type="dxa"/>
            </w:tcMar>
            <w:vAlign w:val="top"/>
          </w:tcPr>
          <w:p>
            <w:pPr>
              <w:spacing w:after="40" w:line="247" w:lineRule="auto"/>
            </w:pPr>
            <w:r>
              <w:rPr>
                <w:rFonts w:ascii="Arial" w:hAnsi="Arial" w:eastAsia="Arial"/>
                <w:color w:val="1F1F1F"/>
                <w:sz w:val="17"/>
              </w:rPr>
              <w:t>Summary judgment / partial summary judgment motions due. Opening and opposition briefs max 30 pages; reply max 15; opposition 21 days, reply 14 days.</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Scheduling Order §V.</w:t>
            </w:r>
          </w:p>
        </w:tc>
        <w:tc>
          <w:tcPr>
            <w:tcW w:type="dxa" w:w="4132"/>
            <w:tcMar>
              <w:top w:w="72" w:type="dxa"/>
              <w:start w:w="82" w:type="dxa"/>
              <w:bottom w:w="72" w:type="dxa"/>
              <w:end w:w="82" w:type="dxa"/>
            </w:tcMar>
            <w:vAlign w:val="top"/>
            <w:shd w:fill="FFF2CC"/>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Potential motions: (1) partial liability/contract interpretation on Cascade third-party distribution; (2) termination/renewal and counterclaim; (3) fraud or tortious-interference claims if elements/evidence are insufficient; (4) damages limitations and expert admissibility. Selectively seek or oppose partial judgment; avoid asking the court to decide fact disputes about intent/causation.</w:t>
            </w:r>
          </w:p>
        </w:tc>
      </w:tr>
      <w:tr>
        <w:trPr>
          <w:cantSplit/>
        </w:trPr>
        <w:tc>
          <w:tcPr>
            <w:tcW w:type="dxa" w:w="1555"/>
            <w:tcMar>
              <w:top w:w="72" w:type="dxa"/>
              <w:start w:w="82" w:type="dxa"/>
              <w:bottom w:w="72" w:type="dxa"/>
              <w:end w:w="82" w:type="dxa"/>
            </w:tcMar>
            <w:vAlign w:val="top"/>
            <w:shd w:fill="F7F9FB"/>
          </w:tcPr>
          <w:p>
            <w:pPr>
              <w:spacing w:after="0" w:line="240" w:lineRule="auto"/>
            </w:pPr>
            <w:r>
              <w:rPr>
                <w:rFonts w:ascii="Arial" w:hAnsi="Arial" w:eastAsia="Arial"/>
                <w:b/>
                <w:color w:val="1F4E79"/>
                <w:sz w:val="17"/>
              </w:rPr>
              <w:t>Apr. 15–June 16, 2025</w:t>
            </w:r>
          </w:p>
        </w:tc>
        <w:tc>
          <w:tcPr>
            <w:tcW w:type="dxa" w:w="4320"/>
            <w:tcMar>
              <w:top w:w="72" w:type="dxa"/>
              <w:start w:w="82" w:type="dxa"/>
              <w:bottom w:w="72" w:type="dxa"/>
              <w:end w:w="82" w:type="dxa"/>
            </w:tcMar>
            <w:vAlign w:val="top"/>
            <w:shd w:fill="F7F9FB"/>
          </w:tcPr>
          <w:p>
            <w:pPr>
              <w:spacing w:after="40" w:line="247" w:lineRule="auto"/>
            </w:pPr>
            <w:r>
              <w:rPr>
                <w:rFonts w:ascii="Arial" w:hAnsi="Arial" w:eastAsia="Arial"/>
                <w:color w:val="1F1F1F"/>
                <w:sz w:val="17"/>
              </w:rPr>
              <w:t>Mediation by Apr. 15; joint pretrial order, final witness/exhibit lists and motions in limine by May 5; MIL responses May 12; pretrial conference May 19; jury trial starts June 16 (estimated 7–10 trial days).</w:t>
            </w:r>
          </w:p>
          <w:p>
            <w:pPr>
              <w:spacing w:after="36" w:line="247" w:lineRule="auto"/>
            </w:pPr>
            <w:r>
              <w:rPr>
                <w:rFonts w:ascii="Arial" w:hAnsi="Arial" w:eastAsia="Arial"/>
                <w:b/>
                <w:color w:val="1F4E79"/>
                <w:sz w:val="15"/>
              </w:rPr>
              <w:t xml:space="preserve">Record: </w:t>
            </w:r>
            <w:r>
              <w:rPr>
                <w:rFonts w:ascii="Arial" w:hAnsi="Arial" w:eastAsia="Arial"/>
                <w:i/>
                <w:color w:val="666666"/>
                <w:sz w:val="15"/>
              </w:rPr>
              <w:t>Scheduling Order §§VI–VIII.</w:t>
            </w:r>
          </w:p>
        </w:tc>
        <w:tc>
          <w:tcPr>
            <w:tcW w:type="dxa" w:w="4132"/>
            <w:tcMar>
              <w:top w:w="72" w:type="dxa"/>
              <w:start w:w="82" w:type="dxa"/>
              <w:bottom w:w="72" w:type="dxa"/>
              <w:end w:w="82" w:type="dxa"/>
            </w:tcMar>
            <w:vAlign w:val="top"/>
            <w:shd w:fill="F7F9FB"/>
          </w:tcPr>
          <w:p>
            <w:pPr>
              <w:spacing w:after="36" w:line="247" w:lineRule="auto"/>
            </w:pPr>
            <w:r>
              <w:rPr>
                <w:rFonts w:ascii="Arial" w:hAnsi="Arial" w:eastAsia="Arial"/>
                <w:b/>
                <w:color w:val="1F4E79"/>
                <w:sz w:val="16"/>
              </w:rPr>
              <w:t xml:space="preserve">SJ note: </w:t>
            </w:r>
            <w:r>
              <w:rPr>
                <w:rFonts w:ascii="Arial" w:hAnsi="Arial" w:eastAsia="Arial"/>
                <w:i w:val="0"/>
                <w:color w:val="1F1F1F"/>
                <w:sz w:val="16"/>
              </w:rPr>
              <w:t>These dates are listed only as the June 2024 order states them. Confirm the current docket, later continuances, completed mediation, and any trial reset before relying on the dates.</w:t>
            </w:r>
          </w:p>
        </w:tc>
      </w:tr>
    </w:tbl>
    <w:p>
      <w:pPr>
        <w:spacing w:after="0"/>
      </w:pPr>
    </w:p>
    <w:p>
      <w:pPr>
        <w:pStyle w:val="Heading1"/>
        <w:keepNext/>
        <w:spacing w:before="180" w:after="80"/>
      </w:pPr>
      <w:r>
        <w:rPr>
          <w:rFonts w:ascii="Arial" w:hAnsi="Arial" w:eastAsia="Arial"/>
          <w:b/>
          <w:color w:val="17365D"/>
          <w:sz w:val="30"/>
        </w:rPr>
        <w:t>III. Summary-Judgment Issue Map</w:t>
      </w:r>
    </w:p>
    <w:p>
      <w:pPr>
        <w:spacing w:after="120" w:before="0"/>
      </w:pPr>
      <w:r>
        <w:rPr>
          <w:rFonts w:ascii="Arial" w:hAnsi="Arial" w:eastAsia="Arial"/>
          <w:b w:val="0"/>
          <w:i/>
          <w:color w:val="666666"/>
          <w:sz w:val="18"/>
        </w:rPr>
        <w:t>Candidate arguments and record needs—not conclusions. The question is whether the admissible record leaves a genuine dispute on each element/defense. For any brief, use authenticated primary documents, deposition page/line cites, competent declarations, and admissible expert materials.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01"/>
        <w:gridCol w:w="3816"/>
        <w:gridCol w:w="4320"/>
      </w:tblGrid>
      <w:tr>
        <w:trPr>
          <w:tblHeader w:val="true"/>
        </w:trPr>
        <w:tc>
          <w:tcPr>
            <w:tcW w:type="dxa" w:w="1900"/>
            <w:shd w:fill="17365D"/>
            <w:tcMar>
              <w:top w:w="90" w:type="dxa"/>
              <w:start w:w="90" w:type="dxa"/>
              <w:bottom w:w="90" w:type="dxa"/>
              <w:end w:w="90" w:type="dxa"/>
            </w:tcMar>
          </w:tcPr>
          <w:p>
            <w:pPr>
              <w:spacing w:after="0"/>
            </w:pPr>
            <w:r>
              <w:rPr>
                <w:rFonts w:ascii="Arial" w:hAnsi="Arial" w:eastAsia="Arial"/>
                <w:b/>
                <w:color w:val="FFFFFF"/>
                <w:sz w:val="17"/>
              </w:rPr>
              <w:t>ISSUE</w:t>
            </w:r>
          </w:p>
        </w:tc>
        <w:tc>
          <w:tcPr>
            <w:tcW w:type="dxa" w:w="3816"/>
            <w:shd w:fill="17365D"/>
            <w:tcMar>
              <w:top w:w="90" w:type="dxa"/>
              <w:start w:w="90" w:type="dxa"/>
              <w:bottom w:w="90" w:type="dxa"/>
              <w:end w:w="90" w:type="dxa"/>
            </w:tcMar>
          </w:tcPr>
          <w:p>
            <w:pPr>
              <w:spacing w:after="0"/>
            </w:pPr>
            <w:r>
              <w:rPr>
                <w:rFonts w:ascii="Arial" w:hAnsi="Arial" w:eastAsia="Arial"/>
                <w:b/>
                <w:color w:val="FFFFFF"/>
                <w:sz w:val="17"/>
              </w:rPr>
              <w:t>BEST SJ RECORD / POSITION</w:t>
            </w:r>
          </w:p>
        </w:tc>
        <w:tc>
          <w:tcPr>
            <w:tcW w:type="dxa" w:w="4320"/>
            <w:shd w:fill="17365D"/>
            <w:tcMar>
              <w:top w:w="90" w:type="dxa"/>
              <w:start w:w="90" w:type="dxa"/>
              <w:bottom w:w="90" w:type="dxa"/>
              <w:end w:w="90" w:type="dxa"/>
            </w:tcMar>
          </w:tcPr>
          <w:p>
            <w:pPr>
              <w:spacing w:after="0"/>
            </w:pPr>
            <w:r>
              <w:rPr>
                <w:rFonts w:ascii="Arial" w:hAnsi="Arial" w:eastAsia="Arial"/>
                <w:b/>
                <w:color w:val="FFFFFF"/>
                <w:sz w:val="17"/>
              </w:rPr>
              <w:t>RISK, GAPS &amp; NEXT STEP</w:t>
            </w:r>
          </w:p>
        </w:tc>
      </w:tr>
      <w:tr>
        <w:trPr>
          <w:cantSplit/>
        </w:trPr>
        <w:tc>
          <w:tcPr>
            <w:tcW w:type="dxa" w:w="1900"/>
            <w:tcMar>
              <w:top w:w="85" w:type="dxa"/>
              <w:start w:w="90" w:type="dxa"/>
              <w:bottom w:w="85" w:type="dxa"/>
              <w:end w:w="90" w:type="dxa"/>
            </w:tcMar>
            <w:vAlign w:val="top"/>
          </w:tcPr>
          <w:p>
            <w:pPr>
              <w:spacing w:after="0" w:line="247" w:lineRule="auto"/>
            </w:pPr>
            <w:r>
              <w:rPr>
                <w:rFonts w:ascii="Arial" w:hAnsi="Arial" w:eastAsia="Arial"/>
                <w:b/>
                <w:color w:val="1F4E79"/>
                <w:sz w:val="16"/>
              </w:rPr>
              <w:t>Express exclusivity: Cascade</w:t>
            </w:r>
          </w:p>
        </w:tc>
        <w:tc>
          <w:tcPr>
            <w:tcW w:type="dxa" w:w="3816"/>
            <w:tcMar>
              <w:top w:w="85" w:type="dxa"/>
              <w:start w:w="90" w:type="dxa"/>
              <w:bottom w:w="85" w:type="dxa"/>
              <w:end w:w="90" w:type="dxa"/>
            </w:tcMar>
            <w:vAlign w:val="top"/>
          </w:tcPr>
          <w:p>
            <w:pPr>
              <w:spacing w:after="0" w:line="247" w:lineRule="auto"/>
            </w:pPr>
            <w:r>
              <w:rPr>
                <w:rFonts w:ascii="Arial" w:hAnsi="Arial" w:eastAsia="Arial"/>
                <w:b w:val="0"/>
                <w:color w:val="1F1F1F"/>
                <w:sz w:val="16"/>
              </w:rPr>
              <w:t>EDA §3.1 and Greenleaf’s admission of Cascade shipments; Holcomb’s emails and deposition summary place a third-party distributor in Oregon and show shipment escalation to roughly $1.9M. Even Greenleaf’s stated narrow reading covers use of another third-party distributor. Potentially strong candidate for partial judgment on breach liability.</w:t>
            </w:r>
          </w:p>
        </w:tc>
        <w:tc>
          <w:tcPr>
            <w:tcW w:type="dxa" w:w="4320"/>
            <w:tcMar>
              <w:top w:w="85" w:type="dxa"/>
              <w:start w:w="90" w:type="dxa"/>
              <w:bottom w:w="85" w:type="dxa"/>
              <w:end w:w="90" w:type="dxa"/>
            </w:tcMar>
            <w:vAlign w:val="top"/>
          </w:tcPr>
          <w:p>
            <w:pPr>
              <w:spacing w:after="0" w:line="247" w:lineRule="auto"/>
            </w:pPr>
            <w:r>
              <w:rPr>
                <w:rFonts w:ascii="Arial" w:hAnsi="Arial" w:eastAsia="Arial"/>
                <w:b w:val="0"/>
                <w:color w:val="1F1F1F"/>
                <w:sz w:val="16"/>
              </w:rPr>
              <w:t>Prove actual shipments, destination/territory, Greenleaf product, dates and values using business records and transcript. Greenleaf disputes materiality and damages; separate liability from injury/remedy. Direct retailer shipments are less developed and can be excluded from the core motion.</w:t>
            </w:r>
          </w:p>
        </w:tc>
      </w:tr>
      <w:tr>
        <w:trPr>
          <w:cantSplit/>
        </w:trPr>
        <w:tc>
          <w:tcPr>
            <w:tcW w:type="dxa" w:w="1900"/>
            <w:tcMar>
              <w:top w:w="85" w:type="dxa"/>
              <w:start w:w="90" w:type="dxa"/>
              <w:bottom w:w="85" w:type="dxa"/>
              <w:end w:w="90" w:type="dxa"/>
            </w:tcMar>
            <w:vAlign w:val="top"/>
            <w:shd w:fill="F7F9FB"/>
          </w:tcPr>
          <w:p>
            <w:pPr>
              <w:spacing w:after="0" w:line="247" w:lineRule="auto"/>
            </w:pPr>
            <w:r>
              <w:rPr>
                <w:rFonts w:ascii="Arial" w:hAnsi="Arial" w:eastAsia="Arial"/>
                <w:b/>
                <w:color w:val="1F4E79"/>
                <w:sz w:val="16"/>
              </w:rPr>
              <w:t>Quality screening / implied covenant</w:t>
            </w:r>
          </w:p>
        </w:tc>
        <w:tc>
          <w:tcPr>
            <w:tcW w:type="dxa" w:w="3816"/>
            <w:tcMar>
              <w:top w:w="85" w:type="dxa"/>
              <w:start w:w="90" w:type="dxa"/>
              <w:bottom w:w="85" w:type="dxa"/>
              <w:end w:w="90" w:type="dxa"/>
            </w:tcMar>
            <w:vAlign w:val="top"/>
            <w:shd w:fill="F7F9FB"/>
          </w:tcPr>
          <w:p>
            <w:pPr>
              <w:spacing w:after="0" w:line="247" w:lineRule="auto"/>
            </w:pPr>
            <w:r>
              <w:rPr>
                <w:rFonts w:ascii="Arial" w:hAnsi="Arial" w:eastAsia="Arial"/>
                <w:b w:val="0"/>
                <w:color w:val="1F1F1F"/>
                <w:sz w:val="16"/>
              </w:rPr>
              <w:t>Stanton directed Harborview-specific screening; Fong’s Oct. 3 email acknowledges Cascade would have failed additional criteria; Fong summary reports undocumented, different thresholds. EDA §§1.11 and 7.1–7.2 require scrutiny of notice, standards and reasonable discretion.</w:t>
            </w:r>
          </w:p>
        </w:tc>
        <w:tc>
          <w:tcPr>
            <w:tcW w:type="dxa" w:w="4320"/>
            <w:tcMar>
              <w:top w:w="85" w:type="dxa"/>
              <w:start w:w="90" w:type="dxa"/>
              <w:bottom w:w="85" w:type="dxa"/>
              <w:end w:w="90" w:type="dxa"/>
            </w:tcMar>
            <w:vAlign w:val="top"/>
            <w:shd w:fill="F7F9FB"/>
          </w:tcPr>
          <w:p>
            <w:pPr>
              <w:spacing w:after="0" w:line="247" w:lineRule="auto"/>
            </w:pPr>
            <w:r>
              <w:rPr>
                <w:rFonts w:ascii="Arial" w:hAnsi="Arial" w:eastAsia="Arial"/>
                <w:b w:val="0"/>
                <w:color w:val="1F1F1F"/>
                <w:sz w:val="16"/>
              </w:rPr>
              <w:t>The QA spreadsheet, reports, email, and summaries conflict sharply. Obtain one verified lot universe, written manual versions, amendment notices, raw lab results, QA technician instructions, and actual rejection letters. Intent and justification are likely fact disputes; seek focused rulings on contract standards/undisputed protocol facts rather than broad intent findings.</w:t>
            </w:r>
          </w:p>
        </w:tc>
      </w:tr>
      <w:tr>
        <w:trPr>
          <w:cantSplit/>
        </w:trPr>
        <w:tc>
          <w:tcPr>
            <w:tcW w:type="dxa" w:w="1900"/>
            <w:tcMar>
              <w:top w:w="85" w:type="dxa"/>
              <w:start w:w="90" w:type="dxa"/>
              <w:bottom w:w="85" w:type="dxa"/>
              <w:end w:w="90" w:type="dxa"/>
            </w:tcMar>
            <w:vAlign w:val="top"/>
          </w:tcPr>
          <w:p>
            <w:pPr>
              <w:spacing w:after="0" w:line="247" w:lineRule="auto"/>
            </w:pPr>
            <w:r>
              <w:rPr>
                <w:rFonts w:ascii="Arial" w:hAnsi="Arial" w:eastAsia="Arial"/>
                <w:b/>
                <w:color w:val="1F4E79"/>
                <w:sz w:val="16"/>
              </w:rPr>
              <w:t>Year 3 notice, termination &amp; Greenleaf counterclaim</w:t>
            </w:r>
          </w:p>
        </w:tc>
        <w:tc>
          <w:tcPr>
            <w:tcW w:type="dxa" w:w="3816"/>
            <w:tcMar>
              <w:top w:w="85" w:type="dxa"/>
              <w:start w:w="90" w:type="dxa"/>
              <w:bottom w:w="85" w:type="dxa"/>
              <w:end w:w="90" w:type="dxa"/>
            </w:tcMar>
            <w:vAlign w:val="top"/>
          </w:tcPr>
          <w:p>
            <w:pPr>
              <w:spacing w:after="0" w:line="247" w:lineRule="auto"/>
            </w:pPr>
            <w:r>
              <w:rPr>
                <w:rFonts w:ascii="Arial" w:hAnsi="Arial" w:eastAsia="Arial"/>
                <w:b w:val="0"/>
                <w:color w:val="1F1F1F"/>
                <w:sz w:val="16"/>
              </w:rPr>
              <w:t>Sections 5.2–5.3 measure minimum purchases over full Purchase Year; §9.2 requires actual uncured breach and says premature termination notice has no force. Jan. 10 notice was before Mar. 14 year-end; termination effective Mar. 17. Actual final purchases are said to be $5.8M.</w:t>
            </w:r>
          </w:p>
        </w:tc>
        <w:tc>
          <w:tcPr>
            <w:tcW w:type="dxa" w:w="4320"/>
            <w:tcMar>
              <w:top w:w="85" w:type="dxa"/>
              <w:start w:w="90" w:type="dxa"/>
              <w:bottom w:w="85" w:type="dxa"/>
              <w:end w:w="90" w:type="dxa"/>
            </w:tcMar>
            <w:vAlign w:val="top"/>
          </w:tcPr>
          <w:p>
            <w:pPr>
              <w:spacing w:after="0" w:line="247" w:lineRule="auto"/>
            </w:pPr>
            <w:r>
              <w:rPr>
                <w:rFonts w:ascii="Arial" w:hAnsi="Arial" w:eastAsia="Arial"/>
                <w:b w:val="0"/>
                <w:color w:val="1F1F1F"/>
                <w:sz w:val="16"/>
              </w:rPr>
              <w:t>Greenleaf can rely on the final $1.2M shortfall and argue it was uncured. Separate the notice’s prematurity from whether a matured shortfall later supported termination. Show product access, withheld/diverted supply, cure feasibility, and receipt/dates. Counterclaim damages ($408K + $792K) require independent proof and must be tested under §§12.1–12.2.</w:t>
            </w:r>
          </w:p>
        </w:tc>
      </w:tr>
      <w:tr>
        <w:trPr>
          <w:cantSplit/>
        </w:trPr>
        <w:tc>
          <w:tcPr>
            <w:tcW w:type="dxa" w:w="1900"/>
            <w:tcMar>
              <w:top w:w="85" w:type="dxa"/>
              <w:start w:w="90" w:type="dxa"/>
              <w:bottom w:w="85" w:type="dxa"/>
              <w:end w:w="90" w:type="dxa"/>
            </w:tcMar>
            <w:vAlign w:val="top"/>
            <w:shd w:fill="F7F9FB"/>
          </w:tcPr>
          <w:p>
            <w:pPr>
              <w:spacing w:after="0" w:line="247" w:lineRule="auto"/>
            </w:pPr>
            <w:r>
              <w:rPr>
                <w:rFonts w:ascii="Arial" w:hAnsi="Arial" w:eastAsia="Arial"/>
                <w:b/>
                <w:color w:val="1F4E79"/>
                <w:sz w:val="16"/>
              </w:rPr>
              <w:t>Auto-renewal / Year 4</w:t>
            </w:r>
          </w:p>
        </w:tc>
        <w:tc>
          <w:tcPr>
            <w:tcW w:type="dxa" w:w="3816"/>
            <w:tcMar>
              <w:top w:w="85" w:type="dxa"/>
              <w:start w:w="90" w:type="dxa"/>
              <w:bottom w:w="85" w:type="dxa"/>
              <w:end w:w="90" w:type="dxa"/>
            </w:tcMar>
            <w:vAlign w:val="top"/>
            <w:shd w:fill="F7F9FB"/>
          </w:tcPr>
          <w:p>
            <w:pPr>
              <w:spacing w:after="0" w:line="247" w:lineRule="auto"/>
            </w:pPr>
            <w:r>
              <w:rPr>
                <w:rFonts w:ascii="Arial" w:hAnsi="Arial" w:eastAsia="Arial"/>
                <w:b w:val="0"/>
                <w:color w:val="1F1F1F"/>
                <w:sz w:val="16"/>
              </w:rPr>
              <w:t>§9.3 renews automatically without timely written notice; no non-renewal notice identified in production; Dec. 1 email flags the deadline; effective termination date falls two days into Year 4 if renewed.</w:t>
            </w:r>
          </w:p>
        </w:tc>
        <w:tc>
          <w:tcPr>
            <w:tcW w:type="dxa" w:w="4320"/>
            <w:tcMar>
              <w:top w:w="85" w:type="dxa"/>
              <w:start w:w="90" w:type="dxa"/>
              <w:bottom w:w="85" w:type="dxa"/>
              <w:end w:w="90" w:type="dxa"/>
            </w:tcMar>
            <w:vAlign w:val="top"/>
            <w:shd w:fill="F7F9FB"/>
          </w:tcPr>
          <w:p>
            <w:pPr>
              <w:spacing w:after="0" w:line="247" w:lineRule="auto"/>
            </w:pPr>
            <w:r>
              <w:rPr>
                <w:rFonts w:ascii="Arial" w:hAnsi="Arial" w:eastAsia="Arial"/>
                <w:b w:val="0"/>
                <w:color w:val="1F1F1F"/>
                <w:sz w:val="16"/>
              </w:rPr>
              <w:t>Confirm 90-day calculation (Dec. 14 vs. Dec. 15) and actual receipt under §14.4. Establish absence through complete records/custodian testimony. Do not equate “not found in production” with undisputed nonexistence absent foundation.</w:t>
            </w:r>
          </w:p>
        </w:tc>
      </w:tr>
      <w:tr>
        <w:trPr>
          <w:cantSplit/>
        </w:trPr>
        <w:tc>
          <w:tcPr>
            <w:tcW w:type="dxa" w:w="1900"/>
            <w:tcMar>
              <w:top w:w="85" w:type="dxa"/>
              <w:start w:w="90" w:type="dxa"/>
              <w:bottom w:w="85" w:type="dxa"/>
              <w:end w:w="90" w:type="dxa"/>
            </w:tcMar>
            <w:vAlign w:val="top"/>
          </w:tcPr>
          <w:p>
            <w:pPr>
              <w:spacing w:after="0" w:line="247" w:lineRule="auto"/>
            </w:pPr>
            <w:r>
              <w:rPr>
                <w:rFonts w:ascii="Arial" w:hAnsi="Arial" w:eastAsia="Arial"/>
                <w:b/>
                <w:color w:val="1F4E79"/>
                <w:sz w:val="16"/>
              </w:rPr>
              <w:t>Fraud / intentional misrepresentation</w:t>
            </w:r>
          </w:p>
        </w:tc>
        <w:tc>
          <w:tcPr>
            <w:tcW w:type="dxa" w:w="3816"/>
            <w:tcMar>
              <w:top w:w="85" w:type="dxa"/>
              <w:start w:w="90" w:type="dxa"/>
              <w:bottom w:w="85" w:type="dxa"/>
              <w:end w:w="90" w:type="dxa"/>
            </w:tcMar>
            <w:vAlign w:val="top"/>
          </w:tcPr>
          <w:p>
            <w:pPr>
              <w:spacing w:after="0" w:line="247" w:lineRule="auto"/>
            </w:pPr>
            <w:r>
              <w:rPr>
                <w:rFonts w:ascii="Arial" w:hAnsi="Arial" w:eastAsia="Arial"/>
                <w:b w:val="0"/>
                <w:color w:val="1F1F1F"/>
                <w:sz w:val="16"/>
              </w:rPr>
              <w:t>Holcomb’s Dec. 1 email says he told Beckett “supply chain issues” while questioning the narrative; contemporaneous allocation emails redirect product to Cascade; Holcomb summary reports no specific disruption identified. Targeted QA emails may support concealment/intent.</w:t>
            </w:r>
          </w:p>
        </w:tc>
        <w:tc>
          <w:tcPr>
            <w:tcW w:type="dxa" w:w="4320"/>
            <w:tcMar>
              <w:top w:w="85" w:type="dxa"/>
              <w:start w:w="90" w:type="dxa"/>
              <w:bottom w:w="85" w:type="dxa"/>
              <w:end w:w="90" w:type="dxa"/>
            </w:tcMar>
            <w:vAlign w:val="top"/>
          </w:tcPr>
          <w:p>
            <w:pPr>
              <w:spacing w:after="0" w:line="247" w:lineRule="auto"/>
            </w:pPr>
            <w:r>
              <w:rPr>
                <w:rFonts w:ascii="Arial" w:hAnsi="Arial" w:eastAsia="Arial"/>
                <w:b w:val="0"/>
                <w:color w:val="1F1F1F"/>
                <w:sz w:val="16"/>
              </w:rPr>
              <w:t>Pinpoint the exact representation to Harborview (date, speaker, content), proof of falsity/knowledge, reliance and resulting loss. Test affirmative reliance and reasonable diligence; consider limitations/discovery and Rule 9(b) defense. Resolve Jan. 3 counsel email privilege before use.</w:t>
            </w:r>
          </w:p>
        </w:tc>
      </w:tr>
      <w:tr>
        <w:trPr>
          <w:cantSplit/>
        </w:trPr>
        <w:tc>
          <w:tcPr>
            <w:tcW w:type="dxa" w:w="1900"/>
            <w:tcMar>
              <w:top w:w="85" w:type="dxa"/>
              <w:start w:w="90" w:type="dxa"/>
              <w:bottom w:w="85" w:type="dxa"/>
              <w:end w:w="90" w:type="dxa"/>
            </w:tcMar>
            <w:vAlign w:val="top"/>
            <w:shd w:fill="F7F9FB"/>
          </w:tcPr>
          <w:p>
            <w:pPr>
              <w:spacing w:after="0" w:line="247" w:lineRule="auto"/>
            </w:pPr>
            <w:r>
              <w:rPr>
                <w:rFonts w:ascii="Arial" w:hAnsi="Arial" w:eastAsia="Arial"/>
                <w:b/>
                <w:color w:val="1F4E79"/>
                <w:sz w:val="16"/>
              </w:rPr>
              <w:t>Tortious interference with downstream accounts</w:t>
            </w:r>
          </w:p>
        </w:tc>
        <w:tc>
          <w:tcPr>
            <w:tcW w:type="dxa" w:w="3816"/>
            <w:tcMar>
              <w:top w:w="85" w:type="dxa"/>
              <w:start w:w="90" w:type="dxa"/>
              <w:bottom w:w="85" w:type="dxa"/>
              <w:end w:w="90" w:type="dxa"/>
            </w:tcMar>
            <w:vAlign w:val="top"/>
            <w:shd w:fill="F7F9FB"/>
          </w:tcPr>
          <w:p>
            <w:pPr>
              <w:spacing w:after="0" w:line="247" w:lineRule="auto"/>
            </w:pPr>
            <w:r>
              <w:rPr>
                <w:rFonts w:ascii="Arial" w:hAnsi="Arial" w:eastAsia="Arial"/>
                <w:b w:val="0"/>
                <w:color w:val="1F1F1F"/>
                <w:sz w:val="16"/>
              </w:rPr>
              <w:t>Complaint identifies retailer relationships; Holcomb’s Aug. 22 email names Bridgeport Market, Timberline Co-op and Riverstone accounts and records preferences for Cascade.</w:t>
            </w:r>
          </w:p>
        </w:tc>
        <w:tc>
          <w:tcPr>
            <w:tcW w:type="dxa" w:w="4320"/>
            <w:tcMar>
              <w:top w:w="85" w:type="dxa"/>
              <w:start w:w="90" w:type="dxa"/>
              <w:bottom w:w="85" w:type="dxa"/>
              <w:end w:w="90" w:type="dxa"/>
            </w:tcMar>
            <w:vAlign w:val="top"/>
            <w:shd w:fill="F7F9FB"/>
          </w:tcPr>
          <w:p>
            <w:pPr>
              <w:spacing w:after="0" w:line="247" w:lineRule="auto"/>
            </w:pPr>
            <w:r>
              <w:rPr>
                <w:rFonts w:ascii="Arial" w:hAnsi="Arial" w:eastAsia="Arial"/>
                <w:b w:val="0"/>
                <w:color w:val="1F1F1F"/>
                <w:sz w:val="16"/>
              </w:rPr>
              <w:t>Prove specific existing/prospective relationships, actual disruption/loss, improper means/purpose, and causal connection. Obtain retailer testimony/orders/account-level sales and avoid duplicating contract damages. Greenleaf’s motion argues the pleading fails to identify specific relationships.</w:t>
            </w:r>
          </w:p>
        </w:tc>
      </w:tr>
      <w:tr>
        <w:trPr>
          <w:cantSplit/>
        </w:trPr>
        <w:tc>
          <w:tcPr>
            <w:tcW w:type="dxa" w:w="1900"/>
            <w:tcMar>
              <w:top w:w="85" w:type="dxa"/>
              <w:start w:w="90" w:type="dxa"/>
              <w:bottom w:w="85" w:type="dxa"/>
              <w:end w:w="90" w:type="dxa"/>
            </w:tcMar>
            <w:vAlign w:val="top"/>
          </w:tcPr>
          <w:p>
            <w:pPr>
              <w:spacing w:after="0" w:line="247" w:lineRule="auto"/>
            </w:pPr>
            <w:r>
              <w:rPr>
                <w:rFonts w:ascii="Arial" w:hAnsi="Arial" w:eastAsia="Arial"/>
                <w:b/>
                <w:color w:val="1F4E79"/>
                <w:sz w:val="16"/>
              </w:rPr>
              <w:t>Damages / expert admissibility</w:t>
            </w:r>
          </w:p>
        </w:tc>
        <w:tc>
          <w:tcPr>
            <w:tcW w:type="dxa" w:w="3816"/>
            <w:tcMar>
              <w:top w:w="85" w:type="dxa"/>
              <w:start w:w="90" w:type="dxa"/>
              <w:bottom w:w="85" w:type="dxa"/>
              <w:end w:w="90" w:type="dxa"/>
            </w:tcMar>
            <w:vAlign w:val="top"/>
          </w:tcPr>
          <w:p>
            <w:pPr>
              <w:spacing w:after="0" w:line="247" w:lineRule="auto"/>
            </w:pPr>
            <w:r>
              <w:rPr>
                <w:rFonts w:ascii="Arial" w:hAnsi="Arial" w:eastAsia="Arial"/>
                <w:b w:val="0"/>
                <w:color w:val="1F1F1F"/>
                <w:sz w:val="16"/>
              </w:rPr>
              <w:t>Chakrabarti calculates $8.202M: $342K diverted sales, $252K rejected shipments, $5.8M future profits, $1.808M mitigation. Buckley accepts only 3 rejections as justified and values 11 at $1.0987M (per his report).</w:t>
            </w:r>
          </w:p>
        </w:tc>
        <w:tc>
          <w:tcPr>
            <w:tcW w:type="dxa" w:w="4320"/>
            <w:tcMar>
              <w:top w:w="85" w:type="dxa"/>
              <w:start w:w="90" w:type="dxa"/>
              <w:bottom w:w="85" w:type="dxa"/>
              <w:end w:w="90" w:type="dxa"/>
            </w:tcMar>
            <w:vAlign w:val="top"/>
          </w:tcPr>
          <w:p>
            <w:pPr>
              <w:spacing w:after="0" w:line="247" w:lineRule="auto"/>
            </w:pPr>
            <w:r>
              <w:rPr>
                <w:rFonts w:ascii="Arial" w:hAnsi="Arial" w:eastAsia="Arial"/>
                <w:b w:val="0"/>
                <w:color w:val="1F1F1F"/>
                <w:sz w:val="16"/>
              </w:rPr>
              <w:t>Reconcile arithmetic and lot data; establish net vs. gross bases, commissions on sales not distributed by Harborview, variable costs, mitigation revenue/expense, customer losses, projection horizon, renewal probability, discount timing and double counting. Separate §3.1 carve-out from other contract theories under §12.1–12.2. Verify report service dates and expert source files.</w:t>
            </w:r>
          </w:p>
        </w:tc>
      </w:tr>
      <w:tr>
        <w:trPr>
          <w:cantSplit/>
        </w:trPr>
        <w:tc>
          <w:tcPr>
            <w:tcW w:type="dxa" w:w="1900"/>
            <w:tcMar>
              <w:top w:w="85" w:type="dxa"/>
              <w:start w:w="90" w:type="dxa"/>
              <w:bottom w:w="85" w:type="dxa"/>
              <w:end w:w="90" w:type="dxa"/>
            </w:tcMar>
            <w:vAlign w:val="top"/>
            <w:shd w:fill="F7F9FB"/>
          </w:tcPr>
          <w:p>
            <w:pPr>
              <w:spacing w:after="0" w:line="247" w:lineRule="auto"/>
            </w:pPr>
            <w:r>
              <w:rPr>
                <w:rFonts w:ascii="Arial" w:hAnsi="Arial" w:eastAsia="Arial"/>
                <w:b/>
                <w:color w:val="1F4E79"/>
                <w:sz w:val="16"/>
              </w:rPr>
              <w:t>Contract defenses / offsets / fees</w:t>
            </w:r>
          </w:p>
        </w:tc>
        <w:tc>
          <w:tcPr>
            <w:tcW w:type="dxa" w:w="3816"/>
            <w:tcMar>
              <w:top w:w="85" w:type="dxa"/>
              <w:start w:w="90" w:type="dxa"/>
              <w:bottom w:w="85" w:type="dxa"/>
              <w:end w:w="90" w:type="dxa"/>
            </w:tcMar>
            <w:vAlign w:val="top"/>
            <w:shd w:fill="F7F9FB"/>
          </w:tcPr>
          <w:p>
            <w:pPr>
              <w:spacing w:after="0" w:line="247" w:lineRule="auto"/>
            </w:pPr>
            <w:r>
              <w:rPr>
                <w:rFonts w:ascii="Arial" w:hAnsi="Arial" w:eastAsia="Arial"/>
                <w:b w:val="0"/>
                <w:color w:val="1F1F1F"/>
                <w:sz w:val="16"/>
              </w:rPr>
              <w:t>Greenleaf pleads mitigation, waiver, estoppel, unclean hands, comparative fault, speculation, limitations and justified termination. EDA §14.5 requires signed written waiver; §12.1–12.2 contain exclusions/cap and carve-outs.</w:t>
            </w:r>
          </w:p>
        </w:tc>
        <w:tc>
          <w:tcPr>
            <w:tcW w:type="dxa" w:w="4320"/>
            <w:tcMar>
              <w:top w:w="85" w:type="dxa"/>
              <w:start w:w="90" w:type="dxa"/>
              <w:bottom w:w="85" w:type="dxa"/>
              <w:end w:w="90" w:type="dxa"/>
            </w:tcMar>
            <w:vAlign w:val="top"/>
            <w:shd w:fill="F7F9FB"/>
          </w:tcPr>
          <w:p>
            <w:pPr>
              <w:spacing w:after="0" w:line="247" w:lineRule="auto"/>
            </w:pPr>
            <w:r>
              <w:rPr>
                <w:rFonts w:ascii="Arial" w:hAnsi="Arial" w:eastAsia="Arial"/>
                <w:b w:val="0"/>
                <w:color w:val="1F1F1F"/>
                <w:sz w:val="16"/>
              </w:rPr>
              <w:t>Demand factual support for each defense and compare with Feb. 22 protest and contemporaneous records. EDA provided does not contain the attorney-fee provision cited in Complaint ¶85 (Complaint cites §14.8, which is governing law/forum in the EDA). Confirm whether another executed agreement/fee clause exists before seeking or conceding fees.</w:t>
            </w:r>
          </w:p>
        </w:tc>
      </w:tr>
    </w:tbl>
    <w:p>
      <w:pPr>
        <w:spacing w:after="0"/>
      </w:pPr>
    </w:p>
    <w:p>
      <w:pPr>
        <w:pStyle w:val="Heading1"/>
        <w:keepNext/>
        <w:spacing w:before="180" w:after="80"/>
      </w:pPr>
      <w:r>
        <w:rPr>
          <w:rFonts w:ascii="Arial" w:hAnsi="Arial" w:eastAsia="Arial"/>
          <w:b/>
          <w:color w:val="17365D"/>
          <w:sz w:val="30"/>
        </w:rPr>
        <w:t>IV. Critical Record Conflicts / Verification Priorities</w:t>
      </w:r>
    </w:p>
    <w:tbl>
      <w:tblPr>
        <w:tblW w:type="auto" w:w="0"/>
        <w:jc w:val="center"/>
        <w:tblLayout w:type="fixed"/>
        <w:tblLook w:firstColumn="1" w:firstRow="1" w:lastColumn="0" w:lastRow="0" w:noHBand="0" w:noVBand="1" w:val="04A0"/>
        <w:tblBorders>
          <w:top w:val="single" w:sz="5" w:space="0" w:color="A6B9C8"/>
          <w:left w:val="single" w:sz="5" w:space="0" w:color="A6B9C8"/>
          <w:bottom w:val="single" w:sz="5" w:space="0" w:color="A6B9C8"/>
          <w:right w:val="single" w:sz="5" w:space="0" w:color="A6B9C8"/>
          <w:insideH w:val="single" w:sz="5" w:space="0" w:color="A6B9C8"/>
          <w:insideV w:val="single" w:sz="5" w:space="0" w:color="A6B9C8"/>
        </w:tblBorders>
      </w:tblPr>
      <w:tblGrid>
        <w:gridCol w:w="10008"/>
      </w:tblGrid>
      <w:tr>
        <w:tc>
          <w:tcPr>
            <w:tcW w:type="dxa" w:w="10008"/>
            <w:tcMar>
              <w:top w:w="120" w:type="dxa"/>
              <w:start w:w="150" w:type="dxa"/>
              <w:bottom w:w="120" w:type="dxa"/>
              <w:end w:w="150" w:type="dxa"/>
            </w:tcMar>
            <w:shd w:fill="FCE4D6"/>
            <w:vAlign w:val="center"/>
          </w:tcPr>
          <w:p>
            <w:pPr>
              <w:spacing w:after="40"/>
            </w:pPr>
            <w:r>
              <w:rPr>
                <w:rFonts w:ascii="Arial" w:hAnsi="Arial" w:eastAsia="Arial"/>
                <w:b/>
                <w:color w:val="17365D"/>
                <w:sz w:val="20"/>
              </w:rPr>
              <w:t>HOLD BEFORE FILING A QA-BASED SUMMARY-JUDGMENT STATEMENT</w:t>
            </w:r>
          </w:p>
          <w:p>
            <w:pPr>
              <w:spacing w:after="0" w:line="254" w:lineRule="auto"/>
            </w:pPr>
            <w:r>
              <w:rPr>
                <w:rFonts w:ascii="Arial" w:hAnsi="Arial" w:eastAsia="Arial"/>
                <w:color w:val="1F1F1F"/>
                <w:sz w:val="18"/>
              </w:rPr>
              <w:t>The spreadsheet and expert/deposition materials cannot all be describing the same lot population as presently supplied. The differences affect count, denominator, defect classification, thresholds, product value and statistical significance. A motion should not state “14 of 86 vs. 2 of 78,” “p &lt; .005,” or that particular lots were invalid without first reconciling source data and obtaining a qualified witness.</w:t>
            </w:r>
          </w:p>
        </w:tc>
      </w:tr>
    </w:tbl>
    <w:p>
      <w:pPr>
        <w:spacing w:after="0"/>
      </w:pP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117"/>
        <w:gridCol w:w="4608"/>
        <w:gridCol w:w="3312"/>
      </w:tblGrid>
      <w:tr>
        <w:trPr>
          <w:tblHeader w:val="true"/>
        </w:trPr>
        <w:tc>
          <w:tcPr>
            <w:tcW w:type="dxa" w:w="2116"/>
            <w:shd w:fill="17365D"/>
            <w:tcMar>
              <w:top w:w="90" w:type="dxa"/>
              <w:start w:w="90" w:type="dxa"/>
              <w:bottom w:w="90" w:type="dxa"/>
              <w:end w:w="90" w:type="dxa"/>
            </w:tcMar>
          </w:tcPr>
          <w:p>
            <w:pPr>
              <w:spacing w:after="0"/>
            </w:pPr>
            <w:r>
              <w:rPr>
                <w:rFonts w:ascii="Arial" w:hAnsi="Arial" w:eastAsia="Arial"/>
                <w:b/>
                <w:color w:val="FFFFFF"/>
                <w:sz w:val="16"/>
              </w:rPr>
              <w:t>PRIORITY</w:t>
            </w:r>
          </w:p>
        </w:tc>
        <w:tc>
          <w:tcPr>
            <w:tcW w:type="dxa" w:w="4608"/>
            <w:shd w:fill="17365D"/>
            <w:tcMar>
              <w:top w:w="90" w:type="dxa"/>
              <w:start w:w="90" w:type="dxa"/>
              <w:bottom w:w="90" w:type="dxa"/>
              <w:end w:w="90" w:type="dxa"/>
            </w:tcMar>
          </w:tcPr>
          <w:p>
            <w:pPr>
              <w:spacing w:after="0"/>
            </w:pPr>
            <w:r>
              <w:rPr>
                <w:rFonts w:ascii="Arial" w:hAnsi="Arial" w:eastAsia="Arial"/>
                <w:b/>
                <w:color w:val="FFFFFF"/>
                <w:sz w:val="16"/>
              </w:rPr>
              <w:t>WHAT THE RECORD SHOWS</w:t>
            </w:r>
          </w:p>
        </w:tc>
        <w:tc>
          <w:tcPr>
            <w:tcW w:type="dxa" w:w="3311"/>
            <w:shd w:fill="17365D"/>
            <w:tcMar>
              <w:top w:w="90" w:type="dxa"/>
              <w:start w:w="90" w:type="dxa"/>
              <w:bottom w:w="90" w:type="dxa"/>
              <w:end w:w="90" w:type="dxa"/>
            </w:tcMar>
          </w:tcPr>
          <w:p>
            <w:pPr>
              <w:spacing w:after="0"/>
            </w:pPr>
            <w:r>
              <w:rPr>
                <w:rFonts w:ascii="Arial" w:hAnsi="Arial" w:eastAsia="Arial"/>
                <w:b/>
                <w:color w:val="FFFFFF"/>
                <w:sz w:val="16"/>
              </w:rPr>
              <w:t>REQUIRED RECONCILIATION</w:t>
            </w:r>
          </w:p>
        </w:tc>
      </w:tr>
      <w:tr>
        <w:trPr>
          <w:cantSplit/>
        </w:trPr>
        <w:tc>
          <w:tcPr>
            <w:tcW w:type="dxa" w:w="2116"/>
            <w:tcMar>
              <w:top w:w="78" w:type="dxa"/>
              <w:start w:w="82" w:type="dxa"/>
              <w:bottom w:w="78" w:type="dxa"/>
              <w:end w:w="82" w:type="dxa"/>
            </w:tcMar>
            <w:vAlign w:val="top"/>
          </w:tcPr>
          <w:p>
            <w:pPr>
              <w:spacing w:after="0" w:line="240" w:lineRule="auto"/>
            </w:pPr>
            <w:r>
              <w:rPr>
                <w:rFonts w:ascii="Arial" w:hAnsi="Arial" w:eastAsia="Arial"/>
                <w:b/>
                <w:color w:val="1F4E79"/>
                <w:sz w:val="16"/>
              </w:rPr>
              <w:t>1. QA rejection count and spreadsheet rows</w:t>
            </w:r>
          </w:p>
        </w:tc>
        <w:tc>
          <w:tcPr>
            <w:tcW w:type="dxa" w:w="4608"/>
            <w:tcMar>
              <w:top w:w="78" w:type="dxa"/>
              <w:start w:w="82" w:type="dxa"/>
              <w:bottom w:w="78" w:type="dxa"/>
              <w:end w:w="82" w:type="dxa"/>
            </w:tcMar>
            <w:vAlign w:val="top"/>
          </w:tcPr>
          <w:p>
            <w:pPr>
              <w:spacing w:after="0" w:line="240" w:lineRule="auto"/>
            </w:pPr>
            <w:r>
              <w:rPr>
                <w:rFonts w:ascii="Arial" w:hAnsi="Arial" w:eastAsia="Arial"/>
                <w:b w:val="0"/>
                <w:color w:val="1F1F1F"/>
                <w:sz w:val="16"/>
              </w:rPr>
              <w:t>Harborview Lots sheet visibly numbers 15 rejection rows (H-2201, H-2203, H-2207, H-2208, H-2209, H-2211, H-2215, H-2220, H-2223, H-2226, H-2230, H-2233, H-2237, H-2240, H-2245), while its summary says 14. Row values total $1,317,900; monthly summary figures do not reconcile to these rows (October shows 4 rejections/$362,950 although five rows appear). Bottom-line adjusted value says $1.4M.</w:t>
            </w:r>
          </w:p>
        </w:tc>
        <w:tc>
          <w:tcPr>
            <w:tcW w:type="dxa" w:w="3311"/>
            <w:tcMar>
              <w:top w:w="78" w:type="dxa"/>
              <w:start w:w="82" w:type="dxa"/>
              <w:bottom w:w="78" w:type="dxa"/>
              <w:end w:w="82" w:type="dxa"/>
            </w:tcMar>
            <w:vAlign w:val="top"/>
          </w:tcPr>
          <w:p>
            <w:pPr>
              <w:spacing w:after="0" w:line="240" w:lineRule="auto"/>
            </w:pPr>
            <w:r>
              <w:rPr>
                <w:rFonts w:ascii="Arial" w:hAnsi="Arial" w:eastAsia="Arial"/>
                <w:b w:val="0"/>
                <w:color w:val="1F1F1F"/>
                <w:sz w:val="16"/>
              </w:rPr>
              <w:t>Obtain native workbook with formulas/hidden rows, audit reconciliation memo (March 15, 2023), source QA notices, and custodian explanation. Identify whether an entry is duplicate, excluded, or later adjustment.</w:t>
            </w:r>
          </w:p>
        </w:tc>
      </w:tr>
      <w:tr>
        <w:trPr>
          <w:cantSplit/>
        </w:trPr>
        <w:tc>
          <w:tcPr>
            <w:tcW w:type="dxa" w:w="2116"/>
            <w:tcMar>
              <w:top w:w="78" w:type="dxa"/>
              <w:start w:w="82" w:type="dxa"/>
              <w:bottom w:w="78" w:type="dxa"/>
              <w:end w:w="82" w:type="dxa"/>
            </w:tcMar>
            <w:vAlign w:val="top"/>
            <w:shd w:fill="F7F9FB"/>
          </w:tcPr>
          <w:p>
            <w:pPr>
              <w:spacing w:after="0" w:line="240" w:lineRule="auto"/>
            </w:pPr>
            <w:r>
              <w:rPr>
                <w:rFonts w:ascii="Arial" w:hAnsi="Arial" w:eastAsia="Arial"/>
                <w:b/>
                <w:color w:val="1F4E79"/>
                <w:sz w:val="16"/>
              </w:rPr>
              <w:t>2. Denominator and rejection rates</w:t>
            </w:r>
          </w:p>
        </w:tc>
        <w:tc>
          <w:tcPr>
            <w:tcW w:type="dxa" w:w="4608"/>
            <w:tcMar>
              <w:top w:w="78" w:type="dxa"/>
              <w:start w:w="82" w:type="dxa"/>
              <w:bottom w:w="78" w:type="dxa"/>
              <w:end w:w="82" w:type="dxa"/>
            </w:tcMar>
            <w:vAlign w:val="top"/>
            <w:shd w:fill="F7F9FB"/>
          </w:tcPr>
          <w:p>
            <w:pPr>
              <w:spacing w:after="0" w:line="240" w:lineRule="auto"/>
            </w:pPr>
            <w:r>
              <w:rPr>
                <w:rFonts w:ascii="Arial" w:hAnsi="Arial" w:eastAsia="Arial"/>
                <w:b w:val="0"/>
                <w:color w:val="1F1F1F"/>
                <w:sz w:val="16"/>
              </w:rPr>
              <w:t>QA spreadsheet summary: 34 Harborview lots, 18 non-Harborview lots; 14/34 (41.2%) and 2/18 (11.1%). Buckley report: about 86 and 78 lots; 14/86 (16.3%) and 2/78 (2.6%), p&lt;.005. The populations and percentages differ materially.</w:t>
            </w:r>
          </w:p>
        </w:tc>
        <w:tc>
          <w:tcPr>
            <w:tcW w:type="dxa" w:w="3311"/>
            <w:tcMar>
              <w:top w:w="78" w:type="dxa"/>
              <w:start w:w="82" w:type="dxa"/>
              <w:bottom w:w="78" w:type="dxa"/>
              <w:end w:w="82" w:type="dxa"/>
            </w:tcMar>
            <w:vAlign w:val="top"/>
            <w:shd w:fill="F7F9FB"/>
          </w:tcPr>
          <w:p>
            <w:pPr>
              <w:spacing w:after="0" w:line="240" w:lineRule="auto"/>
            </w:pPr>
            <w:r>
              <w:rPr>
                <w:rFonts w:ascii="Arial" w:hAnsi="Arial" w:eastAsia="Arial"/>
                <w:b w:val="0"/>
                <w:color w:val="1F1F1F"/>
                <w:sz w:val="16"/>
              </w:rPr>
              <w:t>Demand full lot-level population for the same date range, product type/line, distributor and actual protocol applied; document inclusion/exclusion criteria. Recalculate Fisher/chi-square from authenticated data and have expert explain why the two populations differ.</w:t>
            </w:r>
          </w:p>
        </w:tc>
      </w:tr>
      <w:tr>
        <w:trPr>
          <w:cantSplit/>
        </w:trPr>
        <w:tc>
          <w:tcPr>
            <w:tcW w:type="dxa" w:w="2116"/>
            <w:tcMar>
              <w:top w:w="78" w:type="dxa"/>
              <w:start w:w="82" w:type="dxa"/>
              <w:bottom w:w="78" w:type="dxa"/>
              <w:end w:w="82" w:type="dxa"/>
            </w:tcMar>
            <w:vAlign w:val="top"/>
          </w:tcPr>
          <w:p>
            <w:pPr>
              <w:spacing w:after="0" w:line="240" w:lineRule="auto"/>
            </w:pPr>
            <w:r>
              <w:rPr>
                <w:rFonts w:ascii="Arial" w:hAnsi="Arial" w:eastAsia="Arial"/>
                <w:b/>
                <w:color w:val="1F4E79"/>
                <w:sz w:val="16"/>
              </w:rPr>
              <w:t>3. QA lot identities, dates, products and values</w:t>
            </w:r>
          </w:p>
        </w:tc>
        <w:tc>
          <w:tcPr>
            <w:tcW w:type="dxa" w:w="4608"/>
            <w:tcMar>
              <w:top w:w="78" w:type="dxa"/>
              <w:start w:w="82" w:type="dxa"/>
              <w:bottom w:w="78" w:type="dxa"/>
              <w:end w:w="82" w:type="dxa"/>
            </w:tcMar>
            <w:vAlign w:val="top"/>
          </w:tcPr>
          <w:p>
            <w:pPr>
              <w:spacing w:after="0" w:line="240" w:lineRule="auto"/>
            </w:pPr>
            <w:r>
              <w:rPr>
                <w:rFonts w:ascii="Arial" w:hAnsi="Arial" w:eastAsia="Arial"/>
                <w:b w:val="0"/>
                <w:color w:val="1F1F1F"/>
                <w:sz w:val="16"/>
              </w:rPr>
              <w:t>Buckley’s 14-lot table does not match the spreadsheet. Examples: Buckley calls H-2209 an Oct. 5 granola lot at $104,200 with TPC 1.2×10^5; spreadsheet calls H-2209 Oct. 3 cranberry cashew bars at $112,000 and TPC 850 CFU/g. Buckley identifies H-2218 and H-2225 as Harborview rejections; spreadsheet’s H-2218/C-2225 are non-Harborview entries or absent from Harborview rejects. Several report “rejections” are marked passed in the spreadsheet.</w:t>
            </w:r>
          </w:p>
        </w:tc>
        <w:tc>
          <w:tcPr>
            <w:tcW w:type="dxa" w:w="3311"/>
            <w:tcMar>
              <w:top w:w="78" w:type="dxa"/>
              <w:start w:w="82" w:type="dxa"/>
              <w:bottom w:w="78" w:type="dxa"/>
              <w:end w:w="82" w:type="dxa"/>
            </w:tcMar>
            <w:vAlign w:val="top"/>
          </w:tcPr>
          <w:p>
            <w:pPr>
              <w:spacing w:after="0" w:line="240" w:lineRule="auto"/>
            </w:pPr>
            <w:r>
              <w:rPr>
                <w:rFonts w:ascii="Arial" w:hAnsi="Arial" w:eastAsia="Arial"/>
                <w:b w:val="0"/>
                <w:color w:val="1F1F1F"/>
                <w:sz w:val="16"/>
              </w:rPr>
              <w:t>Build a crosswalk keyed by unique lot ID, date, SKU, destination, lab sample, rejection notice, value and disposition; correct both experts’ schedules and obtain supplemental disclosures/depositions if appropriate.</w:t>
            </w:r>
          </w:p>
        </w:tc>
      </w:tr>
      <w:tr>
        <w:trPr>
          <w:cantSplit/>
        </w:trPr>
        <w:tc>
          <w:tcPr>
            <w:tcW w:type="dxa" w:w="2116"/>
            <w:tcMar>
              <w:top w:w="78" w:type="dxa"/>
              <w:start w:w="82" w:type="dxa"/>
              <w:bottom w:w="78" w:type="dxa"/>
              <w:end w:w="82" w:type="dxa"/>
            </w:tcMar>
            <w:vAlign w:val="top"/>
            <w:shd w:fill="F7F9FB"/>
          </w:tcPr>
          <w:p>
            <w:pPr>
              <w:spacing w:after="0" w:line="240" w:lineRule="auto"/>
            </w:pPr>
            <w:r>
              <w:rPr>
                <w:rFonts w:ascii="Arial" w:hAnsi="Arial" w:eastAsia="Arial"/>
                <w:b/>
                <w:color w:val="1F4E79"/>
                <w:sz w:val="16"/>
              </w:rPr>
              <w:t>4. Different quality thresholds</w:t>
            </w:r>
          </w:p>
        </w:tc>
        <w:tc>
          <w:tcPr>
            <w:tcW w:type="dxa" w:w="4608"/>
            <w:tcMar>
              <w:top w:w="78" w:type="dxa"/>
              <w:start w:w="82" w:type="dxa"/>
              <w:bottom w:w="78" w:type="dxa"/>
              <w:end w:w="82" w:type="dxa"/>
            </w:tcMar>
            <w:vAlign w:val="top"/>
            <w:shd w:fill="F7F9FB"/>
          </w:tcPr>
          <w:p>
            <w:pPr>
              <w:spacing w:after="0" w:line="240" w:lineRule="auto"/>
            </w:pPr>
            <w:r>
              <w:rPr>
                <w:rFonts w:ascii="Arial" w:hAnsi="Arial" w:eastAsia="Arial"/>
                <w:b w:val="0"/>
                <w:color w:val="1F1F1F"/>
                <w:sz w:val="16"/>
              </w:rPr>
              <w:t>EDA Exhibit B lists total plate count max 10,000 CFU/g. QA log notes standard TPC max 1,000 and enhanced max 500 for certain product; Buckley cites a 100,000 CFU/g granola rejection threshold. These are not facially reconcilable. EDA separately refers to Greenleaf’s QA Manual/SOPs, and allows Quality Standards amendment upon written notice.</w:t>
            </w:r>
          </w:p>
        </w:tc>
        <w:tc>
          <w:tcPr>
            <w:tcW w:type="dxa" w:w="3311"/>
            <w:tcMar>
              <w:top w:w="78" w:type="dxa"/>
              <w:start w:w="82" w:type="dxa"/>
              <w:bottom w:w="78" w:type="dxa"/>
              <w:end w:w="82" w:type="dxa"/>
            </w:tcMar>
            <w:vAlign w:val="top"/>
            <w:shd w:fill="F7F9FB"/>
          </w:tcPr>
          <w:p>
            <w:pPr>
              <w:spacing w:after="0" w:line="240" w:lineRule="auto"/>
            </w:pPr>
            <w:r>
              <w:rPr>
                <w:rFonts w:ascii="Arial" w:hAnsi="Arial" w:eastAsia="Arial"/>
                <w:b w:val="0"/>
                <w:color w:val="1F1F1F"/>
                <w:sz w:val="16"/>
              </w:rPr>
              <w:t>Identify controlling contract standard by product and period; produce signed/operative Exhibit B, every QA manual/SOP version, change notice to Harborview, and source for expert thresholds. Clarify whether figures are category-specific or reflect a unit/transcription error.</w:t>
            </w:r>
          </w:p>
        </w:tc>
      </w:tr>
      <w:tr>
        <w:trPr>
          <w:cantSplit/>
        </w:trPr>
        <w:tc>
          <w:tcPr>
            <w:tcW w:type="dxa" w:w="2116"/>
            <w:tcMar>
              <w:top w:w="78" w:type="dxa"/>
              <w:start w:w="82" w:type="dxa"/>
              <w:bottom w:w="78" w:type="dxa"/>
              <w:end w:w="82" w:type="dxa"/>
            </w:tcMar>
            <w:vAlign w:val="top"/>
          </w:tcPr>
          <w:p>
            <w:pPr>
              <w:spacing w:after="0" w:line="240" w:lineRule="auto"/>
            </w:pPr>
            <w:r>
              <w:rPr>
                <w:rFonts w:ascii="Arial" w:hAnsi="Arial" w:eastAsia="Arial"/>
                <w:b/>
                <w:color w:val="1F4E79"/>
                <w:sz w:val="16"/>
              </w:rPr>
              <w:t>5. Email / log / deposition discrepancies</w:t>
            </w:r>
          </w:p>
        </w:tc>
        <w:tc>
          <w:tcPr>
            <w:tcW w:type="dxa" w:w="4608"/>
            <w:tcMar>
              <w:top w:w="78" w:type="dxa"/>
              <w:start w:w="82" w:type="dxa"/>
              <w:bottom w:w="78" w:type="dxa"/>
              <w:end w:w="82" w:type="dxa"/>
            </w:tcMar>
            <w:vAlign w:val="top"/>
          </w:tcPr>
          <w:p>
            <w:pPr>
              <w:spacing w:after="0" w:line="240" w:lineRule="auto"/>
            </w:pPr>
            <w:r>
              <w:rPr>
                <w:rFonts w:ascii="Arial" w:hAnsi="Arial" w:eastAsia="Arial"/>
                <w:b w:val="0"/>
                <w:color w:val="1F1F1F"/>
                <w:sz w:val="16"/>
              </w:rPr>
              <w:t>Oct. 3 Fong email reports four rejections among H-2209–H-2215 and $187K, but spreadsheet’s lot numbers, timing, rejections and dollar values in that sequence do not cleanly match. Fong deposition summary reports her contemporaneous email as an admission, while Buckley’s sample table uses yet another mapping.</w:t>
            </w:r>
          </w:p>
        </w:tc>
        <w:tc>
          <w:tcPr>
            <w:tcW w:type="dxa" w:w="3311"/>
            <w:tcMar>
              <w:top w:w="78" w:type="dxa"/>
              <w:start w:w="82" w:type="dxa"/>
              <w:bottom w:w="78" w:type="dxa"/>
              <w:end w:w="82" w:type="dxa"/>
            </w:tcMar>
            <w:vAlign w:val="top"/>
          </w:tcPr>
          <w:p>
            <w:pPr>
              <w:spacing w:after="0" w:line="240" w:lineRule="auto"/>
            </w:pPr>
            <w:r>
              <w:rPr>
                <w:rFonts w:ascii="Arial" w:hAnsi="Arial" w:eastAsia="Arial"/>
                <w:b w:val="0"/>
                <w:color w:val="1F1F1F"/>
                <w:sz w:val="16"/>
              </w:rPr>
              <w:t>Use email itself as evidence of selective protocol, but do not attribute specific lot outcomes or dollars until Fong, the QA custodian, technicians and experts reconcile the evidence. Confirm exhibit labels and Bates ranges.</w:t>
            </w:r>
          </w:p>
        </w:tc>
      </w:tr>
      <w:tr>
        <w:trPr>
          <w:cantSplit/>
        </w:trPr>
        <w:tc>
          <w:tcPr>
            <w:tcW w:type="dxa" w:w="2116"/>
            <w:tcMar>
              <w:top w:w="78" w:type="dxa"/>
              <w:start w:w="82" w:type="dxa"/>
              <w:bottom w:w="78" w:type="dxa"/>
              <w:end w:w="82" w:type="dxa"/>
            </w:tcMar>
            <w:vAlign w:val="top"/>
            <w:shd w:fill="F7F9FB"/>
          </w:tcPr>
          <w:p>
            <w:pPr>
              <w:spacing w:after="0" w:line="240" w:lineRule="auto"/>
            </w:pPr>
            <w:r>
              <w:rPr>
                <w:rFonts w:ascii="Arial" w:hAnsi="Arial" w:eastAsia="Arial"/>
                <w:b/>
                <w:color w:val="1F4E79"/>
                <w:sz w:val="16"/>
              </w:rPr>
              <w:t>6. Cascade “would fail” count</w:t>
            </w:r>
          </w:p>
        </w:tc>
        <w:tc>
          <w:tcPr>
            <w:tcW w:type="dxa" w:w="4608"/>
            <w:tcMar>
              <w:top w:w="78" w:type="dxa"/>
              <w:start w:w="82" w:type="dxa"/>
              <w:bottom w:w="78" w:type="dxa"/>
              <w:end w:w="82" w:type="dxa"/>
            </w:tcMar>
            <w:vAlign w:val="top"/>
            <w:shd w:fill="F7F9FB"/>
          </w:tcPr>
          <w:p>
            <w:pPr>
              <w:spacing w:after="0" w:line="240" w:lineRule="auto"/>
            </w:pPr>
            <w:r>
              <w:rPr>
                <w:rFonts w:ascii="Arial" w:hAnsi="Arial" w:eastAsia="Arial"/>
                <w:b w:val="0"/>
                <w:color w:val="1F1F1F"/>
                <w:sz w:val="16"/>
              </w:rPr>
              <w:t>Fong email says at least two Cascade lots would have been flagged; spreadsheet notes identify several (at least four or five depending on count) that would fail enhanced screening. Buckley report does not set out the same lot-level comparison.</w:t>
            </w:r>
          </w:p>
        </w:tc>
        <w:tc>
          <w:tcPr>
            <w:tcW w:type="dxa" w:w="3311"/>
            <w:tcMar>
              <w:top w:w="78" w:type="dxa"/>
              <w:start w:w="82" w:type="dxa"/>
              <w:bottom w:w="78" w:type="dxa"/>
              <w:end w:w="82" w:type="dxa"/>
            </w:tcMar>
            <w:vAlign w:val="top"/>
            <w:shd w:fill="F7F9FB"/>
          </w:tcPr>
          <w:p>
            <w:pPr>
              <w:spacing w:after="0" w:line="240" w:lineRule="auto"/>
            </w:pPr>
            <w:r>
              <w:rPr>
                <w:rFonts w:ascii="Arial" w:hAnsi="Arial" w:eastAsia="Arial"/>
                <w:b w:val="0"/>
                <w:color w:val="1F1F1F"/>
                <w:sz w:val="16"/>
              </w:rPr>
              <w:t>Obtain raw Cascade test values and use same protocol/period rules for every distributor. Distinguish lots “would have been flagged” from lots that would necessarily fail a valid contractual standard.</w:t>
            </w:r>
          </w:p>
        </w:tc>
      </w:tr>
      <w:tr>
        <w:trPr>
          <w:cantSplit/>
        </w:trPr>
        <w:tc>
          <w:tcPr>
            <w:tcW w:type="dxa" w:w="2116"/>
            <w:tcMar>
              <w:top w:w="78" w:type="dxa"/>
              <w:start w:w="82" w:type="dxa"/>
              <w:bottom w:w="78" w:type="dxa"/>
              <w:end w:w="82" w:type="dxa"/>
            </w:tcMar>
            <w:vAlign w:val="top"/>
          </w:tcPr>
          <w:p>
            <w:pPr>
              <w:spacing w:after="0" w:line="240" w:lineRule="auto"/>
            </w:pPr>
            <w:r>
              <w:rPr>
                <w:rFonts w:ascii="Arial" w:hAnsi="Arial" w:eastAsia="Arial"/>
                <w:b/>
                <w:color w:val="1F4E79"/>
                <w:sz w:val="16"/>
              </w:rPr>
              <w:t>7. Non-renewal deadline and notice</w:t>
            </w:r>
          </w:p>
        </w:tc>
        <w:tc>
          <w:tcPr>
            <w:tcW w:type="dxa" w:w="4608"/>
            <w:tcMar>
              <w:top w:w="78" w:type="dxa"/>
              <w:start w:w="82" w:type="dxa"/>
              <w:bottom w:w="78" w:type="dxa"/>
              <w:end w:w="82" w:type="dxa"/>
            </w:tcMar>
            <w:vAlign w:val="top"/>
          </w:tcPr>
          <w:p>
            <w:pPr>
              <w:spacing w:after="0" w:line="240" w:lineRule="auto"/>
            </w:pPr>
            <w:r>
              <w:rPr>
                <w:rFonts w:ascii="Arial" w:hAnsi="Arial" w:eastAsia="Arial"/>
                <w:b w:val="0"/>
                <w:color w:val="1F1F1F"/>
                <w:sz w:val="16"/>
              </w:rPr>
              <w:t>Materials variously say Dec. 14 and Dec. 15; EDA requires notice at least 90 days before Mar. 14 expiration and notices are effective upon actual receipt. Chakrabarti says no notice was found; Holcomb cannot recall one.</w:t>
            </w:r>
          </w:p>
        </w:tc>
        <w:tc>
          <w:tcPr>
            <w:tcW w:type="dxa" w:w="3311"/>
            <w:tcMar>
              <w:top w:w="78" w:type="dxa"/>
              <w:start w:w="82" w:type="dxa"/>
              <w:bottom w:w="78" w:type="dxa"/>
              <w:end w:w="82" w:type="dxa"/>
            </w:tcMar>
            <w:vAlign w:val="top"/>
          </w:tcPr>
          <w:p>
            <w:pPr>
              <w:spacing w:after="0" w:line="240" w:lineRule="auto"/>
            </w:pPr>
            <w:r>
              <w:rPr>
                <w:rFonts w:ascii="Arial" w:hAnsi="Arial" w:eastAsia="Arial"/>
                <w:b w:val="0"/>
                <w:color w:val="1F1F1F"/>
                <w:sz w:val="16"/>
              </w:rPr>
              <w:t>Calculate date under governing counting rule, verify delivery/receipt and addressee, request all non-renewal records from both parties, and obtain custodian testimony. Confirm there was no separate notice or notice by another authorized method.</w:t>
            </w:r>
          </w:p>
        </w:tc>
      </w:tr>
      <w:tr>
        <w:trPr>
          <w:cantSplit/>
        </w:trPr>
        <w:tc>
          <w:tcPr>
            <w:tcW w:type="dxa" w:w="2116"/>
            <w:tcMar>
              <w:top w:w="78" w:type="dxa"/>
              <w:start w:w="82" w:type="dxa"/>
              <w:bottom w:w="78" w:type="dxa"/>
              <w:end w:w="82" w:type="dxa"/>
            </w:tcMar>
            <w:vAlign w:val="top"/>
            <w:shd w:fill="F7F9FB"/>
          </w:tcPr>
          <w:p>
            <w:pPr>
              <w:spacing w:after="0" w:line="240" w:lineRule="auto"/>
            </w:pPr>
            <w:r>
              <w:rPr>
                <w:rFonts w:ascii="Arial" w:hAnsi="Arial" w:eastAsia="Arial"/>
                <w:b/>
                <w:color w:val="1F4E79"/>
                <w:sz w:val="16"/>
              </w:rPr>
              <w:t>8. Section references / fee basis</w:t>
            </w:r>
          </w:p>
        </w:tc>
        <w:tc>
          <w:tcPr>
            <w:tcW w:type="dxa" w:w="4608"/>
            <w:tcMar>
              <w:top w:w="78" w:type="dxa"/>
              <w:start w:w="82" w:type="dxa"/>
              <w:bottom w:w="78" w:type="dxa"/>
              <w:end w:w="82" w:type="dxa"/>
            </w:tcMar>
            <w:vAlign w:val="top"/>
            <w:shd w:fill="F7F9FB"/>
          </w:tcPr>
          <w:p>
            <w:pPr>
              <w:spacing w:after="0" w:line="240" w:lineRule="auto"/>
            </w:pPr>
            <w:r>
              <w:rPr>
                <w:rFonts w:ascii="Arial" w:hAnsi="Arial" w:eastAsia="Arial"/>
                <w:b w:val="0"/>
                <w:color w:val="1F1F1F"/>
                <w:sz w:val="16"/>
              </w:rPr>
              <w:t>Complaint says §14.1 is governing law and §14.8 supplies prevailing-party fees; EDA §14.1 is entire agreement and §14.8 is governing law/jurisdiction. Answer also cites §14.2 as forum, while §14.2 is amendments. The provided EDA has no express attorneys’-fees section.</w:t>
            </w:r>
          </w:p>
        </w:tc>
        <w:tc>
          <w:tcPr>
            <w:tcW w:type="dxa" w:w="3311"/>
            <w:tcMar>
              <w:top w:w="78" w:type="dxa"/>
              <w:start w:w="82" w:type="dxa"/>
              <w:bottom w:w="78" w:type="dxa"/>
              <w:end w:w="82" w:type="dxa"/>
            </w:tcMar>
            <w:vAlign w:val="top"/>
            <w:shd w:fill="F7F9FB"/>
          </w:tcPr>
          <w:p>
            <w:pPr>
              <w:spacing w:after="0" w:line="240" w:lineRule="auto"/>
            </w:pPr>
            <w:r>
              <w:rPr>
                <w:rFonts w:ascii="Arial" w:hAnsi="Arial" w:eastAsia="Arial"/>
                <w:b w:val="0"/>
                <w:color w:val="1F1F1F"/>
                <w:sz w:val="16"/>
              </w:rPr>
              <w:t>Use the signed agreement’s actual text in briefing. Confirm whether any separate fee addendum or later operative contract exists; correct citations before any fee request/opposition.</w:t>
            </w:r>
          </w:p>
        </w:tc>
      </w:tr>
      <w:tr>
        <w:trPr>
          <w:cantSplit/>
        </w:trPr>
        <w:tc>
          <w:tcPr>
            <w:tcW w:type="dxa" w:w="2116"/>
            <w:tcMar>
              <w:top w:w="78" w:type="dxa"/>
              <w:start w:w="82" w:type="dxa"/>
              <w:bottom w:w="78" w:type="dxa"/>
              <w:end w:w="82" w:type="dxa"/>
            </w:tcMar>
            <w:vAlign w:val="top"/>
          </w:tcPr>
          <w:p>
            <w:pPr>
              <w:spacing w:after="0" w:line="240" w:lineRule="auto"/>
            </w:pPr>
            <w:r>
              <w:rPr>
                <w:rFonts w:ascii="Arial" w:hAnsi="Arial" w:eastAsia="Arial"/>
                <w:b/>
                <w:color w:val="1F4E79"/>
                <w:sz w:val="16"/>
              </w:rPr>
              <w:t>9. Cure / termination notice language</w:t>
            </w:r>
          </w:p>
        </w:tc>
        <w:tc>
          <w:tcPr>
            <w:tcW w:type="dxa" w:w="4608"/>
            <w:tcMar>
              <w:top w:w="78" w:type="dxa"/>
              <w:start w:w="82" w:type="dxa"/>
              <w:bottom w:w="78" w:type="dxa"/>
              <w:end w:w="82" w:type="dxa"/>
            </w:tcMar>
            <w:vAlign w:val="top"/>
          </w:tcPr>
          <w:p>
            <w:pPr>
              <w:spacing w:after="0" w:line="240" w:lineRule="auto"/>
            </w:pPr>
            <w:r>
              <w:rPr>
                <w:rFonts w:ascii="Arial" w:hAnsi="Arial" w:eastAsia="Arial"/>
                <w:b w:val="0"/>
                <w:color w:val="1F1F1F"/>
                <w:sz w:val="16"/>
              </w:rPr>
              <w:t>EDA §9.2 says 30-day cure and termination effective no earlier than cure expiration; it does not state a distinct additional 60-day post-cure notice interval. Greenleaf’s Jan. 10 breach notice and pleadings characterize 60-day notice differently. Feb. 15 notice makes termination effective Mar. 17 (30 days later).</w:t>
            </w:r>
          </w:p>
        </w:tc>
        <w:tc>
          <w:tcPr>
            <w:tcW w:type="dxa" w:w="3311"/>
            <w:tcMar>
              <w:top w:w="78" w:type="dxa"/>
              <w:start w:w="82" w:type="dxa"/>
              <w:bottom w:w="78" w:type="dxa"/>
              <w:end w:w="82" w:type="dxa"/>
            </w:tcMar>
            <w:vAlign w:val="top"/>
          </w:tcPr>
          <w:p>
            <w:pPr>
              <w:spacing w:after="0" w:line="240" w:lineRule="auto"/>
            </w:pPr>
            <w:r>
              <w:rPr>
                <w:rFonts w:ascii="Arial" w:hAnsi="Arial" w:eastAsia="Arial"/>
                <w:b w:val="0"/>
                <w:color w:val="1F1F1F"/>
                <w:sz w:val="16"/>
              </w:rPr>
              <w:t>Quote contract text and notices verbatim, establish actual receipt dates, and address whether any purported 60-day requirement exists elsewhere. Avoid relying on a paraphrase in the notice over the signed EDA.</w:t>
            </w:r>
          </w:p>
        </w:tc>
      </w:tr>
      <w:tr>
        <w:trPr>
          <w:cantSplit/>
        </w:trPr>
        <w:tc>
          <w:tcPr>
            <w:tcW w:type="dxa" w:w="2116"/>
            <w:tcMar>
              <w:top w:w="78" w:type="dxa"/>
              <w:start w:w="82" w:type="dxa"/>
              <w:bottom w:w="78" w:type="dxa"/>
              <w:end w:w="82" w:type="dxa"/>
            </w:tcMar>
            <w:vAlign w:val="top"/>
            <w:shd w:fill="F7F9FB"/>
          </w:tcPr>
          <w:p>
            <w:pPr>
              <w:spacing w:after="0" w:line="240" w:lineRule="auto"/>
            </w:pPr>
            <w:r>
              <w:rPr>
                <w:rFonts w:ascii="Arial" w:hAnsi="Arial" w:eastAsia="Arial"/>
                <w:b/>
                <w:color w:val="1F4E79"/>
                <w:sz w:val="16"/>
              </w:rPr>
              <w:t>10. Expert-report timing and future-loss period</w:t>
            </w:r>
          </w:p>
        </w:tc>
        <w:tc>
          <w:tcPr>
            <w:tcW w:type="dxa" w:w="4608"/>
            <w:tcMar>
              <w:top w:w="78" w:type="dxa"/>
              <w:start w:w="82" w:type="dxa"/>
              <w:bottom w:w="78" w:type="dxa"/>
              <w:end w:w="82" w:type="dxa"/>
            </w:tcMar>
            <w:vAlign w:val="top"/>
            <w:shd w:fill="F7F9FB"/>
          </w:tcPr>
          <w:p>
            <w:pPr>
              <w:spacing w:after="0" w:line="240" w:lineRule="auto"/>
            </w:pPr>
            <w:r>
              <w:rPr>
                <w:rFonts w:ascii="Arial" w:hAnsi="Arial" w:eastAsia="Arial"/>
                <w:b w:val="0"/>
                <w:color w:val="1F1F1F"/>
                <w:sz w:val="16"/>
              </w:rPr>
              <w:t>Scheduling order states plaintiff reports due Dec. 1; Chakrabarti report is dated Dec. 10. Her five-year projection covers Mar. 2023–Mar. 2028, although her report is dated Dec. 2024, after Year 4 had ended and Year 5 was underway.</w:t>
            </w:r>
          </w:p>
        </w:tc>
        <w:tc>
          <w:tcPr>
            <w:tcW w:type="dxa" w:w="3311"/>
            <w:tcMar>
              <w:top w:w="78" w:type="dxa"/>
              <w:start w:w="82" w:type="dxa"/>
              <w:bottom w:w="78" w:type="dxa"/>
              <w:end w:w="82" w:type="dxa"/>
            </w:tcMar>
            <w:vAlign w:val="top"/>
            <w:shd w:fill="F7F9FB"/>
          </w:tcPr>
          <w:p>
            <w:pPr>
              <w:spacing w:after="0" w:line="240" w:lineRule="auto"/>
            </w:pPr>
            <w:r>
              <w:rPr>
                <w:rFonts w:ascii="Arial" w:hAnsi="Arial" w:eastAsia="Arial"/>
                <w:b w:val="0"/>
                <w:color w:val="1F1F1F"/>
                <w:sz w:val="16"/>
              </w:rPr>
              <w:t>Confirm actual service/extension and whether later actual performance/replacement revenue was incorporated. Challenge/defend discounting and lost-profit assumptions with underlying financial records and actual mitigation evidence.</w:t>
            </w:r>
          </w:p>
        </w:tc>
      </w:tr>
      <w:tr>
        <w:trPr>
          <w:cantSplit/>
        </w:trPr>
        <w:tc>
          <w:tcPr>
            <w:tcW w:type="dxa" w:w="2116"/>
            <w:tcMar>
              <w:top w:w="78" w:type="dxa"/>
              <w:start w:w="82" w:type="dxa"/>
              <w:bottom w:w="78" w:type="dxa"/>
              <w:end w:w="82" w:type="dxa"/>
            </w:tcMar>
            <w:vAlign w:val="top"/>
          </w:tcPr>
          <w:p>
            <w:pPr>
              <w:spacing w:after="0" w:line="240" w:lineRule="auto"/>
            </w:pPr>
            <w:r>
              <w:rPr>
                <w:rFonts w:ascii="Arial" w:hAnsi="Arial" w:eastAsia="Arial"/>
                <w:b/>
                <w:color w:val="1F4E79"/>
                <w:sz w:val="16"/>
              </w:rPr>
              <w:t>11. Contract damages limitations</w:t>
            </w:r>
          </w:p>
        </w:tc>
        <w:tc>
          <w:tcPr>
            <w:tcW w:type="dxa" w:w="4608"/>
            <w:tcMar>
              <w:top w:w="78" w:type="dxa"/>
              <w:start w:w="82" w:type="dxa"/>
              <w:bottom w:w="78" w:type="dxa"/>
              <w:end w:w="82" w:type="dxa"/>
            </w:tcMar>
            <w:vAlign w:val="top"/>
          </w:tcPr>
          <w:p>
            <w:pPr>
              <w:spacing w:after="0" w:line="240" w:lineRule="auto"/>
            </w:pPr>
            <w:r>
              <w:rPr>
                <w:rFonts w:ascii="Arial" w:hAnsi="Arial" w:eastAsia="Arial"/>
                <w:b w:val="0"/>
                <w:color w:val="1F1F1F"/>
                <w:sz w:val="16"/>
              </w:rPr>
              <w:t>EDA §12.1 excludes consequential/exemplary damages except stated carve-outs; §12.2 caps aggregate liability, with listed exceptions including Article 3 exclusivity. The claimed future profits, mitigation costs, fraud/punitive damages, and counterclaim categories may implicate different provisions/theories.</w:t>
            </w:r>
          </w:p>
        </w:tc>
        <w:tc>
          <w:tcPr>
            <w:tcW w:type="dxa" w:w="3311"/>
            <w:tcMar>
              <w:top w:w="78" w:type="dxa"/>
              <w:start w:w="82" w:type="dxa"/>
              <w:bottom w:w="78" w:type="dxa"/>
              <w:end w:w="82" w:type="dxa"/>
            </w:tcMar>
            <w:vAlign w:val="top"/>
          </w:tcPr>
          <w:p>
            <w:pPr>
              <w:spacing w:after="0" w:line="240" w:lineRule="auto"/>
            </w:pPr>
            <w:r>
              <w:rPr>
                <w:rFonts w:ascii="Arial" w:hAnsi="Arial" w:eastAsia="Arial"/>
                <w:b w:val="0"/>
                <w:color w:val="1F1F1F"/>
                <w:sz w:val="16"/>
              </w:rPr>
              <w:t>Brief damages exclusions/cap by claim and injury, not as a blanket rule. Determine whether losses are direct/expectation versus consequential, and whether the Article 3 carve-out applies to claimed categories.</w:t>
            </w:r>
          </w:p>
        </w:tc>
      </w:tr>
    </w:tbl>
    <w:p>
      <w:pPr>
        <w:spacing w:after="0"/>
      </w:pPr>
    </w:p>
    <w:p>
      <w:pPr>
        <w:pStyle w:val="Heading1"/>
        <w:keepNext/>
        <w:spacing w:before="180" w:after="80"/>
      </w:pPr>
      <w:r>
        <w:rPr>
          <w:rFonts w:ascii="Arial" w:hAnsi="Arial" w:eastAsia="Arial"/>
          <w:b/>
          <w:color w:val="17365D"/>
          <w:sz w:val="30"/>
        </w:rPr>
        <w:t>V. Focused Record-Building Checklist Before Rule 56</w:t>
      </w:r>
    </w:p>
    <w:p>
      <w:pPr>
        <w:pStyle w:val="ListBullet"/>
        <w:spacing w:after="60" w:line="250" w:lineRule="auto"/>
      </w:pPr>
      <w:r>
        <w:rPr>
          <w:rFonts w:ascii="Arial" w:hAnsi="Arial" w:eastAsia="Arial"/>
          <w:b/>
          <w:color w:val="1F4E79"/>
          <w:sz w:val="18"/>
        </w:rPr>
        <w:t xml:space="preserve">Contract / notice foundation: </w:t>
      </w:r>
      <w:r>
        <w:rPr>
          <w:rFonts w:ascii="Arial" w:hAnsi="Arial" w:eastAsia="Arial"/>
          <w:color w:val="1F1F1F"/>
          <w:sz w:val="18"/>
        </w:rPr>
        <w:t>Authenticate complete EDA and all exhibits/amendments; verify delivery and receipt of both notices and any non-renewal; calendar the 90-day date under the governing method; obtain all purchase order, acceptance/rejection, commission and fulfillment records.</w:t>
      </w:r>
    </w:p>
    <w:p>
      <w:pPr>
        <w:pStyle w:val="ListBullet"/>
        <w:spacing w:after="60" w:line="250" w:lineRule="auto"/>
      </w:pPr>
      <w:r>
        <w:rPr>
          <w:rFonts w:ascii="Arial" w:hAnsi="Arial" w:eastAsia="Arial"/>
          <w:b/>
          <w:color w:val="1F4E79"/>
          <w:sz w:val="18"/>
        </w:rPr>
        <w:t xml:space="preserve">Cascade / exclusivity: </w:t>
      </w:r>
      <w:r>
        <w:rPr>
          <w:rFonts w:ascii="Arial" w:hAnsi="Arial" w:eastAsia="Arial"/>
          <w:color w:val="1F1F1F"/>
          <w:sz w:val="18"/>
        </w:rPr>
        <w:t>Reconcile the $1.9M figure to invoices, bills of lading, routing, accounts/customers, territory and downstream sales; secure Yee testimony and Harborview customer evidence; identify any direct-to-retailer sales separately.</w:t>
      </w:r>
    </w:p>
    <w:p>
      <w:pPr>
        <w:pStyle w:val="ListBullet"/>
        <w:spacing w:after="60" w:line="250" w:lineRule="auto"/>
      </w:pPr>
      <w:r>
        <w:rPr>
          <w:rFonts w:ascii="Arial" w:hAnsi="Arial" w:eastAsia="Arial"/>
          <w:b/>
          <w:color w:val="1F4E79"/>
          <w:sz w:val="18"/>
        </w:rPr>
        <w:t xml:space="preserve">Year 3 causation / counterclaim: </w:t>
      </w:r>
      <w:r>
        <w:rPr>
          <w:rFonts w:ascii="Arial" w:hAnsi="Arial" w:eastAsia="Arial"/>
          <w:color w:val="1F1F1F"/>
          <w:sz w:val="18"/>
        </w:rPr>
        <w:t>Reconcile the $4.27M, $5.6M and $5.8M figures to the full ledger; quantify declined, unfilled, delayed and fulfilled Harborview orders; tie diverted/rejected product to capacity and dates; test whether the $1.2M counterclaim losses were actually caused by Harborview.</w:t>
      </w:r>
    </w:p>
    <w:p>
      <w:pPr>
        <w:pStyle w:val="ListBullet"/>
        <w:spacing w:after="60" w:line="250" w:lineRule="auto"/>
      </w:pPr>
      <w:r>
        <w:rPr>
          <w:rFonts w:ascii="Arial" w:hAnsi="Arial" w:eastAsia="Arial"/>
          <w:b/>
          <w:color w:val="1F4E79"/>
          <w:sz w:val="18"/>
        </w:rPr>
        <w:t xml:space="preserve">QA foundation: </w:t>
      </w:r>
      <w:r>
        <w:rPr>
          <w:rFonts w:ascii="Arial" w:hAnsi="Arial" w:eastAsia="Arial"/>
          <w:color w:val="1F1F1F"/>
          <w:sz w:val="18"/>
        </w:rPr>
        <w:t>Obtain native spreadsheet, raw lot population, manuals/SOPs, individual rejection notices, lab records and chain-of-custody evidence; resolve 14 vs. 15, population denominators, lot crosswalk, dollar adjustments and EDA-vs-manual criteria; depose QA custodian/technicians as needed.</w:t>
      </w:r>
    </w:p>
    <w:p>
      <w:pPr>
        <w:pStyle w:val="ListBullet"/>
        <w:spacing w:after="60" w:line="250" w:lineRule="auto"/>
      </w:pPr>
      <w:r>
        <w:rPr>
          <w:rFonts w:ascii="Arial" w:hAnsi="Arial" w:eastAsia="Arial"/>
          <w:b/>
          <w:color w:val="1F4E79"/>
          <w:sz w:val="18"/>
        </w:rPr>
        <w:t xml:space="preserve">Fraud / reliance / discovery: </w:t>
      </w:r>
      <w:r>
        <w:rPr>
          <w:rFonts w:ascii="Arial" w:hAnsi="Arial" w:eastAsia="Arial"/>
          <w:color w:val="1F1F1F"/>
          <w:sz w:val="18"/>
        </w:rPr>
        <w:t>Identify the exact statement(s) to Beckett and dates, recipient testimony, reliance and resulting conduct; obtain email/call records and retail communications; assess Harborview’s knowledge and discovery chronology. Resolve privilege status of Jan. 3 email.</w:t>
      </w:r>
    </w:p>
    <w:p>
      <w:pPr>
        <w:pStyle w:val="ListBullet"/>
        <w:spacing w:after="60" w:line="250" w:lineRule="auto"/>
      </w:pPr>
      <w:r>
        <w:rPr>
          <w:rFonts w:ascii="Arial" w:hAnsi="Arial" w:eastAsia="Arial"/>
          <w:b/>
          <w:color w:val="1F4E79"/>
          <w:sz w:val="18"/>
        </w:rPr>
        <w:t xml:space="preserve">Damages / experts: </w:t>
      </w:r>
      <w:r>
        <w:rPr>
          <w:rFonts w:ascii="Arial" w:hAnsi="Arial" w:eastAsia="Arial"/>
          <w:color w:val="1F1F1F"/>
          <w:sz w:val="18"/>
        </w:rPr>
        <w:t>Get Chakrabarti’s complete workpapers, model, Exhibit D–G and underlying financial inputs; map actual post-termination results and replacement sales; substantiate all mitigation expenses and shelf-space losses; clarify net wholesale/commission base, 5.5% costs, discount date, duration and overlap.</w:t>
      </w:r>
    </w:p>
    <w:p>
      <w:pPr>
        <w:pStyle w:val="ListBullet"/>
        <w:spacing w:after="60" w:line="250" w:lineRule="auto"/>
      </w:pPr>
      <w:r>
        <w:rPr>
          <w:rFonts w:ascii="Arial" w:hAnsi="Arial" w:eastAsia="Arial"/>
          <w:b/>
          <w:color w:val="1F4E79"/>
          <w:sz w:val="18"/>
        </w:rPr>
        <w:t xml:space="preserve">Witness and admissibility: </w:t>
      </w:r>
      <w:r>
        <w:rPr>
          <w:rFonts w:ascii="Arial" w:hAnsi="Arial" w:eastAsia="Arial"/>
          <w:color w:val="1F1F1F"/>
          <w:sz w:val="18"/>
        </w:rPr>
        <w:t>Obtain complete certified Holcomb, Fong, Beckett, Stanton and Yee transcripts/errata, expert deposition transcripts, business-record declarations and any supplemental reports; insert pinpoint cites and resolve privilege, hearsay, authentication and Rule 702 foundations.</w:t>
      </w:r>
    </w:p>
    <w:p>
      <w:pPr>
        <w:pStyle w:val="ListBullet"/>
        <w:spacing w:after="60" w:line="250" w:lineRule="auto"/>
      </w:pPr>
      <w:r>
        <w:rPr>
          <w:rFonts w:ascii="Arial" w:hAnsi="Arial" w:eastAsia="Arial"/>
          <w:b/>
          <w:color w:val="1F4E79"/>
          <w:sz w:val="18"/>
        </w:rPr>
        <w:t xml:space="preserve">Procedural status: </w:t>
      </w:r>
      <w:r>
        <w:rPr>
          <w:rFonts w:ascii="Arial" w:hAnsi="Arial" w:eastAsia="Arial"/>
          <w:color w:val="1F1F1F"/>
          <w:sz w:val="18"/>
        </w:rPr>
        <w:t>Check current docket for later case schedule, expert disclosure service/extension, Daubert rulings, rebuttal reports, discovery extensions, mediation, dispositive rulings, trial continuance, and any Rule 502 clawback/protective order.</w:t>
      </w:r>
    </w:p>
    <w:p>
      <w:pPr>
        <w:pStyle w:val="Heading1"/>
        <w:keepNext/>
        <w:spacing w:before="180" w:after="80"/>
      </w:pPr>
      <w:r>
        <w:rPr>
          <w:rFonts w:ascii="Arial" w:hAnsi="Arial" w:eastAsia="Arial"/>
          <w:b/>
          <w:color w:val="17365D"/>
          <w:sz w:val="30"/>
        </w:rPr>
        <w:t>VI. Source Key &amp; Citation Discipline</w:t>
      </w:r>
    </w:p>
    <w:p>
      <w:pPr>
        <w:pStyle w:val="ListBullet"/>
        <w:spacing w:after="40" w:line="250" w:lineRule="auto"/>
      </w:pPr>
      <w:r>
        <w:rPr>
          <w:rFonts w:ascii="Arial" w:hAnsi="Arial" w:eastAsia="Arial"/>
          <w:color w:val="1F1F1F"/>
          <w:sz w:val="18"/>
        </w:rPr>
        <w:t>EDA — Exclusive Distribution Agreement dated March 15, 2020; cite exact section, schedule or exhibit. The contract is the controlling source for quoted language, notice mechanics, term, quality standards and liability limitations.</w:t>
      </w:r>
    </w:p>
    <w:p>
      <w:pPr>
        <w:pStyle w:val="ListBullet"/>
        <w:spacing w:after="40" w:line="250" w:lineRule="auto"/>
      </w:pPr>
      <w:r>
        <w:rPr>
          <w:rFonts w:ascii="Arial" w:hAnsi="Arial" w:eastAsia="Arial"/>
          <w:color w:val="1F1F1F"/>
          <w:sz w:val="18"/>
        </w:rPr>
        <w:t>QA Log — qa-rejection-log.xlsx, Harborview Lots and Non-Harborview Lots sheets. This is the source for the tabular anomalies flagged in Section IV; preserve native formulas and metadata.</w:t>
      </w:r>
    </w:p>
    <w:p>
      <w:pPr>
        <w:pStyle w:val="ListBullet"/>
        <w:spacing w:after="40" w:line="250" w:lineRule="auto"/>
      </w:pPr>
      <w:r>
        <w:rPr>
          <w:rFonts w:ascii="Arial" w:hAnsi="Arial" w:eastAsia="Arial"/>
          <w:color w:val="1F1F1F"/>
          <w:sz w:val="18"/>
        </w:rPr>
        <w:t>Internal emails — internal-emails-holcomb-yee-stanton.eml (Bates GRN-004217–004231), internal-emails-stanton-fong-qa.eml (GL-PROD-004217–004220), and email-stanton-to-ivers.eml (GL-PROD-007834). Confirm production labels, full headers, completeness and privilege status.</w:t>
      </w:r>
    </w:p>
    <w:p>
      <w:pPr>
        <w:pStyle w:val="ListBullet"/>
        <w:spacing w:after="40" w:line="250" w:lineRule="auto"/>
      </w:pPr>
      <w:r>
        <w:rPr>
          <w:rFonts w:ascii="Arial" w:hAnsi="Arial" w:eastAsia="Arial"/>
          <w:color w:val="1F1F1F"/>
          <w:sz w:val="18"/>
        </w:rPr>
        <w:t>Contract notices and pleadings — notice-of-material-breach.docx; notice-of-termination.docx; harborview-breach-response.docx; plaintiff-complaint.docx; defendant-answer-counterclaim.docx. For court papers, cite filed docket copies and paragraph numbers.</w:t>
      </w:r>
    </w:p>
    <w:p>
      <w:pPr>
        <w:pStyle w:val="ListBullet"/>
        <w:spacing w:after="40" w:line="250" w:lineRule="auto"/>
      </w:pPr>
      <w:r>
        <w:rPr>
          <w:rFonts w:ascii="Arial" w:hAnsi="Arial" w:eastAsia="Arial"/>
          <w:color w:val="1F1F1F"/>
          <w:sz w:val="18"/>
        </w:rPr>
        <w:t>Experts — expert-report-buckley.docx and expert-report-chakrabarti.docx, both dated Dec. 10, 2024. Obtain all referenced exhibits/workpapers and actual disclosure transmittals; they are not reproduced in full in the supplied packet.</w:t>
      </w:r>
    </w:p>
    <w:p>
      <w:pPr>
        <w:pStyle w:val="ListBullet"/>
        <w:spacing w:after="40" w:line="250" w:lineRule="auto"/>
      </w:pPr>
      <w:r>
        <w:rPr>
          <w:rFonts w:ascii="Arial" w:hAnsi="Arial" w:eastAsia="Arial"/>
          <w:color w:val="1F1F1F"/>
          <w:sz w:val="18"/>
        </w:rPr>
        <w:t>Deposition summaries — deposition-summary-holcomb.docx and deposition-summary-fong.docx are labeled attorney work product/privileged and are not verbatim. They are investigative aids only; obtain certified transcripts, errata and exact page-line citations before filing.</w:t>
      </w:r>
    </w:p>
    <w:p>
      <w:pPr>
        <w:pStyle w:val="ListBullet"/>
        <w:spacing w:after="40" w:line="250" w:lineRule="auto"/>
      </w:pPr>
      <w:r>
        <w:rPr>
          <w:rFonts w:ascii="Arial" w:hAnsi="Arial" w:eastAsia="Arial"/>
          <w:color w:val="1F1F1F"/>
          <w:sz w:val="18"/>
        </w:rPr>
        <w:t>Scheduling — scheduling-order.docx dated June 3, 2024. It is the only scheduling order supplied; the current docket controls if later deadlines or orders exist.</w:t>
      </w:r>
    </w:p>
    <w:tbl>
      <w:tblPr>
        <w:tblW w:type="auto" w:w="0"/>
        <w:jc w:val="center"/>
        <w:tblLayout w:type="fixed"/>
        <w:tblLook w:firstColumn="1" w:firstRow="1" w:lastColumn="0" w:lastRow="0" w:noHBand="0" w:noVBand="1" w:val="04A0"/>
        <w:tblBorders>
          <w:top w:val="single" w:sz="5" w:space="0" w:color="A6B9C8"/>
          <w:left w:val="single" w:sz="5" w:space="0" w:color="A6B9C8"/>
          <w:bottom w:val="single" w:sz="5" w:space="0" w:color="A6B9C8"/>
          <w:right w:val="single" w:sz="5" w:space="0" w:color="A6B9C8"/>
          <w:insideH w:val="single" w:sz="5" w:space="0" w:color="A6B9C8"/>
          <w:insideV w:val="single" w:sz="5" w:space="0" w:color="A6B9C8"/>
        </w:tblBorders>
      </w:tblPr>
      <w:tblGrid>
        <w:gridCol w:w="10008"/>
      </w:tblGrid>
      <w:tr>
        <w:tc>
          <w:tcPr>
            <w:tcW w:type="dxa" w:w="10008"/>
            <w:tcMar>
              <w:top w:w="120" w:type="dxa"/>
              <w:start w:w="150" w:type="dxa"/>
              <w:bottom w:w="120" w:type="dxa"/>
              <w:end w:w="150" w:type="dxa"/>
            </w:tcMar>
            <w:shd w:fill="E2F0D9"/>
            <w:vAlign w:val="center"/>
          </w:tcPr>
          <w:p>
            <w:pPr>
              <w:spacing w:after="40"/>
            </w:pPr>
            <w:r>
              <w:rPr>
                <w:rFonts w:ascii="Arial" w:hAnsi="Arial" w:eastAsia="Arial"/>
                <w:b/>
                <w:color w:val="17365D"/>
                <w:sz w:val="20"/>
              </w:rPr>
              <w:t>BOTTOM LINE FOR RULE 56</w:t>
            </w:r>
          </w:p>
          <w:p>
            <w:pPr>
              <w:spacing w:after="0" w:line="254" w:lineRule="auto"/>
            </w:pPr>
            <w:r>
              <w:rPr>
                <w:rFonts w:ascii="Arial" w:hAnsi="Arial" w:eastAsia="Arial"/>
                <w:color w:val="1F1F1F"/>
                <w:sz w:val="18"/>
              </w:rPr>
              <w:t>The cleanest potential motion issues are the signed text/admitted third-party Cascade distribution under §3.1 and the contract’s full-year purchase measurement/express §9.2 prerequisites. Renewal, selective QA and fraud strengthen the overall theory but depend on proving negative notice facts, reconciling the QA dataset, and establishing intent/reliance. The damages record needs focused expert and contract-text scrutiny. A disciplined motion should isolate undisputed propositions, candidly address the contrary record, and reserve contested intent/causation questions for the factfinder.</w:t>
            </w:r>
          </w:p>
        </w:tc>
      </w:tr>
    </w:tbl>
    <w:p>
      <w:pPr>
        <w:spacing w:after="0"/>
      </w:pPr>
    </w:p>
    <w:sectPr w:rsidR="00FC693F" w:rsidRPr="0006063C" w:rsidSect="00034616">
      <w:headerReference w:type="default" r:id="rId9"/>
      <w:footerReference w:type="default" r:id="rId10"/>
      <w:pgSz w:w="12240" w:h="15840"/>
      <w:pgMar w:top="893" w:right="950" w:bottom="893" w:left="95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color w:val="666666"/>
        <w:sz w:val="15"/>
      </w:rPr>
      <w:t>Internal summary for counsel • Verify all quotations and pin cites against the record</w:t>
    </w:r>
  </w:p>
  <w:p>
    <w:pPr>
      <w:jc w:val="right"/>
    </w:pPr>
    <w:r>
      <w:rPr>
        <w:rFonts w:ascii="Arial" w:hAnsi="Arial"/>
        <w:color w:val="66666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1F4E79"/>
        <w:sz w:val="16"/>
      </w:rPr>
      <w:t>CONFIDENTIAL • ATTORNEY WORK PRODUCT</w:t>
    </w:r>
    <w:r>
      <w:rPr>
        <w:rFonts w:ascii="Arial" w:hAnsi="Arial" w:eastAsia="Arial"/>
        <w:color w:val="666666"/>
        <w:sz w:val="16"/>
      </w:rPr>
      <w:t xml:space="preserve">    HARBORVIEW v. GREENLEAF  |  CASE NO. 3:24-cv-00613-MRH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rPr>
      <w:rFonts w:ascii="Arial" w:hAnsi="Arial" w:eastAsia="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Litigation Case Timeline – Harborview v. Greenleaf</dc:title>
  <dc:subject>Chronology and strategic annotations for summary judgment preparation</dc:subject>
  <dc:creator>Internal Litigation Team</dc:creator>
  <cp:keywords>litigation timeline; summary judgment; attorney work product</cp:keywords>
  <dc:description>generated by python-docx</dc:description>
  <cp:lastModifiedBy/>
  <cp:revision>1</cp:revision>
  <dcterms:created xsi:type="dcterms:W3CDTF">2013-12-23T23:15:00Z</dcterms:created>
  <dcterms:modified xsi:type="dcterms:W3CDTF">2013-12-23T23:15:00Z</dcterms:modified>
  <cp:category/>
</cp:coreProperties>
</file>