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ptos Display" w:hAnsi="Aptos Display"/>
          <w:b/>
          <w:color w:val="17365D"/>
          <w:sz w:val="48"/>
        </w:rPr>
        <w:t>Relevance Classification Report</w:t>
      </w:r>
    </w:p>
    <w:p>
      <w:pPr>
        <w:spacing w:after="240"/>
      </w:pPr>
      <w:r>
        <w:rPr>
          <w:color w:val="187C80"/>
          <w:sz w:val="22"/>
        </w:rPr>
        <w:t>Document-by-document review of the 25-document production set</w:t>
      </w:r>
    </w:p>
    <w:p>
      <w:pPr>
        <w:spacing w:after="240"/>
      </w:pPr>
      <w:r>
        <w:rPr>
          <w:i/>
          <w:color w:val="5B6573"/>
          <w:sz w:val="18"/>
        </w:rPr>
        <w:t>Review scope: 25 supplied native documents • Matter: Vasquez v. Meridian Polymers, Inc.</w:t>
      </w:r>
    </w:p>
    <w:p>
      <w:pPr>
        <w:pStyle w:val="Heading1"/>
      </w:pPr>
      <w:r>
        <w:t>Executive summary</w:t>
      </w:r>
    </w:p>
    <w:p>
      <w:r>
        <w:t>This is a preliminary relevance assessment based on the face of the supplied documents and the claims identified in the set: alleged Ohio whistleblower retaliation/wrongful termination and Ohio trade-secret misappropriation/inventorship. It is not a finding that an allegation is true, nor a final admissibility determination. No discovery requests, pleadings beyond the references within the production, protective order, or native Bates numbering were supplied.</w:t>
      </w:r>
    </w:p>
    <w:tbl>
      <w:tblPr>
        <w:tblStyle w:val="TableGrid"/>
        <w:tblW w:type="auto" w:w="0"/>
        <w:jc w:val="center"/>
        <w:tblLook w:firstColumn="1" w:firstRow="1" w:lastColumn="0" w:lastRow="0" w:noHBand="0" w:noVBand="1" w:val="04A0"/>
      </w:tblPr>
      <w:tblGrid>
        <w:gridCol w:w="5083"/>
        <w:gridCol w:w="5083"/>
      </w:tblGrid>
      <w:tr>
        <w:tc>
          <w:tcPr>
            <w:tcW w:type="dxa" w:w="5083"/>
            <w:shd w:fill="17365D"/>
          </w:tcPr>
          <w:p>
            <w:r>
              <w:rPr>
                <w:b/>
                <w:color w:val="FFFFFF"/>
                <w:sz w:val="18"/>
              </w:rPr>
              <w:t>Code</w:t>
            </w:r>
          </w:p>
        </w:tc>
        <w:tc>
          <w:tcPr>
            <w:tcW w:type="dxa" w:w="5083"/>
            <w:shd w:fill="17365D"/>
          </w:tcPr>
          <w:p>
            <w:r>
              <w:rPr>
                <w:b/>
                <w:color w:val="FFFFFF"/>
                <w:sz w:val="18"/>
              </w:rPr>
              <w:t>Meaning</w:t>
            </w:r>
          </w:p>
        </w:tc>
      </w:tr>
      <w:tr>
        <w:tc>
          <w:tcPr>
            <w:tcW w:type="dxa" w:w="5083"/>
            <w:shd w:fill="EAF1F8"/>
            <w:tcMar>
              <w:top w:w="60" w:type="dxa"/>
              <w:start w:w="90" w:type="dxa"/>
              <w:bottom w:w="60" w:type="dxa"/>
              <w:end w:w="90" w:type="dxa"/>
            </w:tcMar>
          </w:tcPr>
          <w:p>
            <w:r>
              <w:t>R1 — Core</w:t>
            </w:r>
          </w:p>
        </w:tc>
        <w:tc>
          <w:tcPr>
            <w:tcW w:type="dxa" w:w="5083"/>
            <w:tcMar>
              <w:top w:w="60" w:type="dxa"/>
              <w:start w:w="90" w:type="dxa"/>
              <w:bottom w:w="60" w:type="dxa"/>
              <w:end w:w="90" w:type="dxa"/>
            </w:tcMar>
          </w:tcPr>
          <w:p>
            <w:r>
              <w:t>Directly bears on protected activity/knowledge, decision-making, stated reason/pretext/causation, environmental response, ownership/inventorship, or alleged misappropriation.</w:t>
            </w:r>
          </w:p>
        </w:tc>
      </w:tr>
      <w:tr>
        <w:tc>
          <w:tcPr>
            <w:tcW w:type="dxa" w:w="5083"/>
            <w:shd w:fill="EAF1F8"/>
            <w:tcMar>
              <w:top w:w="60" w:type="dxa"/>
              <w:start w:w="90" w:type="dxa"/>
              <w:bottom w:w="60" w:type="dxa"/>
              <w:end w:w="90" w:type="dxa"/>
            </w:tcMar>
          </w:tcPr>
          <w:p>
            <w:r>
              <w:t>R2 — Material</w:t>
            </w:r>
          </w:p>
        </w:tc>
        <w:tc>
          <w:tcPr>
            <w:tcW w:type="dxa" w:w="5083"/>
            <w:tcMar>
              <w:top w:w="60" w:type="dxa"/>
              <w:start w:w="90" w:type="dxa"/>
              <w:bottom w:w="60" w:type="dxa"/>
              <w:end w:w="90" w:type="dxa"/>
            </w:tcMar>
          </w:tcPr>
          <w:p>
            <w:r>
              <w:t>Supports chronology, notice, damages, defenses, preservation, or litigation position but is not itself central proof.</w:t>
            </w:r>
          </w:p>
        </w:tc>
      </w:tr>
      <w:tr>
        <w:tc>
          <w:tcPr>
            <w:tcW w:type="dxa" w:w="5083"/>
            <w:shd w:fill="EAF1F8"/>
            <w:tcMar>
              <w:top w:w="60" w:type="dxa"/>
              <w:start w:w="90" w:type="dxa"/>
              <w:bottom w:w="60" w:type="dxa"/>
              <w:end w:w="90" w:type="dxa"/>
            </w:tcMar>
          </w:tcPr>
          <w:p>
            <w:r>
              <w:t>R3 — Limited</w:t>
            </w:r>
          </w:p>
        </w:tc>
        <w:tc>
          <w:tcPr>
            <w:tcW w:type="dxa" w:w="5083"/>
            <w:tcMar>
              <w:top w:w="60" w:type="dxa"/>
              <w:start w:w="90" w:type="dxa"/>
              <w:bottom w:w="60" w:type="dxa"/>
              <w:end w:w="90" w:type="dxa"/>
            </w:tcMar>
          </w:tcPr>
          <w:p>
            <w:r>
              <w:t>Narrow potential value or conditional relevance; use only if the corresponding issue is in discovery.</w:t>
            </w:r>
          </w:p>
        </w:tc>
      </w:tr>
      <w:tr>
        <w:tc>
          <w:tcPr>
            <w:tcW w:type="dxa" w:w="5083"/>
            <w:shd w:fill="EAF1F8"/>
            <w:tcMar>
              <w:top w:w="60" w:type="dxa"/>
              <w:start w:w="90" w:type="dxa"/>
              <w:bottom w:w="60" w:type="dxa"/>
              <w:end w:w="90" w:type="dxa"/>
            </w:tcMar>
          </w:tcPr>
          <w:p>
            <w:r>
              <w:t>R4 — Low</w:t>
            </w:r>
          </w:p>
        </w:tc>
        <w:tc>
          <w:tcPr>
            <w:tcW w:type="dxa" w:w="5083"/>
            <w:tcMar>
              <w:top w:w="60" w:type="dxa"/>
              <w:start w:w="90" w:type="dxa"/>
              <w:bottom w:w="60" w:type="dxa"/>
              <w:end w:w="90" w:type="dxa"/>
            </w:tcMar>
          </w:tcPr>
          <w:p>
            <w:r>
              <w:t>No apparent direct connection to the identified claims; likely nonresponsive absent a broader request or a specific evidentiary link.</w:t>
            </w:r>
          </w:p>
        </w:tc>
      </w:tr>
    </w:tbl>
    <w:p/>
    <w:p>
      <w:r>
        <w:t>Classification totals: 18 R1 (core), 3 R2 (material), 3 R3 (limited), and 1 R4 (low). Privilege and privacy are assessed separately below; relevance does not waive privilege, and privilege does not make a document irrelevant.</w:t>
      </w:r>
    </w:p>
    <w:p>
      <w:pPr>
        <w:pStyle w:val="Heading1"/>
      </w:pPr>
      <w:r>
        <w:t>Cross-document issues requiring follow-up</w:t>
      </w:r>
    </w:p>
    <w:p>
      <w:pPr>
        <w:pStyle w:val="ListBullet"/>
      </w:pPr>
      <w:r>
        <w:t>Performance evidence is inconsistent across the set. The August 10 email, August 22 standalone metrics, August 23 embedded metrics, August 14 HR summary, August 28 notes, and September 8 PIP use different project counts/names, completion percentages, budget overruns, transfer counts, and survey dates. Reconcile against contemporaneous project-management, finance, survey, and HR source records; retain each version and metadata.</w:t>
      </w:r>
    </w:p>
    <w:p>
      <w:pPr>
        <w:pStyle w:val="ListBullet"/>
      </w:pPr>
      <w:r>
        <w:t>The PIP states a 60-day remediation window and no adverse action based solely on its listed deficiencies before completion, yet termination occurred seven days later and the termination letter does not mention the PIP. The PIP’s own timeline and the August 28 notes are key sources for the termination decision and pretext analysis.</w:t>
      </w:r>
    </w:p>
    <w:p>
      <w:pPr>
        <w:pStyle w:val="ListBullet"/>
      </w:pPr>
      <w:r>
        <w:t>The June 5 Alderwood engagement was signed by Operations as a standard consultant engagement and disclaims an attorney-client relationship; the July 22 report calls itself a standard environmental audit. The March 3 request to outside counsel asked whether to structure an audit under attorney supervision, but the produced engagement/report do not establish that it was so structured. The report should not be withheld as privileged on this record.</w:t>
      </w:r>
    </w:p>
    <w:p>
      <w:pPr>
        <w:pStyle w:val="ListBullet"/>
      </w:pPr>
      <w:r>
        <w:t>The audit’s “four findings” should not be paraphrased as four confirmed violations. F-001 says the weight variance was below the regulatory threshold and not a violation; the report identifies other discrete deficiencies and characterizes only F-004 as significant. Obtain source manifests, the final report, and regulatory records before stating what was established.</w:t>
      </w:r>
    </w:p>
    <w:p>
      <w:pPr>
        <w:pStyle w:val="ListBullet"/>
      </w:pPr>
      <w:r>
        <w:t>The supplied patent texts appear technically inconsistent: the original patent describes a fluoropolymer/modified-diamine formulation, whereas the continuation text describes an epoxy-acrylate matrix and gives a different parent title. Verify official USPTO filings, priority chain, claims, inventorship declarations, lab notebooks, and drafting history before relying on either narrative.</w:t>
      </w:r>
    </w:p>
    <w:p>
      <w:pPr>
        <w:pStyle w:val="ListBullet"/>
      </w:pPr>
      <w:r>
        <w:t>RC-15 is a non-lawyer business email directly discussing a request to omit Vasquez from the continuation inventor list. It should be preserved and assessed alongside the patent prosecution file and the counsel-to-counsel coordination at RC-14; do not treat the existence of legal discussions as converting the underlying business communications into privileged material.</w:t>
      </w:r>
    </w:p>
    <w:p>
      <w:pPr>
        <w:pStyle w:val="Heading1"/>
      </w:pPr>
      <w:r>
        <w:t>Document-by-document classification</w:t>
      </w:r>
    </w:p>
    <w:p>
      <w:pPr>
        <w:pStyle w:val="Heading2"/>
        <w:keepNext/>
      </w:pPr>
      <w:r>
        <w:t>RC-01  |  simmons-vasquez-situation-email.eml</w:t>
      </w:r>
    </w:p>
    <w:p>
      <w:pPr>
        <w:spacing w:after="40"/>
      </w:pPr>
      <w:r>
        <w:rPr>
          <w:b/>
          <w:color w:val="17365D"/>
        </w:rPr>
        <w:t xml:space="preserve">Date / parties: </w:t>
      </w:r>
      <w:r>
        <w:t>August 10, 2023 • Derek Simmons to Tanya Bellworth</w:t>
      </w:r>
    </w:p>
    <w:p>
      <w:pPr>
        <w:spacing w:after="60"/>
      </w:pPr>
      <w:r>
        <w:rPr>
          <w:b/>
          <w:color w:val="17365D"/>
        </w:rPr>
        <w:t xml:space="preserve">Classification: </w:t>
      </w:r>
      <w:r>
        <w:rPr>
          <w:b/>
          <w:color w:val="187C80"/>
        </w:rPr>
        <w:t>R1 — Core</w:t>
      </w:r>
    </w:p>
    <w:p>
      <w:pPr>
        <w:keepLines/>
        <w:spacing w:after="160"/>
      </w:pPr>
      <w:r>
        <w:t>Contemporaneous Operations complaint to HR seeking Vasquez performance history and next steps. References roughly 40% schedule slippage, affected production/customer commitments, team morale, and planned escalation to the CEO. Highly probative of the stated performance rationale and when it was raised; equally important to test against the January environmental report and later personnel actions. No counsel is included and no privilege is apparent. Preserve the source data and interview/records supporting the assertions.</w:t>
      </w:r>
    </w:p>
    <w:p>
      <w:pPr>
        <w:pStyle w:val="Heading2"/>
        <w:keepNext/>
      </w:pPr>
      <w:r>
        <w:t>RC-02  |  vasquez-benefits-enrollment.docx</w:t>
      </w:r>
    </w:p>
    <w:p>
      <w:pPr>
        <w:spacing w:after="40"/>
      </w:pPr>
      <w:r>
        <w:rPr>
          <w:b/>
          <w:color w:val="17365D"/>
        </w:rPr>
        <w:t xml:space="preserve">Date / parties: </w:t>
      </w:r>
      <w:r>
        <w:t>March 15, 2022; attached STD claim summary • Vasquez / HR Benefits</w:t>
      </w:r>
    </w:p>
    <w:p>
      <w:pPr>
        <w:spacing w:after="60"/>
      </w:pPr>
      <w:r>
        <w:rPr>
          <w:b/>
          <w:color w:val="17365D"/>
        </w:rPr>
        <w:t xml:space="preserve">Classification: </w:t>
      </w:r>
      <w:r>
        <w:rPr>
          <w:b/>
          <w:color w:val="A66A00"/>
        </w:rPr>
        <w:t>R3 — Limited / sensitive</w:t>
      </w:r>
    </w:p>
    <w:p>
      <w:pPr>
        <w:keepLines/>
        <w:spacing w:after="160"/>
      </w:pPr>
      <w:r>
        <w:t>Contains salary and benefits elections plus a 2022 short-term disability claim and medical information. It may bear narrowly on compensation/benefits or the existence and timing of a prior leave if damages, causation, or accommodation issues are put in dispute; it is not direct evidence of the 2023 termination, whistleblowing, or MPC-7X ownership. Not privileged. The medical attachment is highly sensitive PHI/personal health information: restrict access, avoid unnecessary disclosure of diagnoses/medications, and use redaction/protective-order procedures if responsive. Privacy status is not an evidentiary privilege.</w:t>
      </w:r>
    </w:p>
    <w:p>
      <w:pPr>
        <w:pStyle w:val="Heading2"/>
        <w:keepNext/>
      </w:pPr>
      <w:r>
        <w:t>RC-03  |  mpc7x-original-patent.docx</w:t>
      </w:r>
    </w:p>
    <w:p>
      <w:pPr>
        <w:spacing w:after="40"/>
      </w:pPr>
      <w:r>
        <w:rPr>
          <w:b/>
          <w:color w:val="17365D"/>
        </w:rPr>
        <w:t xml:space="preserve">Date / parties: </w:t>
      </w:r>
      <w:r>
        <w:t>Issued August 15, 2022 • U.S. Patent No. 11,234,567</w:t>
      </w:r>
    </w:p>
    <w:p>
      <w:pPr>
        <w:spacing w:after="60"/>
      </w:pPr>
      <w:r>
        <w:rPr>
          <w:b/>
          <w:color w:val="17365D"/>
        </w:rPr>
        <w:t xml:space="preserve">Classification: </w:t>
      </w:r>
      <w:r>
        <w:rPr>
          <w:b/>
          <w:color w:val="187C80"/>
        </w:rPr>
        <w:t>R1 — Core</w:t>
      </w:r>
    </w:p>
    <w:p>
      <w:pPr>
        <w:keepLines/>
        <w:spacing w:after="160"/>
      </w:pPr>
      <w:r>
        <w:t>Directly concerns MPC-7X, the named inventors (Vasquez and Mehta), Meridian’s assignee status, technical disclosure, and claimed inventive contribution. Central to the ownership, inventorship, scope-of-employment, and trade-secret issues. The issued patent is a public patent record and is not privileged. Compare the technical disclosure and title with the continuation filing; the two supplied patent texts show apparent differences in the described base chemistry that should be verified against official USPTO records and prosecution histories.</w:t>
      </w:r>
    </w:p>
    <w:p>
      <w:pPr>
        <w:pStyle w:val="Heading2"/>
        <w:keepNext/>
      </w:pPr>
      <w:r>
        <w:t>RC-04  |  vasquez-separation-agreement.docx</w:t>
      </w:r>
    </w:p>
    <w:p>
      <w:pPr>
        <w:spacing w:after="40"/>
      </w:pPr>
      <w:r>
        <w:rPr>
          <w:b/>
          <w:color w:val="17365D"/>
        </w:rPr>
        <w:t xml:space="preserve">Date / parties: </w:t>
      </w:r>
      <w:r>
        <w:t>Draft transmitted September 20, 2023 • Bellworth to Vasquez</w:t>
      </w:r>
    </w:p>
    <w:p>
      <w:pPr>
        <w:spacing w:after="60"/>
      </w:pPr>
      <w:r>
        <w:rPr>
          <w:b/>
          <w:color w:val="17365D"/>
        </w:rPr>
        <w:t xml:space="preserve">Classification: </w:t>
      </w:r>
      <w:r>
        <w:rPr>
          <w:b/>
          <w:color w:val="17365D"/>
        </w:rPr>
        <w:t>R2 — Material</w:t>
      </w:r>
    </w:p>
    <w:p>
      <w:pPr>
        <w:keepLines/>
        <w:spacing w:after="160"/>
      </w:pPr>
      <w:r>
        <w:t>Unsigned draft offers six months’ severance in exchange for a release and restrictive covenants; recites the termination basis and expressly reaffirms assignment/confidentiality obligations. Relevant to notice, damages/benefits, release scope, and the company’s post-termination position. Not attorney-client privileged merely because it is a legal agreement or confidential; it is marked draft and was transmitted to the employee. Settlement-negotiation/evidentiary limits may apply to use, but do not create a discovery privilege.</w:t>
      </w:r>
    </w:p>
    <w:p>
      <w:pPr>
        <w:pStyle w:val="Heading2"/>
        <w:keepNext/>
      </w:pPr>
      <w:r>
        <w:t>RC-05  |  vasquez-invention-assignment.docx</w:t>
      </w:r>
    </w:p>
    <w:p>
      <w:pPr>
        <w:spacing w:after="40"/>
      </w:pPr>
      <w:r>
        <w:rPr>
          <w:b/>
          <w:color w:val="17365D"/>
        </w:rPr>
        <w:t xml:space="preserve">Date / parties: </w:t>
      </w:r>
      <w:r>
        <w:t>March 12, 2018 • Meridian / Lena Vasquez</w:t>
      </w:r>
    </w:p>
    <w:p>
      <w:pPr>
        <w:spacing w:after="60"/>
      </w:pPr>
      <w:r>
        <w:rPr>
          <w:b/>
          <w:color w:val="17365D"/>
        </w:rPr>
        <w:t xml:space="preserve">Classification: </w:t>
      </w:r>
      <w:r>
        <w:rPr>
          <w:b/>
          <w:color w:val="187C80"/>
        </w:rPr>
        <w:t>R1 — Core</w:t>
      </w:r>
    </w:p>
    <w:p>
      <w:pPr>
        <w:keepLines/>
        <w:spacing w:after="160"/>
      </w:pPr>
      <w:r>
        <w:t>Key contract governing assignment of employment inventions, confidentiality, disclosure, lab notebooks, and post-employment patent cooperation. Exhibit A lists “NONE” for prior inventions. It is central to both sides’ arguments about whether MPC-7X and later improvements belong to Meridian or fall outside the assignment; the text also contains an own-time/business-related-invention limitation. Not privileged.</w:t>
      </w:r>
    </w:p>
    <w:p>
      <w:pPr>
        <w:pStyle w:val="Heading2"/>
        <w:keepNext/>
      </w:pPr>
      <w:r>
        <w:t>RC-06  |  mpc7x-continuation-app.docx</w:t>
      </w:r>
    </w:p>
    <w:p>
      <w:pPr>
        <w:spacing w:after="40"/>
      </w:pPr>
      <w:r>
        <w:rPr>
          <w:b/>
          <w:color w:val="17365D"/>
        </w:rPr>
        <w:t xml:space="preserve">Date / parties: </w:t>
      </w:r>
      <w:r>
        <w:t>Filed November 1, 2023 • Application No. 18/456,789</w:t>
      </w:r>
    </w:p>
    <w:p>
      <w:pPr>
        <w:spacing w:after="60"/>
      </w:pPr>
      <w:r>
        <w:rPr>
          <w:b/>
          <w:color w:val="17365D"/>
        </w:rPr>
        <w:t xml:space="preserve">Classification: </w:t>
      </w:r>
      <w:r>
        <w:rPr>
          <w:b/>
          <w:color w:val="187C80"/>
        </w:rPr>
        <w:t>R1 — Core</w:t>
      </w:r>
    </w:p>
    <w:p>
      <w:pPr>
        <w:keepLines/>
        <w:spacing w:after="160"/>
      </w:pPr>
      <w:r>
        <w:t>Directly addresses the disputed continuation, its priority claim to the parent patent, technical claims, assignee, and named inventors Mehta and Park (omitting Vasquez). Highly relevant to inventorship, alleged continuing misappropriation, post-termination conduct, and the asserted distinction between parent and continuation subject matter. Not privileged. Verify the official filing, inventorship declarations, claims as filed/amended, and publication status; do not assume the full application was public at the time of filing. The supplied text’s parent-title/base-chemistry descriptions appear inconsistent with the supplied original patent and warrant technical/authenticity review.</w:t>
      </w:r>
    </w:p>
    <w:p>
      <w:pPr>
        <w:pStyle w:val="Heading2"/>
        <w:keepNext/>
      </w:pPr>
      <w:r>
        <w:t>RC-07  |  plaintiff-demand-letter.docx</w:t>
      </w:r>
    </w:p>
    <w:p>
      <w:pPr>
        <w:spacing w:after="40"/>
      </w:pPr>
      <w:r>
        <w:rPr>
          <w:b/>
          <w:color w:val="17365D"/>
        </w:rPr>
        <w:t xml:space="preserve">Date / parties: </w:t>
      </w:r>
      <w:r>
        <w:t>October 15, 2023 • Marcus Hargrove to Priya Chandrasekaran</w:t>
      </w:r>
    </w:p>
    <w:p>
      <w:pPr>
        <w:spacing w:after="60"/>
      </w:pPr>
      <w:r>
        <w:rPr>
          <w:b/>
          <w:color w:val="17365D"/>
        </w:rPr>
        <w:t xml:space="preserve">Classification: </w:t>
      </w:r>
      <w:r>
        <w:rPr>
          <w:b/>
          <w:color w:val="17365D"/>
        </w:rPr>
        <w:t>R2 — Material</w:t>
      </w:r>
    </w:p>
    <w:p>
      <w:pPr>
        <w:keepLines/>
        <w:spacing w:after="160"/>
      </w:pPr>
      <w:r>
        <w:t>Provides notice and a detailed statement of plaintiff’s allegations, chronology, claimed damages, and intended discovery concerning both claims. Relevant to notice, litigation posture, and damages theories, but it is advocacy and not independent proof of the assertions. Not privileged. A settlement demand may be subject to Rule 408 or analogous use restrictions; that rule is not a privilege and ordinarily does not bar discovery.</w:t>
      </w:r>
    </w:p>
    <w:p>
      <w:pPr>
        <w:pStyle w:val="Heading2"/>
        <w:keepNext/>
      </w:pPr>
      <w:r>
        <w:t>RC-08  |  simmons-bellworth-ops-metrics.eml</w:t>
      </w:r>
    </w:p>
    <w:p>
      <w:pPr>
        <w:spacing w:after="40"/>
      </w:pPr>
      <w:r>
        <w:rPr>
          <w:b/>
          <w:color w:val="17365D"/>
        </w:rPr>
        <w:t xml:space="preserve">Date / parties: </w:t>
      </w:r>
      <w:r>
        <w:t>August 22, 2023 • Derek Simmons to Tanya Bellworth</w:t>
      </w:r>
    </w:p>
    <w:p>
      <w:pPr>
        <w:spacing w:after="60"/>
      </w:pPr>
      <w:r>
        <w:rPr>
          <w:b/>
          <w:color w:val="17365D"/>
        </w:rPr>
        <w:t xml:space="preserve">Classification: </w:t>
      </w:r>
      <w:r>
        <w:rPr>
          <w:b/>
          <w:color w:val="187C80"/>
        </w:rPr>
        <w:t>R1 — Core</w:t>
      </w:r>
    </w:p>
    <w:p>
      <w:pPr>
        <w:keepLines/>
        <w:spacing w:after="160"/>
      </w:pPr>
      <w:r>
        <w:t>Operational metrics offered as the basis for HR review: five projects, three on time (60%), two delayed, 12% Q2 budget overrun, morale/transfer indicators, and historical comparison. Relevant to the stated performance rationale and its contemporaneous source. No privilege apparent. Reconcile against the August 10 email, the August 23 embedded thread, the HR summary, and PIP: project counts, completion percentages, budget variances, and project names differ materially across the set.</w:t>
      </w:r>
    </w:p>
    <w:p>
      <w:pPr>
        <w:pStyle w:val="Heading2"/>
        <w:keepNext/>
      </w:pPr>
      <w:r>
        <w:t>RC-09  |  vasquez-performance-summary.docx</w:t>
      </w:r>
    </w:p>
    <w:p>
      <w:pPr>
        <w:spacing w:after="40"/>
      </w:pPr>
      <w:r>
        <w:rPr>
          <w:b/>
          <w:color w:val="17365D"/>
        </w:rPr>
        <w:t xml:space="preserve">Date / parties: </w:t>
      </w:r>
      <w:r>
        <w:t>Prepared August 14, 2023; last modified September 18, 2023 • Tanya Bellworth</w:t>
      </w:r>
    </w:p>
    <w:p>
      <w:pPr>
        <w:spacing w:after="60"/>
      </w:pPr>
      <w:r>
        <w:rPr>
          <w:b/>
          <w:color w:val="17365D"/>
        </w:rPr>
        <w:t xml:space="preserve">Classification: </w:t>
      </w:r>
      <w:r>
        <w:rPr>
          <w:b/>
          <w:color w:val="187C80"/>
        </w:rPr>
        <w:t>R1 — Core</w:t>
      </w:r>
    </w:p>
    <w:p>
      <w:pPr>
        <w:keepLines/>
        <w:spacing w:after="160"/>
      </w:pPr>
      <w:r>
        <w:t>HR’s performance summary memorializes project delays, morale, budget concerns, and recommends a PIP. It is central to the employer’s rationale and pretext/causation analysis. Metadata states creation August 14 and modification September 18—after the September 15 termination—so preserve native metadata, version history, drafts, and source notes; determine what changed and when. The document itself is not privileged simply because it was kept in a personnel file or later discussed with counsel.</w:t>
      </w:r>
    </w:p>
    <w:p>
      <w:pPr>
        <w:pStyle w:val="Heading2"/>
        <w:keepNext/>
      </w:pPr>
      <w:r>
        <w:t>RC-10  |  vasquez-pip.docx</w:t>
      </w:r>
    </w:p>
    <w:p>
      <w:pPr>
        <w:spacing w:after="40"/>
      </w:pPr>
      <w:r>
        <w:rPr>
          <w:b/>
          <w:color w:val="17365D"/>
        </w:rPr>
        <w:t xml:space="preserve">Date / parties: </w:t>
      </w:r>
      <w:r>
        <w:t>Issued September 8, 2023 • Tanya Bellworth; reviewed by Derek Simmons</w:t>
      </w:r>
    </w:p>
    <w:p>
      <w:pPr>
        <w:spacing w:after="60"/>
      </w:pPr>
      <w:r>
        <w:rPr>
          <w:b/>
          <w:color w:val="17365D"/>
        </w:rPr>
        <w:t xml:space="preserve">Classification: </w:t>
      </w:r>
      <w:r>
        <w:rPr>
          <w:b/>
          <w:color w:val="187C80"/>
        </w:rPr>
        <w:t>R1 — Core</w:t>
      </w:r>
    </w:p>
    <w:p>
      <w:pPr>
        <w:keepLines/>
        <w:spacing w:after="160"/>
      </w:pPr>
      <w:r>
        <w:t>The PIP promises a 60-day period through November 7, sets measurable objectives/checkpoints, states no adverse action based solely on listed deficiencies before the period ends, and records Vasquez’s protest. Termination followed seven days later. This is direct evidence on process, pretext, and causation. The PIP’s project names, transfer-request count, and figures also differ from other performance documents; validate against original project and HR records. Not privileged.</w:t>
      </w:r>
    </w:p>
    <w:p>
      <w:pPr>
        <w:pStyle w:val="Heading2"/>
        <w:keepNext/>
      </w:pPr>
      <w:r>
        <w:t>RC-11  |  vasquez-termination-letter.docx</w:t>
      </w:r>
    </w:p>
    <w:p>
      <w:pPr>
        <w:spacing w:after="40"/>
      </w:pPr>
      <w:r>
        <w:rPr>
          <w:b/>
          <w:color w:val="17365D"/>
        </w:rPr>
        <w:t xml:space="preserve">Date / parties: </w:t>
      </w:r>
      <w:r>
        <w:t>September 15, 2023 • Bellworth and Firth</w:t>
      </w:r>
    </w:p>
    <w:p>
      <w:pPr>
        <w:spacing w:after="60"/>
      </w:pPr>
      <w:r>
        <w:rPr>
          <w:b/>
          <w:color w:val="17365D"/>
        </w:rPr>
        <w:t xml:space="preserve">Classification: </w:t>
      </w:r>
      <w:r>
        <w:rPr>
          <w:b/>
          <w:color w:val="187C80"/>
        </w:rPr>
        <w:t>R1 — Core</w:t>
      </w:r>
    </w:p>
    <w:p>
      <w:pPr>
        <w:keepLines/>
        <w:spacing w:after="160"/>
      </w:pPr>
      <w:r>
        <w:t>Direct evidence of adverse action, effective date, stated performance/leadership grounds, signatories, and logistics. The letter does not mention the PIP’s 60-day period and is dated seven days after issuance. Central to the retaliation/pretext claim and damages timeline. Not privileged.</w:t>
      </w:r>
    </w:p>
    <w:p>
      <w:pPr>
        <w:pStyle w:val="Heading2"/>
        <w:keepNext/>
      </w:pPr>
      <w:r>
        <w:t>RC-12  |  vasquez-env-compliance-memo.docx</w:t>
      </w:r>
    </w:p>
    <w:p>
      <w:pPr>
        <w:spacing w:after="40"/>
      </w:pPr>
      <w:r>
        <w:rPr>
          <w:b/>
          <w:color w:val="17365D"/>
        </w:rPr>
        <w:t xml:space="preserve">Date / parties: </w:t>
      </w:r>
      <w:r>
        <w:t>January 15, 2023 • Lena Vasquez to Gerald Firth and Priya Chandrasekaran</w:t>
      </w:r>
    </w:p>
    <w:p>
      <w:pPr>
        <w:spacing w:after="60"/>
      </w:pPr>
      <w:r>
        <w:rPr>
          <w:b/>
          <w:color w:val="17365D"/>
        </w:rPr>
        <w:t xml:space="preserve">Classification: </w:t>
      </w:r>
      <w:r>
        <w:rPr>
          <w:b/>
          <w:color w:val="187C80"/>
        </w:rPr>
        <w:t>R1 — Core</w:t>
      </w:r>
    </w:p>
    <w:p>
      <w:pPr>
        <w:keepLines/>
        <w:spacing w:after="160"/>
      </w:pPr>
      <w:r>
        <w:t>The alleged protected internal report: identifies 14 waste-manifesting concerns, dates, regulatory grounds, the Operations chain, supporting records, requested investigation/remediation, and reservation of rights. Central to protected activity, employer knowledge, subject-matter context, and reasonableness of the environmental complaint. Not privileged merely because marked confidential or sent to General Counsel; it is Vasquez’s business/reporting communication, not a request for or communication of legal advice.</w:t>
      </w:r>
    </w:p>
    <w:p>
      <w:pPr>
        <w:pStyle w:val="Heading2"/>
        <w:keepNext/>
      </w:pPr>
      <w:r>
        <w:t>RC-13  |  chandrasekaran-fwd-burrell-memo.eml</w:t>
      </w:r>
    </w:p>
    <w:p>
      <w:pPr>
        <w:spacing w:after="40"/>
      </w:pPr>
      <w:r>
        <w:rPr>
          <w:b/>
          <w:color w:val="17365D"/>
        </w:rPr>
        <w:t xml:space="preserve">Date / parties: </w:t>
      </w:r>
      <w:r>
        <w:t>October 10, 2023 • Priya Chandrasekaran to Derek Simmons</w:t>
      </w:r>
    </w:p>
    <w:p>
      <w:pPr>
        <w:spacing w:after="60"/>
      </w:pPr>
      <w:r>
        <w:rPr>
          <w:b/>
          <w:color w:val="17365D"/>
        </w:rPr>
        <w:t xml:space="preserve">Classification: </w:t>
      </w:r>
      <w:r>
        <w:rPr>
          <w:b/>
          <w:color w:val="187C80"/>
        </w:rPr>
        <w:t>R1 — Core (withheld in full)</w:t>
      </w:r>
    </w:p>
    <w:p>
      <w:pPr>
        <w:keepLines/>
        <w:spacing w:after="160"/>
      </w:pPr>
      <w:r>
        <w:t>Contains GC’s summary of outside litigation counsel’s case assessment and recommendations, including litigation risks and requests for operational input. Highly relevant to defense knowledge, strategy, and document collection, but privileged/work product on the face of the communication; see PL-001. Internal need-to-know sharing to the operational executive asked to supply facts does not, by itself, waive privilege. The full Burrell memorandum is referenced but is not included in this file.</w:t>
      </w:r>
    </w:p>
    <w:p>
      <w:pPr>
        <w:pStyle w:val="Heading2"/>
        <w:keepNext/>
      </w:pPr>
      <w:r>
        <w:t>RC-14  |  burrell-stanton-joint-defense.eml</w:t>
      </w:r>
    </w:p>
    <w:p>
      <w:pPr>
        <w:spacing w:after="40"/>
      </w:pPr>
      <w:r>
        <w:rPr>
          <w:b/>
          <w:color w:val="17365D"/>
        </w:rPr>
        <w:t xml:space="preserve">Date / parties: </w:t>
      </w:r>
      <w:r>
        <w:t>October 20, 2023 • Catherine Burrell and Alan Greer, separate counsel</w:t>
      </w:r>
    </w:p>
    <w:p>
      <w:pPr>
        <w:spacing w:after="60"/>
      </w:pPr>
      <w:r>
        <w:rPr>
          <w:b/>
          <w:color w:val="17365D"/>
        </w:rPr>
        <w:t xml:space="preserve">Classification: </w:t>
      </w:r>
      <w:r>
        <w:rPr>
          <w:b/>
          <w:color w:val="187C80"/>
        </w:rPr>
        <w:t>R1 — Core (conditional privilege claim)</w:t>
      </w:r>
    </w:p>
    <w:p>
      <w:pPr>
        <w:keepLines/>
        <w:spacing w:after="160"/>
      </w:pPr>
      <w:r>
        <w:t>Discusses the coordinated defense of overlapping inventorship/trade-secret issues, Mehta’s exposure and deposition, and alignment with continuation inventorship positions. Highly relevant to the inventorship narrative and potential coordination. Withheld provisionally under common-interest/work-product protection; see PL-002. The produced set contains no written joint-defense agreement. Confirm the separate-client relationships, shared legal (not merely commercial) interest, confidentiality, and actual common-interest arrangement; if those prerequisites are absent, protection may be contested/waived.</w:t>
      </w:r>
    </w:p>
    <w:p>
      <w:pPr>
        <w:pStyle w:val="Heading2"/>
        <w:keepNext/>
      </w:pPr>
      <w:r>
        <w:t>RC-15  |  inventor-list-email-chain.eml</w:t>
      </w:r>
    </w:p>
    <w:p>
      <w:pPr>
        <w:spacing w:after="40"/>
      </w:pPr>
      <w:r>
        <w:rPr>
          <w:b/>
          <w:color w:val="17365D"/>
        </w:rPr>
        <w:t xml:space="preserve">Date / parties: </w:t>
      </w:r>
      <w:r>
        <w:t>October 18–19, 2023 • Simmons, Mehta, and Park</w:t>
      </w:r>
    </w:p>
    <w:p>
      <w:pPr>
        <w:spacing w:after="60"/>
      </w:pPr>
      <w:r>
        <w:rPr>
          <w:b/>
          <w:color w:val="17365D"/>
        </w:rPr>
        <w:t xml:space="preserve">Classification: </w:t>
      </w:r>
      <w:r>
        <w:rPr>
          <w:b/>
          <w:color w:val="187C80"/>
        </w:rPr>
        <w:t>R1 — Core</w:t>
      </w:r>
    </w:p>
    <w:p>
      <w:pPr>
        <w:keepLines/>
        <w:spacing w:after="160"/>
      </w:pPr>
      <w:r>
        <w:t>Business email chain discusses the continuation inventor list. Simmons asks Mehta and Park to be listed as sole inventors and says this would “avoid complications”; both confirm willingness and describe contributions. Directly relevant to inventorship decisions, motive, knowledge, and credibility. Not privileged: no lawyer is a sender/recipient, and the email is not shown to have been created at counsel’s direction. Preserve native thread and related drafts/claim charts.</w:t>
      </w:r>
    </w:p>
    <w:p>
      <w:pPr>
        <w:pStyle w:val="Heading2"/>
        <w:keepNext/>
      </w:pPr>
      <w:r>
        <w:t>RC-16  |  alderwood-engagement-letter.docx</w:t>
      </w:r>
    </w:p>
    <w:p>
      <w:pPr>
        <w:spacing w:after="40"/>
      </w:pPr>
      <w:r>
        <w:rPr>
          <w:b/>
          <w:color w:val="17365D"/>
        </w:rPr>
        <w:t xml:space="preserve">Date / parties: </w:t>
      </w:r>
      <w:r>
        <w:t>June 5, 2023 • Alderwood and Meridian, signed by Simmons</w:t>
      </w:r>
    </w:p>
    <w:p>
      <w:pPr>
        <w:spacing w:after="60"/>
      </w:pPr>
      <w:r>
        <w:rPr>
          <w:b/>
          <w:color w:val="17365D"/>
        </w:rPr>
        <w:t xml:space="preserve">Classification: </w:t>
      </w:r>
      <w:r>
        <w:rPr>
          <w:b/>
          <w:color w:val="187C80"/>
        </w:rPr>
        <w:t>R1 — Core</w:t>
      </w:r>
    </w:p>
    <w:p>
      <w:pPr>
        <w:keepLines/>
        <w:spacing w:after="160"/>
      </w:pPr>
      <w:r>
        <w:t>Defines the audit scope, ordinary business deliverables, reporting path, timing, fees, and confidentiality. It is critical to assessing whether the subsequent audit was attorney-directed: Simmons engaged Alderwood as Operations’ consultant, Chandrasekaran is only copied, and the agreement expressly says no attorney-client relationship and that the report is not legal advice. Not privileged on its face. Contractual confidentiality/proprietary language is not an evidentiary privilege.</w:t>
      </w:r>
    </w:p>
    <w:p>
      <w:pPr>
        <w:pStyle w:val="Heading2"/>
        <w:keepNext/>
      </w:pPr>
      <w:r>
        <w:t>RC-17  |  board-minutes-april2023.docx</w:t>
      </w:r>
    </w:p>
    <w:p>
      <w:pPr>
        <w:spacing w:after="40"/>
      </w:pPr>
      <w:r>
        <w:rPr>
          <w:b/>
          <w:color w:val="17365D"/>
        </w:rPr>
        <w:t xml:space="preserve">Date / parties: </w:t>
      </w:r>
      <w:r>
        <w:t>April 18, 2023 • Meridian Board minutes</w:t>
      </w:r>
    </w:p>
    <w:p>
      <w:pPr>
        <w:spacing w:after="60"/>
      </w:pPr>
      <w:r>
        <w:rPr>
          <w:b/>
          <w:color w:val="17365D"/>
        </w:rPr>
        <w:t xml:space="preserve">Classification: </w:t>
      </w:r>
      <w:r>
        <w:rPr>
          <w:b/>
          <w:color w:val="A66A00"/>
        </w:rPr>
        <w:t>R4 — Low / likely nonresponsive</w:t>
      </w:r>
    </w:p>
    <w:p>
      <w:pPr>
        <w:keepLines/>
        <w:spacing w:after="160"/>
      </w:pPr>
      <w:r>
        <w:t>The reviewed minutes concern a potential Polychem acquisition, corporate financial/operations updates, and board matters; no apparent reference to Vasquez, her environmental report, termination, MPC-7X, or the continuation. Low relevance to the identified claims. Narrow board communications reflecting M&amp;A counsel’s legal advice in §§5.1–5.2 and responsive portions of §6 are logged at PL-003; those sections concern an unrelated transaction. The balance is not privileged on the current review.</w:t>
      </w:r>
    </w:p>
    <w:p>
      <w:pPr>
        <w:pStyle w:val="Heading2"/>
        <w:keepNext/>
      </w:pPr>
      <w:r>
        <w:t>RC-18  |  bellworth-reply-adding-gc.eml</w:t>
      </w:r>
    </w:p>
    <w:p>
      <w:pPr>
        <w:spacing w:after="40"/>
      </w:pPr>
      <w:r>
        <w:rPr>
          <w:b/>
          <w:color w:val="17365D"/>
        </w:rPr>
        <w:t xml:space="preserve">Date / parties: </w:t>
      </w:r>
      <w:r>
        <w:t>August 22–23, 2023 • Simmons, Bellworth, Chandrasekaran</w:t>
      </w:r>
    </w:p>
    <w:p>
      <w:pPr>
        <w:spacing w:after="60"/>
      </w:pPr>
      <w:r>
        <w:rPr>
          <w:b/>
          <w:color w:val="17365D"/>
        </w:rPr>
        <w:t xml:space="preserve">Classification: </w:t>
      </w:r>
      <w:r>
        <w:rPr>
          <w:b/>
          <w:color w:val="187C80"/>
        </w:rPr>
        <w:t>R1 — Core (partially withheld)</w:t>
      </w:r>
    </w:p>
    <w:p>
      <w:pPr>
        <w:keepLines/>
        <w:spacing w:after="160"/>
      </w:pPr>
      <w:r>
        <w:t>Thread contains competing operational metrics and HR’s request for legal guidance on whether the figures support contemplated action, followed by GC’s instruction to pause pending counsel review. Highly relevant to the timing and legal awareness surrounding the performance process. The August 22 business metrics message is not privileged; narrow August 23 legal-advice request/response is withheld/redacted under attorney-client/work-product protection, see PL-004. Produce the underlying operational facts separately and reconcile the incompatible figures with RC-08/RC-09/RC-10.</w:t>
      </w:r>
    </w:p>
    <w:p>
      <w:pPr>
        <w:pStyle w:val="Heading2"/>
        <w:keepNext/>
      </w:pPr>
      <w:r>
        <w:t>RC-19  |  chandrasekaran-burrell-litrisik-email.eml</w:t>
      </w:r>
    </w:p>
    <w:p>
      <w:pPr>
        <w:spacing w:after="40"/>
      </w:pPr>
      <w:r>
        <w:rPr>
          <w:b/>
          <w:color w:val="17365D"/>
        </w:rPr>
        <w:t xml:space="preserve">Date / parties: </w:t>
      </w:r>
      <w:r>
        <w:t>March 3, 2023 • Priya Chandrasekaran to Catherine Burrell</w:t>
      </w:r>
    </w:p>
    <w:p>
      <w:pPr>
        <w:spacing w:after="60"/>
      </w:pPr>
      <w:r>
        <w:rPr>
          <w:b/>
          <w:color w:val="17365D"/>
        </w:rPr>
        <w:t xml:space="preserve">Classification: </w:t>
      </w:r>
      <w:r>
        <w:rPr>
          <w:b/>
          <w:color w:val="187C80"/>
        </w:rPr>
        <w:t>R1 — Core (withheld in full)</w:t>
      </w:r>
    </w:p>
    <w:p>
      <w:pPr>
        <w:keepLines/>
        <w:spacing w:after="160"/>
      </w:pPr>
      <w:r>
        <w:t>GC requests counsel’s litigation-risk assessment concerning the environmental allegations, potential whistleblower exposure if adverse employment action is taken, and whether an audit should be structured under counsel supervision. Highly relevant to knowledge, anticipation of claims, and audit structure; withheld as attorney-client communication and attorney work product, see PL-005. No underlying report or attachment is included. The later standard business engagement (RC-16) and audit report (RC-25) are not transformed into privileged material by this consultation.</w:t>
      </w:r>
    </w:p>
    <w:p>
      <w:pPr>
        <w:pStyle w:val="Heading2"/>
        <w:keepNext/>
      </w:pPr>
      <w:r>
        <w:t>RC-20  |  litigation-hold-notice.docx</w:t>
      </w:r>
    </w:p>
    <w:p>
      <w:pPr>
        <w:spacing w:after="40"/>
      </w:pPr>
      <w:r>
        <w:rPr>
          <w:b/>
          <w:color w:val="17365D"/>
        </w:rPr>
        <w:t xml:space="preserve">Date / parties: </w:t>
      </w:r>
      <w:r>
        <w:t>October 5, 2023 • Priya Chandrasekaran to 12 custodians</w:t>
      </w:r>
    </w:p>
    <w:p>
      <w:pPr>
        <w:spacing w:after="60"/>
      </w:pPr>
      <w:r>
        <w:rPr>
          <w:b/>
          <w:color w:val="17365D"/>
        </w:rPr>
        <w:t xml:space="preserve">Classification: </w:t>
      </w:r>
      <w:r>
        <w:rPr>
          <w:b/>
          <w:color w:val="17365D"/>
        </w:rPr>
        <w:t>R2 — Material (partially withheld)</w:t>
      </w:r>
    </w:p>
    <w:p>
      <w:pPr>
        <w:keepLines/>
        <w:spacing w:after="160"/>
      </w:pPr>
      <w:r>
        <w:t>Documents litigation notice, preservation scope, custodians, suspension of deletion/backup recycling, and the discovery timeline; relevant to preservation duties, notice, and collection. The ordinary hold directives and factual notice are not withheld merely because the document is labeled privileged. Narrow legal-risk assessment and counsel’s defense-document prioritization in §§4–5 are withheld as work product/attorney-client advice; see PL-006. Preserve/produce the operative nonprivileged instructions, subject to other applicable protections.</w:t>
      </w:r>
    </w:p>
    <w:p>
      <w:pPr>
        <w:pStyle w:val="Heading2"/>
        <w:keepNext/>
      </w:pPr>
      <w:r>
        <w:t>RC-21  |  acs-conference-registration.eml</w:t>
      </w:r>
    </w:p>
    <w:p>
      <w:pPr>
        <w:spacing w:after="40"/>
      </w:pPr>
      <w:r>
        <w:rPr>
          <w:b/>
          <w:color w:val="17365D"/>
        </w:rPr>
        <w:t xml:space="preserve">Date / parties: </w:t>
      </w:r>
      <w:r>
        <w:t>Registration for August 21–25, 2022 • National Chemical Society to Vasquez</w:t>
      </w:r>
    </w:p>
    <w:p>
      <w:pPr>
        <w:spacing w:after="60"/>
      </w:pPr>
      <w:r>
        <w:rPr>
          <w:b/>
          <w:color w:val="17365D"/>
        </w:rPr>
        <w:t xml:space="preserve">Classification: </w:t>
      </w:r>
      <w:r>
        <w:rPr>
          <w:b/>
          <w:color w:val="A66A00"/>
        </w:rPr>
        <w:t>R3 — Limited</w:t>
      </w:r>
    </w:p>
    <w:p>
      <w:pPr>
        <w:keepLines/>
        <w:spacing w:after="160"/>
      </w:pPr>
      <w:r>
        <w:t>Confirms an approved external presentation on published research and states the materials did not reference MPC-7X, trade secrets, or unpublished data. May bear narrowly on external disclosure and confidentiality; it is not the presentation itself and does not prove what was actually said or shown. Not privileged. Obtain the approved slides, publication-review form, and any presentation recording if the issue is pursued.</w:t>
      </w:r>
    </w:p>
    <w:p>
      <w:pPr>
        <w:pStyle w:val="Heading2"/>
        <w:keepNext/>
      </w:pPr>
      <w:r>
        <w:t>RC-22  |  it-backup-notification.eml</w:t>
      </w:r>
    </w:p>
    <w:p>
      <w:pPr>
        <w:spacing w:after="40"/>
      </w:pPr>
      <w:r>
        <w:rPr>
          <w:b/>
          <w:color w:val="17365D"/>
        </w:rPr>
        <w:t xml:space="preserve">Date / parties: </w:t>
      </w:r>
      <w:r>
        <w:t>June 15, 2022 • IT Systems Administration to all employees</w:t>
      </w:r>
    </w:p>
    <w:p>
      <w:pPr>
        <w:spacing w:after="60"/>
      </w:pPr>
      <w:r>
        <w:rPr>
          <w:b/>
          <w:color w:val="17365D"/>
        </w:rPr>
        <w:t xml:space="preserve">Classification: </w:t>
      </w:r>
      <w:r>
        <w:rPr>
          <w:b/>
          <w:color w:val="A66A00"/>
        </w:rPr>
        <w:t>R3 — Limited / preservation</w:t>
      </w:r>
    </w:p>
    <w:p>
      <w:pPr>
        <w:keepLines/>
        <w:spacing w:after="160"/>
      </w:pPr>
      <w:r>
        <w:t>Describes routine monthly incremental backups and quarterly archives, including email, network drives, workstation mirrors, and cloud repositories. May help identify ordinary-course ESI sources or retention practices, but predates the 2023 dispute and does not establish what data was actually retained, overwritten, or restored. Not privileged. Follow up with IT policy, backup logs, hold implementation records, and the affected custodian data if preservation is contested.</w:t>
      </w:r>
    </w:p>
    <w:p>
      <w:pPr>
        <w:pStyle w:val="Heading2"/>
        <w:keepNext/>
      </w:pPr>
      <w:r>
        <w:t>RC-23  |  chandrasekaran-ack-email.eml</w:t>
      </w:r>
    </w:p>
    <w:p>
      <w:pPr>
        <w:spacing w:after="40"/>
      </w:pPr>
      <w:r>
        <w:rPr>
          <w:b/>
          <w:color w:val="17365D"/>
        </w:rPr>
        <w:t xml:space="preserve">Date / parties: </w:t>
      </w:r>
      <w:r>
        <w:t>February 8, 2023 • Priya Chandrasekaran to Lena Vasquez</w:t>
      </w:r>
    </w:p>
    <w:p>
      <w:pPr>
        <w:spacing w:after="60"/>
      </w:pPr>
      <w:r>
        <w:rPr>
          <w:b/>
          <w:color w:val="17365D"/>
        </w:rPr>
        <w:t xml:space="preserve">Classification: </w:t>
      </w:r>
      <w:r>
        <w:rPr>
          <w:b/>
          <w:color w:val="187C80"/>
        </w:rPr>
        <w:t>R1 — Core</w:t>
      </w:r>
    </w:p>
    <w:p>
      <w:pPr>
        <w:keepLines/>
        <w:spacing w:after="160"/>
      </w:pPr>
      <w:r>
        <w:t>GC acknowledges receipt of the January 15 environmental report, confirms CEO awareness, says the matter will be reviewed, and asks Vasquez to preserve supporting materials. Direct evidence of employer knowledge and the response timeline. The message is administrative/factual rather than legal advice to the corporation; no privilege apparent. Do not treat an attorney’s authorship alone as a basis for withholding.</w:t>
      </w:r>
    </w:p>
    <w:p>
      <w:pPr>
        <w:pStyle w:val="Heading2"/>
        <w:keepNext/>
      </w:pPr>
      <w:r>
        <w:t>RC-24  |  chandrasekaran-meeting-notes-aug28.docx</w:t>
      </w:r>
    </w:p>
    <w:p>
      <w:pPr>
        <w:spacing w:after="40"/>
      </w:pPr>
      <w:r>
        <w:rPr>
          <w:b/>
          <w:color w:val="17365D"/>
        </w:rPr>
        <w:t xml:space="preserve">Date / parties: </w:t>
      </w:r>
      <w:r>
        <w:t>August 28, 2023 • Priya Chandrasekaran meeting notes</w:t>
      </w:r>
    </w:p>
    <w:p>
      <w:pPr>
        <w:spacing w:after="60"/>
      </w:pPr>
      <w:r>
        <w:rPr>
          <w:b/>
          <w:color w:val="17365D"/>
        </w:rPr>
        <w:t xml:space="preserve">Classification: </w:t>
      </w:r>
      <w:r>
        <w:rPr>
          <w:b/>
          <w:color w:val="187C80"/>
        </w:rPr>
        <w:t>R1 — Core (partially withheld)</w:t>
      </w:r>
    </w:p>
    <w:p>
      <w:pPr>
        <w:keepLines/>
        <w:spacing w:after="160"/>
      </w:pPr>
      <w:r>
        <w:t>Notes of the CEO/GC/Operations/HR meeting capture performance concerns, contemplated restructuring, the PIP process, the 60-day minimum, timing pressure, and the company’s awareness of the January report. Highly probative of decision-making and pretext. Narrow sections expressly recording legal strategy/advice (“Retaliation Exposure” and “Separation &amp; Documentation”) are withheld; see PL-007. Operational facts, attendees, actions, and non-legal deliberations are not withheld simply because GC took the notes.</w:t>
      </w:r>
    </w:p>
    <w:p>
      <w:pPr>
        <w:pStyle w:val="Heading2"/>
        <w:keepNext/>
      </w:pPr>
      <w:r>
        <w:t>RC-25  |  alderwood-draft-audit-report.docx</w:t>
      </w:r>
    </w:p>
    <w:p>
      <w:pPr>
        <w:spacing w:after="40"/>
      </w:pPr>
      <w:r>
        <w:rPr>
          <w:b/>
          <w:color w:val="17365D"/>
        </w:rPr>
        <w:t xml:space="preserve">Date / parties: </w:t>
      </w:r>
      <w:r>
        <w:t>July 22, 2023 • Alderwood Environmental Consulting, draft report</w:t>
      </w:r>
    </w:p>
    <w:p>
      <w:pPr>
        <w:spacing w:after="60"/>
      </w:pPr>
      <w:r>
        <w:rPr>
          <w:b/>
          <w:color w:val="17365D"/>
        </w:rPr>
        <w:t xml:space="preserve">Classification: </w:t>
      </w:r>
      <w:r>
        <w:rPr>
          <w:b/>
          <w:color w:val="187C80"/>
        </w:rPr>
        <w:t>R1 — Core</w:t>
      </w:r>
    </w:p>
    <w:p>
      <w:pPr>
        <w:keepLines/>
        <w:spacing w:after="160"/>
      </w:pPr>
      <w:r>
        <w:t>Directly bears on the environmental concerns, company response, and competing severity narratives. It is expressly a draft of a standard environmental compliance audit under the ordinary June 5 business engagement (RC-16), prepared by an independent consultant for Operations with GC copied—not an attorney-directed investigation on the face of the record. No attorney-client privilege/work-product claim apparent. The report’s four “findings” are not equivalent to four proven regulatory violations: its F-001 discussion says the discrepancy was below the reporting threshold and not itself a violation; the remaining findings differ in character/severity. Obtain final report, consultant workpapers, underlying manifests, and Ohio EPA records; distinguish consultant opinions from independently established facts.</w:t>
      </w:r>
    </w:p>
    <w:p>
      <w:pPr>
        <w:pStyle w:val="Heading1"/>
      </w:pPr>
      <w:r>
        <w:t>Handling notes</w:t>
      </w:r>
    </w:p>
    <w:p>
      <w:pPr>
        <w:pStyle w:val="ListBullet"/>
      </w:pPr>
      <w:r>
        <w:t>Privilege claims are limited to the communications/portions identified in the companion privilege log (PL-001 through PL-007). The nonprivileged factual content and operational portions should not be withheld solely because a document is marked confidential or includes an attorney recipient.</w:t>
      </w:r>
    </w:p>
    <w:p>
      <w:pPr>
        <w:pStyle w:val="ListBullet"/>
      </w:pPr>
      <w:r>
        <w:t>Protect health/benefit information in RC-02 through restricted access and tailored redaction or a protective order. Confidentiality, proprietary markings, a consultant’s confidentiality clause, and settlement context are not themselves evidentiary privileges.</w:t>
      </w:r>
    </w:p>
    <w:p>
      <w:pPr>
        <w:pStyle w:val="ListBullet"/>
      </w:pPr>
      <w:r>
        <w:t>No Bates numbers or full native metadata exports were supplied. RC identifiers are review identifiers only; they are not Bates numbers. Preserve original files, attachments, email headers, version history, and associated source data.</w:t>
      </w:r>
    </w:p>
    <w:sectPr w:rsidR="00FC693F" w:rsidRPr="0006063C" w:rsidSect="00034616">
      <w:headerReference w:type="default" r:id="rId9"/>
      <w:footerReference w:type="default" r:id="rId10"/>
      <w:pgSz w:w="12240" w:h="15840"/>
      <w:pgMar w:top="979"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B6573"/>
        <w:sz w:val="15"/>
      </w:rPr>
      <w:t xml:space="preserve">CONFIDENTIAL • RELEVANCE REVIEW  •  </w:t>
    </w: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b/>
        <w:color w:val="5B6573"/>
        <w:sz w:val="16"/>
      </w:rPr>
      <w:t>MERIDIAN POLYMERS  |  LITIGATION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87C80"/>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