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IN THE COURT OF COMMON PLEAS, SUMMIT COUNTY, OHIO</w:t>
      </w:r>
    </w:p>
    <w:p>
      <w:pPr>
        <w:jc w:val="center"/>
      </w:pPr>
      <w:r>
        <w:rPr>
          <w:i/>
        </w:rPr>
        <w:t>Dr. Lena Vasquez v. Meridian Polymers, Inc., et al., Case No. 2023-CV-07892 (Hon. Richard Takasugi)</w:t>
      </w:r>
    </w:p>
    <w:p>
      <w:pPr>
        <w:jc w:val="center"/>
      </w:pPr>
      <w:r>
        <w:rPr>
          <w:b/>
          <w:sz w:val="28"/>
        </w:rPr>
        <w:t>DEFENDANT MERIDIAN POLYMERS, INC.'S PRIVILEGE LOG</w:t>
      </w:r>
    </w:p>
    <w:p>
      <w:r>
        <w:rPr>
          <w:b w:val="0"/>
          <w:i/>
          <w:sz w:val="18"/>
        </w:rPr>
        <w:t>DRAFT FOR COUNSEL REVIEW – production set of 25 documents. Control numbers are review identifiers; replace with Bates numbers at production.</w:t>
      </w:r>
    </w:p>
    <w:p>
      <w:pPr>
        <w:pStyle w:val="Heading2"/>
      </w:pPr>
      <w:r>
        <w:t>Legend</w:t>
      </w:r>
    </w:p>
    <w:tbl>
      <w:tblPr>
        <w:tblStyle w:val="TableGrid"/>
        <w:tblW w:type="auto" w:w="0"/>
        <w:tblLook w:firstColumn="1" w:firstRow="1" w:lastColumn="0" w:lastRow="0" w:noHBand="0" w:noVBand="1" w:val="04A0"/>
      </w:tblPr>
      <w:tblGrid>
        <w:gridCol w:w="7056"/>
        <w:gridCol w:w="7056"/>
      </w:tblGrid>
      <w:tr>
        <w:trPr>
          <w:tblHeader w:val="true"/>
        </w:trPr>
        <w:tc>
          <w:tcPr>
            <w:tcW w:type="dxa" w:w="1584"/>
            <w:shd w:val="clear" w:color="auto" w:fill="D9E2F3"/>
          </w:tcPr>
          <w:p>
            <w:r/>
            <w:r>
              <w:rPr>
                <w:b/>
                <w:sz w:val="17"/>
              </w:rPr>
              <w:t>Term</w:t>
            </w:r>
          </w:p>
        </w:tc>
        <w:tc>
          <w:tcPr>
            <w:tcW w:type="dxa" w:w="12240"/>
            <w:shd w:val="clear" w:color="auto" w:fill="D9E2F3"/>
          </w:tcPr>
          <w:p>
            <w:r/>
            <w:r>
              <w:rPr>
                <w:b/>
                <w:sz w:val="17"/>
              </w:rPr>
              <w:t>Meaning</w:t>
            </w:r>
          </w:p>
        </w:tc>
      </w:tr>
      <w:tr>
        <w:tc>
          <w:tcPr>
            <w:tcW w:type="dxa" w:w="1584"/>
          </w:tcPr>
          <w:p>
            <w:r/>
            <w:r>
              <w:rPr>
                <w:sz w:val="17"/>
              </w:rPr>
              <w:t>*</w:t>
            </w:r>
          </w:p>
        </w:tc>
        <w:tc>
          <w:tcPr>
            <w:tcW w:type="dxa" w:w="12240"/>
          </w:tcPr>
          <w:p>
            <w:r/>
            <w:r>
              <w:rPr>
                <w:sz w:val="17"/>
              </w:rPr>
              <w:t>Attorney. P. Chandrasekaran – General Counsel, Meridian Polymers, Inc. C. Burrell – Partner, Kirkfield, Oates &amp; Burrell LLP (outside counsel to Meridian). A. Greer – Partner, Stanton &amp; Greer LLP (counsel to non-party Dr. Rajan Mehta). M. Hargrove – Hargrove &amp; Linden LLP (plaintiff's counsel).</w:t>
            </w:r>
          </w:p>
        </w:tc>
      </w:tr>
      <w:tr>
        <w:tc>
          <w:tcPr>
            <w:tcW w:type="dxa" w:w="1584"/>
          </w:tcPr>
          <w:p>
            <w:r/>
            <w:r>
              <w:rPr>
                <w:sz w:val="17"/>
              </w:rPr>
              <w:t>AC</w:t>
            </w:r>
          </w:p>
        </w:tc>
        <w:tc>
          <w:tcPr>
            <w:tcW w:type="dxa" w:w="12240"/>
          </w:tcPr>
          <w:p>
            <w:r/>
            <w:r>
              <w:rPr>
                <w:sz w:val="17"/>
              </w:rPr>
              <w:t>Attorney-client privilege (R.C. 2317.02(A) and Ohio common law): confidential communication between client and counsel made for the purpose of obtaining or providing legal advice.</w:t>
            </w:r>
          </w:p>
        </w:tc>
      </w:tr>
      <w:tr>
        <w:tc>
          <w:tcPr>
            <w:tcW w:type="dxa" w:w="1584"/>
          </w:tcPr>
          <w:p>
            <w:r/>
            <w:r>
              <w:rPr>
                <w:sz w:val="17"/>
              </w:rPr>
              <w:t>WP</w:t>
            </w:r>
          </w:p>
        </w:tc>
        <w:tc>
          <w:tcPr>
            <w:tcW w:type="dxa" w:w="12240"/>
          </w:tcPr>
          <w:p>
            <w:r/>
            <w:r>
              <w:rPr>
                <w:sz w:val="17"/>
              </w:rPr>
              <w:t>Work-product protection (Ohio Civ.R. 26(B)(3)): material prepared by or for a party or its representative in anticipation of litigation or for trial, including counsel's mental impressions.</w:t>
            </w:r>
          </w:p>
        </w:tc>
      </w:tr>
      <w:tr>
        <w:tc>
          <w:tcPr>
            <w:tcW w:type="dxa" w:w="1584"/>
          </w:tcPr>
          <w:p>
            <w:r/>
            <w:r>
              <w:rPr>
                <w:sz w:val="17"/>
              </w:rPr>
              <w:t>CI</w:t>
            </w:r>
          </w:p>
        </w:tc>
        <w:tc>
          <w:tcPr>
            <w:tcW w:type="dxa" w:w="12240"/>
          </w:tcPr>
          <w:p>
            <w:r/>
            <w:r>
              <w:rPr>
                <w:sz w:val="17"/>
              </w:rPr>
              <w:t>Common-interest doctrine: privileged/protected material shared between counsel for parties with a common legal interest in pending or anticipated litigation; no waiver.</w:t>
            </w:r>
          </w:p>
        </w:tc>
      </w:tr>
      <w:tr>
        <w:tc>
          <w:tcPr>
            <w:tcW w:type="dxa" w:w="1584"/>
          </w:tcPr>
          <w:p>
            <w:r/>
            <w:r>
              <w:rPr>
                <w:sz w:val="17"/>
              </w:rPr>
              <w:t>Treatment</w:t>
            </w:r>
          </w:p>
        </w:tc>
        <w:tc>
          <w:tcPr>
            <w:tcW w:type="dxa" w:w="12240"/>
          </w:tcPr>
          <w:p>
            <w:r/>
            <w:r>
              <w:rPr>
                <w:sz w:val="17"/>
              </w:rPr>
              <w:t>Withheld in full / Produced with redactions.</w:t>
            </w:r>
          </w:p>
        </w:tc>
      </w:tr>
    </w:tbl>
    <w:p/>
    <w:p>
      <w:pPr>
        <w:pStyle w:val="Heading2"/>
      </w:pPr>
      <w:r>
        <w:t>Log Entries</w:t>
      </w:r>
    </w:p>
    <w:tbl>
      <w:tblPr>
        <w:tblStyle w:val="TableGrid"/>
        <w:tblW w:type="auto" w:w="0"/>
        <w:tblLook w:firstColumn="1" w:firstRow="1" w:lastColumn="0" w:lastRow="0" w:noHBand="0" w:noVBand="1" w:val="04A0"/>
      </w:tblPr>
      <w:tblGrid>
        <w:gridCol w:w="1411"/>
        <w:gridCol w:w="1411"/>
        <w:gridCol w:w="1411"/>
        <w:gridCol w:w="1411"/>
        <w:gridCol w:w="1411"/>
        <w:gridCol w:w="1411"/>
        <w:gridCol w:w="1411"/>
        <w:gridCol w:w="1411"/>
        <w:gridCol w:w="1411"/>
        <w:gridCol w:w="1411"/>
      </w:tblGrid>
      <w:tr>
        <w:trPr>
          <w:tblHeader w:val="true"/>
        </w:trPr>
        <w:tc>
          <w:tcPr>
            <w:tcW w:type="dxa" w:w="504"/>
            <w:shd w:val="clear" w:color="auto" w:fill="D9E2F3"/>
          </w:tcPr>
          <w:p>
            <w:r/>
            <w:r>
              <w:rPr>
                <w:b/>
                <w:sz w:val="15"/>
              </w:rPr>
              <w:t>Log #</w:t>
            </w:r>
          </w:p>
        </w:tc>
        <w:tc>
          <w:tcPr>
            <w:tcW w:type="dxa" w:w="1080"/>
            <w:shd w:val="clear" w:color="auto" w:fill="D9E2F3"/>
          </w:tcPr>
          <w:p>
            <w:r/>
            <w:r>
              <w:rPr>
                <w:b/>
                <w:sz w:val="15"/>
              </w:rPr>
              <w:t>Control No.</w:t>
            </w:r>
          </w:p>
        </w:tc>
        <w:tc>
          <w:tcPr>
            <w:tcW w:type="dxa" w:w="936"/>
            <w:shd w:val="clear" w:color="auto" w:fill="D9E2F3"/>
          </w:tcPr>
          <w:p>
            <w:r/>
            <w:r>
              <w:rPr>
                <w:b/>
                <w:sz w:val="15"/>
              </w:rPr>
              <w:t>Date</w:t>
            </w:r>
          </w:p>
        </w:tc>
        <w:tc>
          <w:tcPr>
            <w:tcW w:type="dxa" w:w="1152"/>
            <w:shd w:val="clear" w:color="auto" w:fill="D9E2F3"/>
          </w:tcPr>
          <w:p>
            <w:r/>
            <w:r>
              <w:rPr>
                <w:b/>
                <w:sz w:val="15"/>
              </w:rPr>
              <w:t>Doc Type</w:t>
            </w:r>
          </w:p>
        </w:tc>
        <w:tc>
          <w:tcPr>
            <w:tcW w:type="dxa" w:w="1296"/>
            <w:shd w:val="clear" w:color="auto" w:fill="D9E2F3"/>
          </w:tcPr>
          <w:p>
            <w:r/>
            <w:r>
              <w:rPr>
                <w:b/>
                <w:sz w:val="15"/>
              </w:rPr>
              <w:t>Author / From</w:t>
            </w:r>
          </w:p>
        </w:tc>
        <w:tc>
          <w:tcPr>
            <w:tcW w:type="dxa" w:w="1728"/>
            <w:shd w:val="clear" w:color="auto" w:fill="D9E2F3"/>
          </w:tcPr>
          <w:p>
            <w:r/>
            <w:r>
              <w:rPr>
                <w:b/>
                <w:sz w:val="15"/>
              </w:rPr>
              <w:t>Recipient(s) / To</w:t>
            </w:r>
          </w:p>
        </w:tc>
        <w:tc>
          <w:tcPr>
            <w:tcW w:type="dxa" w:w="864"/>
            <w:shd w:val="clear" w:color="auto" w:fill="D9E2F3"/>
          </w:tcPr>
          <w:p>
            <w:r/>
            <w:r>
              <w:rPr>
                <w:b/>
                <w:sz w:val="15"/>
              </w:rPr>
              <w:t>CC</w:t>
            </w:r>
          </w:p>
        </w:tc>
        <w:tc>
          <w:tcPr>
            <w:tcW w:type="dxa" w:w="4104"/>
            <w:shd w:val="clear" w:color="auto" w:fill="D9E2F3"/>
          </w:tcPr>
          <w:p>
            <w:r/>
            <w:r>
              <w:rPr>
                <w:b/>
                <w:sz w:val="15"/>
              </w:rPr>
              <w:t>Description (subject matter, without revealing privileged content)</w:t>
            </w:r>
          </w:p>
        </w:tc>
        <w:tc>
          <w:tcPr>
            <w:tcW w:type="dxa" w:w="792"/>
            <w:shd w:val="clear" w:color="auto" w:fill="D9E2F3"/>
          </w:tcPr>
          <w:p>
            <w:r/>
            <w:r>
              <w:rPr>
                <w:b/>
                <w:sz w:val="15"/>
              </w:rPr>
              <w:t>Privilege Basis</w:t>
            </w:r>
          </w:p>
        </w:tc>
        <w:tc>
          <w:tcPr>
            <w:tcW w:type="dxa" w:w="1080"/>
            <w:shd w:val="clear" w:color="auto" w:fill="D9E2F3"/>
          </w:tcPr>
          <w:p>
            <w:r/>
            <w:r>
              <w:rPr>
                <w:b/>
                <w:sz w:val="15"/>
              </w:rPr>
              <w:t>Treatment</w:t>
            </w:r>
          </w:p>
        </w:tc>
      </w:tr>
      <w:tr>
        <w:tc>
          <w:tcPr>
            <w:tcW w:type="dxa" w:w="504"/>
          </w:tcPr>
          <w:p>
            <w:r/>
            <w:r>
              <w:rPr>
                <w:sz w:val="15"/>
              </w:rPr>
              <w:t>1</w:t>
            </w:r>
          </w:p>
        </w:tc>
        <w:tc>
          <w:tcPr>
            <w:tcW w:type="dxa" w:w="1080"/>
          </w:tcPr>
          <w:p>
            <w:r/>
            <w:r>
              <w:rPr>
                <w:sz w:val="15"/>
              </w:rPr>
              <w:t>MPI-REV-001</w:t>
            </w:r>
          </w:p>
        </w:tc>
        <w:tc>
          <w:tcPr>
            <w:tcW w:type="dxa" w:w="936"/>
          </w:tcPr>
          <w:p>
            <w:r/>
            <w:r>
              <w:rPr>
                <w:sz w:val="15"/>
              </w:rPr>
              <w:t>03/03/2023</w:t>
            </w:r>
          </w:p>
        </w:tc>
        <w:tc>
          <w:tcPr>
            <w:tcW w:type="dxa" w:w="1152"/>
          </w:tcPr>
          <w:p>
            <w:r/>
            <w:r>
              <w:rPr>
                <w:sz w:val="15"/>
              </w:rPr>
              <w:t>Email</w:t>
            </w:r>
          </w:p>
        </w:tc>
        <w:tc>
          <w:tcPr>
            <w:tcW w:type="dxa" w:w="1296"/>
          </w:tcPr>
          <w:p>
            <w:r/>
            <w:r>
              <w:rPr>
                <w:sz w:val="15"/>
              </w:rPr>
              <w:t>Priya Chandrasekaran*</w:t>
            </w:r>
          </w:p>
        </w:tc>
        <w:tc>
          <w:tcPr>
            <w:tcW w:type="dxa" w:w="1728"/>
          </w:tcPr>
          <w:p>
            <w:r/>
            <w:r>
              <w:rPr>
                <w:sz w:val="15"/>
              </w:rPr>
              <w:t>Catherine Burrell*</w:t>
            </w:r>
          </w:p>
        </w:tc>
        <w:tc>
          <w:tcPr>
            <w:tcW w:type="dxa" w:w="864"/>
          </w:tcPr>
          <w:p>
            <w:r/>
            <w:r>
              <w:rPr>
                <w:sz w:val="15"/>
              </w:rPr>
              <w:t>—</w:t>
            </w:r>
          </w:p>
        </w:tc>
        <w:tc>
          <w:tcPr>
            <w:tcW w:type="dxa" w:w="4104"/>
          </w:tcPr>
          <w:p>
            <w:r/>
            <w:r>
              <w:rPr>
                <w:sz w:val="15"/>
              </w:rPr>
              <w:t>Confidential email from Meridian's General Counsel to outside counsel requesting legal advice and a litigation-risk assessment regarding potential regulatory exposure and potential employee whistleblower claims, and requesting legal advice on how to structure a contemplated environmental compliance audit.</w:t>
            </w:r>
          </w:p>
        </w:tc>
        <w:tc>
          <w:tcPr>
            <w:tcW w:type="dxa" w:w="792"/>
          </w:tcPr>
          <w:p>
            <w:r/>
            <w:r>
              <w:rPr>
                <w:sz w:val="15"/>
              </w:rPr>
              <w:t>AC; WP</w:t>
            </w:r>
          </w:p>
        </w:tc>
        <w:tc>
          <w:tcPr>
            <w:tcW w:type="dxa" w:w="1080"/>
          </w:tcPr>
          <w:p>
            <w:r/>
            <w:r>
              <w:rPr>
                <w:sz w:val="15"/>
              </w:rPr>
              <w:t>Withheld in full</w:t>
            </w:r>
          </w:p>
        </w:tc>
      </w:tr>
      <w:tr>
        <w:tc>
          <w:tcPr>
            <w:tcW w:type="dxa" w:w="504"/>
          </w:tcPr>
          <w:p>
            <w:r/>
            <w:r>
              <w:rPr>
                <w:sz w:val="15"/>
              </w:rPr>
              <w:t>2</w:t>
            </w:r>
          </w:p>
        </w:tc>
        <w:tc>
          <w:tcPr>
            <w:tcW w:type="dxa" w:w="1080"/>
          </w:tcPr>
          <w:p>
            <w:r/>
            <w:r>
              <w:rPr>
                <w:sz w:val="15"/>
              </w:rPr>
              <w:t>MPI-REV-010</w:t>
            </w:r>
          </w:p>
        </w:tc>
        <w:tc>
          <w:tcPr>
            <w:tcW w:type="dxa" w:w="936"/>
          </w:tcPr>
          <w:p>
            <w:r/>
            <w:r>
              <w:rPr>
                <w:sz w:val="15"/>
              </w:rPr>
              <w:t>08/23/2023</w:t>
            </w:r>
          </w:p>
        </w:tc>
        <w:tc>
          <w:tcPr>
            <w:tcW w:type="dxa" w:w="1152"/>
          </w:tcPr>
          <w:p>
            <w:r/>
            <w:r>
              <w:rPr>
                <w:sz w:val="15"/>
              </w:rPr>
              <w:t>Email chain (3 messages; messages 2–3 redacted)</w:t>
            </w:r>
          </w:p>
        </w:tc>
        <w:tc>
          <w:tcPr>
            <w:tcW w:type="dxa" w:w="1296"/>
          </w:tcPr>
          <w:p>
            <w:r/>
            <w:r>
              <w:rPr>
                <w:sz w:val="15"/>
              </w:rPr>
              <w:t>Tanya Bellworth (msg 2); Priya Chandrasekaran* (msg 3)</w:t>
            </w:r>
          </w:p>
        </w:tc>
        <w:tc>
          <w:tcPr>
            <w:tcW w:type="dxa" w:w="1728"/>
          </w:tcPr>
          <w:p>
            <w:r/>
            <w:r>
              <w:rPr>
                <w:sz w:val="15"/>
              </w:rPr>
              <w:t>Msg 2: Derek Simmons; Msg 3: Tanya Bellworth, Derek Simmons</w:t>
            </w:r>
          </w:p>
        </w:tc>
        <w:tc>
          <w:tcPr>
            <w:tcW w:type="dxa" w:w="864"/>
          </w:tcPr>
          <w:p>
            <w:r/>
            <w:r>
              <w:rPr>
                <w:sz w:val="15"/>
              </w:rPr>
              <w:t>Msg 2: Priya Chandrasekaran*</w:t>
            </w:r>
          </w:p>
        </w:tc>
        <w:tc>
          <w:tcPr>
            <w:tcW w:type="dxa" w:w="4104"/>
          </w:tcPr>
          <w:p>
            <w:r/>
            <w:r>
              <w:rPr>
                <w:sz w:val="15"/>
              </w:rPr>
              <w:t>Message 2 (8/23/2023 9:14 AM): HR Director's request to General Counsel for legal advice regarding a contemplated personnel action. Message 3 (8/23/2023 11:42 AM): General Counsel's response providing legal direction pending consultation with outside counsel. Underlying message 1 (Simmons to Bellworth, 8/22/2023, operational metrics) is produced unredacted, as are the header fields of messages 2 and 3.</w:t>
            </w:r>
          </w:p>
        </w:tc>
        <w:tc>
          <w:tcPr>
            <w:tcW w:type="dxa" w:w="792"/>
          </w:tcPr>
          <w:p>
            <w:r/>
            <w:r>
              <w:rPr>
                <w:sz w:val="15"/>
              </w:rPr>
              <w:t>AC</w:t>
            </w:r>
          </w:p>
        </w:tc>
        <w:tc>
          <w:tcPr>
            <w:tcW w:type="dxa" w:w="1080"/>
          </w:tcPr>
          <w:p>
            <w:r/>
            <w:r>
              <w:rPr>
                <w:sz w:val="15"/>
              </w:rPr>
              <w:t>Produced with redactions</w:t>
            </w:r>
          </w:p>
        </w:tc>
      </w:tr>
      <w:tr>
        <w:tc>
          <w:tcPr>
            <w:tcW w:type="dxa" w:w="504"/>
          </w:tcPr>
          <w:p>
            <w:r/>
            <w:r>
              <w:rPr>
                <w:sz w:val="15"/>
              </w:rPr>
              <w:t>3</w:t>
            </w:r>
          </w:p>
        </w:tc>
        <w:tc>
          <w:tcPr>
            <w:tcW w:type="dxa" w:w="1080"/>
          </w:tcPr>
          <w:p>
            <w:r/>
            <w:r>
              <w:rPr>
                <w:sz w:val="15"/>
              </w:rPr>
              <w:t>MPI-REV-011</w:t>
            </w:r>
          </w:p>
        </w:tc>
        <w:tc>
          <w:tcPr>
            <w:tcW w:type="dxa" w:w="936"/>
          </w:tcPr>
          <w:p>
            <w:r/>
            <w:r>
              <w:rPr>
                <w:sz w:val="15"/>
              </w:rPr>
              <w:t>08/28/2023</w:t>
            </w:r>
          </w:p>
        </w:tc>
        <w:tc>
          <w:tcPr>
            <w:tcW w:type="dxa" w:w="1152"/>
          </w:tcPr>
          <w:p>
            <w:r/>
            <w:r>
              <w:rPr>
                <w:sz w:val="15"/>
              </w:rPr>
              <w:t>Handwritten notes (transcription)</w:t>
            </w:r>
          </w:p>
        </w:tc>
        <w:tc>
          <w:tcPr>
            <w:tcW w:type="dxa" w:w="1296"/>
          </w:tcPr>
          <w:p>
            <w:r/>
            <w:r>
              <w:rPr>
                <w:sz w:val="15"/>
              </w:rPr>
              <w:t>Priya Chandrasekaran*</w:t>
            </w:r>
          </w:p>
        </w:tc>
        <w:tc>
          <w:tcPr>
            <w:tcW w:type="dxa" w:w="1728"/>
          </w:tcPr>
          <w:p>
            <w:r/>
            <w:r>
              <w:rPr>
                <w:sz w:val="15"/>
              </w:rPr>
              <w:t>N/A (counsel's file). Meeting attendees: Gerald Firth, Derek Simmons, Tanya Bellworth, Priya Chandrasekaran*</w:t>
            </w:r>
          </w:p>
        </w:tc>
        <w:tc>
          <w:tcPr>
            <w:tcW w:type="dxa" w:w="864"/>
          </w:tcPr>
          <w:p>
            <w:r/>
            <w:r>
              <w:rPr>
                <w:sz w:val="15"/>
              </w:rPr>
              <w:t>—</w:t>
            </w:r>
          </w:p>
        </w:tc>
        <w:tc>
          <w:tcPr>
            <w:tcW w:type="dxa" w:w="4104"/>
          </w:tcPr>
          <w:p>
            <w:r/>
            <w:r>
              <w:rPr>
                <w:sz w:val="15"/>
              </w:rPr>
              <w:t>General Counsel's notes of management meeting. Redacted portions (sections headed 'Legal Strategy – Retaliation Exposure' and 'Legal Strategy – Separation &amp; Documentation') reflect legal advice rendered by General Counsel, the advice of outside counsel, and counsel's mental impressions regarding legal risk. Portions reflecting operational/business discussion (R&amp;D deliverables; team restructuring; HR process) are produced.</w:t>
            </w:r>
          </w:p>
        </w:tc>
        <w:tc>
          <w:tcPr>
            <w:tcW w:type="dxa" w:w="792"/>
          </w:tcPr>
          <w:p>
            <w:r/>
            <w:r>
              <w:rPr>
                <w:sz w:val="15"/>
              </w:rPr>
              <w:t>AC; WP</w:t>
            </w:r>
          </w:p>
        </w:tc>
        <w:tc>
          <w:tcPr>
            <w:tcW w:type="dxa" w:w="1080"/>
          </w:tcPr>
          <w:p>
            <w:r/>
            <w:r>
              <w:rPr>
                <w:sz w:val="15"/>
              </w:rPr>
              <w:t>Produced with redactions</w:t>
            </w:r>
          </w:p>
        </w:tc>
      </w:tr>
      <w:tr>
        <w:tc>
          <w:tcPr>
            <w:tcW w:type="dxa" w:w="504"/>
          </w:tcPr>
          <w:p>
            <w:r/>
            <w:r>
              <w:rPr>
                <w:sz w:val="15"/>
              </w:rPr>
              <w:t>4</w:t>
            </w:r>
          </w:p>
        </w:tc>
        <w:tc>
          <w:tcPr>
            <w:tcW w:type="dxa" w:w="1080"/>
          </w:tcPr>
          <w:p>
            <w:r/>
            <w:r>
              <w:rPr>
                <w:sz w:val="15"/>
              </w:rPr>
              <w:t>MPI-REV-015</w:t>
            </w:r>
          </w:p>
        </w:tc>
        <w:tc>
          <w:tcPr>
            <w:tcW w:type="dxa" w:w="936"/>
          </w:tcPr>
          <w:p>
            <w:r/>
            <w:r>
              <w:rPr>
                <w:sz w:val="15"/>
              </w:rPr>
              <w:t>10/05/2023</w:t>
            </w:r>
          </w:p>
        </w:tc>
        <w:tc>
          <w:tcPr>
            <w:tcW w:type="dxa" w:w="1152"/>
          </w:tcPr>
          <w:p>
            <w:r/>
            <w:r>
              <w:rPr>
                <w:sz w:val="15"/>
              </w:rPr>
              <w:t>Memorandum with acknowledgment form</w:t>
            </w:r>
          </w:p>
        </w:tc>
        <w:tc>
          <w:tcPr>
            <w:tcW w:type="dxa" w:w="1296"/>
          </w:tcPr>
          <w:p>
            <w:r/>
            <w:r>
              <w:rPr>
                <w:sz w:val="15"/>
              </w:rPr>
              <w:t>Priya Chandrasekaran*</w:t>
            </w:r>
          </w:p>
        </w:tc>
        <w:tc>
          <w:tcPr>
            <w:tcW w:type="dxa" w:w="1728"/>
          </w:tcPr>
          <w:p>
            <w:r/>
            <w:r>
              <w:rPr>
                <w:sz w:val="15"/>
              </w:rPr>
              <w:t>Gerald Firth; Derek Simmons; Tanya Bellworth; Dr. Rajan Mehta; Kevin Park; Margaret Liu; Anthony Russo; James Whitfield; Sandra Okonkwo; Dr. Helen Tranh; William Czerny; Patricia Greenwald</w:t>
            </w:r>
          </w:p>
        </w:tc>
        <w:tc>
          <w:tcPr>
            <w:tcW w:type="dxa" w:w="864"/>
          </w:tcPr>
          <w:p>
            <w:r/>
            <w:r>
              <w:rPr>
                <w:sz w:val="15"/>
              </w:rPr>
              <w:t>Catherine Burrell*</w:t>
            </w:r>
          </w:p>
        </w:tc>
        <w:tc>
          <w:tcPr>
            <w:tcW w:type="dxa" w:w="4104"/>
          </w:tcPr>
          <w:p>
            <w:r/>
            <w:r>
              <w:rPr>
                <w:sz w:val="15"/>
              </w:rPr>
              <w:t>Confidential litigation hold memorandum from General Counsel to Meridian employee custodians issued after suit was filed, providing legal instructions regarding preservation and reflecting General Counsel's and outside counsel's assessment of litigation issues and defense priorities. Meridian will disclose the date, recipients, and categories of materials subject to the hold upon request.</w:t>
            </w:r>
          </w:p>
        </w:tc>
        <w:tc>
          <w:tcPr>
            <w:tcW w:type="dxa" w:w="792"/>
          </w:tcPr>
          <w:p>
            <w:r/>
            <w:r>
              <w:rPr>
                <w:sz w:val="15"/>
              </w:rPr>
              <w:t>AC; WP</w:t>
            </w:r>
          </w:p>
        </w:tc>
        <w:tc>
          <w:tcPr>
            <w:tcW w:type="dxa" w:w="1080"/>
          </w:tcPr>
          <w:p>
            <w:r/>
            <w:r>
              <w:rPr>
                <w:sz w:val="15"/>
              </w:rPr>
              <w:t>Withheld in full</w:t>
            </w:r>
          </w:p>
        </w:tc>
      </w:tr>
      <w:tr>
        <w:tc>
          <w:tcPr>
            <w:tcW w:type="dxa" w:w="504"/>
          </w:tcPr>
          <w:p>
            <w:r/>
            <w:r>
              <w:rPr>
                <w:sz w:val="15"/>
              </w:rPr>
              <w:t>5</w:t>
            </w:r>
          </w:p>
        </w:tc>
        <w:tc>
          <w:tcPr>
            <w:tcW w:type="dxa" w:w="1080"/>
          </w:tcPr>
          <w:p>
            <w:r/>
            <w:r>
              <w:rPr>
                <w:sz w:val="15"/>
              </w:rPr>
              <w:t>MPI-REV-016</w:t>
            </w:r>
          </w:p>
        </w:tc>
        <w:tc>
          <w:tcPr>
            <w:tcW w:type="dxa" w:w="936"/>
          </w:tcPr>
          <w:p>
            <w:r/>
            <w:r>
              <w:rPr>
                <w:sz w:val="15"/>
              </w:rPr>
              <w:t>10/10/2023</w:t>
            </w:r>
          </w:p>
        </w:tc>
        <w:tc>
          <w:tcPr>
            <w:tcW w:type="dxa" w:w="1152"/>
          </w:tcPr>
          <w:p>
            <w:r/>
            <w:r>
              <w:rPr>
                <w:sz w:val="15"/>
              </w:rPr>
              <w:t>Email</w:t>
            </w:r>
          </w:p>
        </w:tc>
        <w:tc>
          <w:tcPr>
            <w:tcW w:type="dxa" w:w="1296"/>
          </w:tcPr>
          <w:p>
            <w:r/>
            <w:r>
              <w:rPr>
                <w:sz w:val="15"/>
              </w:rPr>
              <w:t>Priya Chandrasekaran*</w:t>
            </w:r>
          </w:p>
        </w:tc>
        <w:tc>
          <w:tcPr>
            <w:tcW w:type="dxa" w:w="1728"/>
          </w:tcPr>
          <w:p>
            <w:r/>
            <w:r>
              <w:rPr>
                <w:sz w:val="15"/>
              </w:rPr>
              <w:t>Derek Simmons</w:t>
            </w:r>
          </w:p>
        </w:tc>
        <w:tc>
          <w:tcPr>
            <w:tcW w:type="dxa" w:w="864"/>
          </w:tcPr>
          <w:p>
            <w:r/>
            <w:r>
              <w:rPr>
                <w:sz w:val="15"/>
              </w:rPr>
              <w:t>—</w:t>
            </w:r>
          </w:p>
        </w:tc>
        <w:tc>
          <w:tcPr>
            <w:tcW w:type="dxa" w:w="4104"/>
          </w:tcPr>
          <w:p>
            <w:r/>
            <w:r>
              <w:rPr>
                <w:sz w:val="15"/>
              </w:rPr>
              <w:t>Confidential email from General Counsel to Vice President of Operations summarizing outside counsel's litigation strategy memorandum in this action and requesting information needed to render legal advice.</w:t>
            </w:r>
          </w:p>
        </w:tc>
        <w:tc>
          <w:tcPr>
            <w:tcW w:type="dxa" w:w="792"/>
          </w:tcPr>
          <w:p>
            <w:r/>
            <w:r>
              <w:rPr>
                <w:sz w:val="15"/>
              </w:rPr>
              <w:t>AC; WP</w:t>
            </w:r>
          </w:p>
        </w:tc>
        <w:tc>
          <w:tcPr>
            <w:tcW w:type="dxa" w:w="1080"/>
          </w:tcPr>
          <w:p>
            <w:r/>
            <w:r>
              <w:rPr>
                <w:sz w:val="15"/>
              </w:rPr>
              <w:t>Withheld in full</w:t>
            </w:r>
          </w:p>
        </w:tc>
      </w:tr>
      <w:tr>
        <w:tc>
          <w:tcPr>
            <w:tcW w:type="dxa" w:w="504"/>
          </w:tcPr>
          <w:p>
            <w:r/>
            <w:r>
              <w:rPr>
                <w:sz w:val="15"/>
              </w:rPr>
              <w:t>6</w:t>
            </w:r>
          </w:p>
        </w:tc>
        <w:tc>
          <w:tcPr>
            <w:tcW w:type="dxa" w:w="1080"/>
          </w:tcPr>
          <w:p>
            <w:r/>
            <w:r>
              <w:rPr>
                <w:sz w:val="15"/>
              </w:rPr>
              <w:t>MPI-REV-019</w:t>
            </w:r>
          </w:p>
        </w:tc>
        <w:tc>
          <w:tcPr>
            <w:tcW w:type="dxa" w:w="936"/>
          </w:tcPr>
          <w:p>
            <w:r/>
            <w:r>
              <w:rPr>
                <w:sz w:val="15"/>
              </w:rPr>
              <w:t>10/20/2023</w:t>
            </w:r>
          </w:p>
        </w:tc>
        <w:tc>
          <w:tcPr>
            <w:tcW w:type="dxa" w:w="1152"/>
          </w:tcPr>
          <w:p>
            <w:r/>
            <w:r>
              <w:rPr>
                <w:sz w:val="15"/>
              </w:rPr>
              <w:t>Email chain (2 messages)</w:t>
            </w:r>
          </w:p>
        </w:tc>
        <w:tc>
          <w:tcPr>
            <w:tcW w:type="dxa" w:w="1296"/>
          </w:tcPr>
          <w:p>
            <w:r/>
            <w:r>
              <w:rPr>
                <w:sz w:val="15"/>
              </w:rPr>
              <w:t>Catherine Burrell*; Alan Greer*</w:t>
            </w:r>
          </w:p>
        </w:tc>
        <w:tc>
          <w:tcPr>
            <w:tcW w:type="dxa" w:w="1728"/>
          </w:tcPr>
          <w:p>
            <w:r/>
            <w:r>
              <w:rPr>
                <w:sz w:val="15"/>
              </w:rPr>
              <w:t>Alan Greer*; Catherine Burrell*</w:t>
            </w:r>
          </w:p>
        </w:tc>
        <w:tc>
          <w:tcPr>
            <w:tcW w:type="dxa" w:w="864"/>
          </w:tcPr>
          <w:p>
            <w:r/>
            <w:r>
              <w:rPr>
                <w:sz w:val="15"/>
              </w:rPr>
              <w:t>—</w:t>
            </w:r>
          </w:p>
        </w:tc>
        <w:tc>
          <w:tcPr>
            <w:tcW w:type="dxa" w:w="4104"/>
          </w:tcPr>
          <w:p>
            <w:r/>
            <w:r>
              <w:rPr>
                <w:sz w:val="15"/>
              </w:rPr>
              <w:t>Confidential communications between counsel for Meridian and counsel for Dr. Rajan Mehta (former co-defendant and potential party) regarding coordination of the defense of inventorship and trade-secret claims asserted in this action, reflecting counsel's mental impressions and legal theories.</w:t>
            </w:r>
          </w:p>
        </w:tc>
        <w:tc>
          <w:tcPr>
            <w:tcW w:type="dxa" w:w="792"/>
          </w:tcPr>
          <w:p>
            <w:r/>
            <w:r>
              <w:rPr>
                <w:sz w:val="15"/>
              </w:rPr>
              <w:t>WP; AC; CI</w:t>
            </w:r>
          </w:p>
        </w:tc>
        <w:tc>
          <w:tcPr>
            <w:tcW w:type="dxa" w:w="1080"/>
          </w:tcPr>
          <w:p>
            <w:r/>
            <w:r>
              <w:rPr>
                <w:sz w:val="15"/>
              </w:rPr>
              <w:t>Withheld in full</w:t>
            </w:r>
          </w:p>
        </w:tc>
      </w:tr>
    </w:tbl>
    <w:p/>
    <w:p>
      <w:pPr>
        <w:pStyle w:val="Heading2"/>
      </w:pPr>
      <w:r>
        <w:t>Conditional Entry – Non-Responsive Document</w:t>
      </w:r>
    </w:p>
    <w:tbl>
      <w:tblPr>
        <w:tblStyle w:val="TableGrid"/>
        <w:tblW w:type="auto" w:w="0"/>
        <w:tblLook w:firstColumn="1" w:firstRow="1" w:lastColumn="0" w:lastRow="0" w:noHBand="0" w:noVBand="1" w:val="04A0"/>
      </w:tblPr>
      <w:tblGrid>
        <w:gridCol w:w="1764"/>
        <w:gridCol w:w="1764"/>
        <w:gridCol w:w="1764"/>
        <w:gridCol w:w="1764"/>
        <w:gridCol w:w="1764"/>
        <w:gridCol w:w="1764"/>
        <w:gridCol w:w="1764"/>
        <w:gridCol w:w="1764"/>
      </w:tblGrid>
      <w:tr>
        <w:trPr>
          <w:tblHeader w:val="true"/>
        </w:trPr>
        <w:tc>
          <w:tcPr>
            <w:tcW w:type="dxa" w:w="1152"/>
            <w:shd w:val="clear" w:color="auto" w:fill="D9E2F3"/>
          </w:tcPr>
          <w:p>
            <w:r/>
            <w:r>
              <w:rPr>
                <w:b/>
                <w:sz w:val="15"/>
              </w:rPr>
              <w:t>Control No.</w:t>
            </w:r>
          </w:p>
        </w:tc>
        <w:tc>
          <w:tcPr>
            <w:tcW w:type="dxa" w:w="1008"/>
            <w:shd w:val="clear" w:color="auto" w:fill="D9E2F3"/>
          </w:tcPr>
          <w:p>
            <w:r/>
            <w:r>
              <w:rPr>
                <w:b/>
                <w:sz w:val="15"/>
              </w:rPr>
              <w:t>Date</w:t>
            </w:r>
          </w:p>
        </w:tc>
        <w:tc>
          <w:tcPr>
            <w:tcW w:type="dxa" w:w="1152"/>
            <w:shd w:val="clear" w:color="auto" w:fill="D9E2F3"/>
          </w:tcPr>
          <w:p>
            <w:r/>
            <w:r>
              <w:rPr>
                <w:b/>
                <w:sz w:val="15"/>
              </w:rPr>
              <w:t>Doc Type</w:t>
            </w:r>
          </w:p>
        </w:tc>
        <w:tc>
          <w:tcPr>
            <w:tcW w:type="dxa" w:w="1584"/>
            <w:shd w:val="clear" w:color="auto" w:fill="D9E2F3"/>
          </w:tcPr>
          <w:p>
            <w:r/>
            <w:r>
              <w:rPr>
                <w:b/>
                <w:sz w:val="15"/>
              </w:rPr>
              <w:t>Author</w:t>
            </w:r>
          </w:p>
        </w:tc>
        <w:tc>
          <w:tcPr>
            <w:tcW w:type="dxa" w:w="1584"/>
            <w:shd w:val="clear" w:color="auto" w:fill="D9E2F3"/>
          </w:tcPr>
          <w:p>
            <w:r/>
            <w:r>
              <w:rPr>
                <w:b/>
                <w:sz w:val="15"/>
              </w:rPr>
              <w:t>Recipients</w:t>
            </w:r>
          </w:p>
        </w:tc>
        <w:tc>
          <w:tcPr>
            <w:tcW w:type="dxa" w:w="5328"/>
            <w:shd w:val="clear" w:color="auto" w:fill="D9E2F3"/>
          </w:tcPr>
          <w:p>
            <w:r/>
            <w:r>
              <w:rPr>
                <w:b/>
                <w:sz w:val="15"/>
              </w:rPr>
              <w:t>Description</w:t>
            </w:r>
          </w:p>
        </w:tc>
        <w:tc>
          <w:tcPr>
            <w:tcW w:type="dxa" w:w="1008"/>
            <w:shd w:val="clear" w:color="auto" w:fill="D9E2F3"/>
          </w:tcPr>
          <w:p>
            <w:r/>
            <w:r>
              <w:rPr>
                <w:b/>
                <w:sz w:val="15"/>
              </w:rPr>
              <w:t>Basis</w:t>
            </w:r>
          </w:p>
        </w:tc>
        <w:tc>
          <w:tcPr>
            <w:tcW w:type="dxa" w:w="1440"/>
            <w:shd w:val="clear" w:color="auto" w:fill="D9E2F3"/>
          </w:tcPr>
          <w:p>
            <w:r/>
            <w:r>
              <w:rPr>
                <w:b/>
                <w:sz w:val="15"/>
              </w:rPr>
              <w:t>Treatment</w:t>
            </w:r>
          </w:p>
        </w:tc>
      </w:tr>
      <w:tr>
        <w:tc>
          <w:tcPr>
            <w:tcW w:type="dxa" w:w="1152"/>
          </w:tcPr>
          <w:p>
            <w:r/>
            <w:r>
              <w:rPr>
                <w:sz w:val="15"/>
              </w:rPr>
              <w:t>MPI-REV-004</w:t>
            </w:r>
          </w:p>
        </w:tc>
        <w:tc>
          <w:tcPr>
            <w:tcW w:type="dxa" w:w="1008"/>
          </w:tcPr>
          <w:p>
            <w:r/>
            <w:r>
              <w:rPr>
                <w:sz w:val="15"/>
              </w:rPr>
              <w:t>04/18/2023</w:t>
            </w:r>
          </w:p>
        </w:tc>
        <w:tc>
          <w:tcPr>
            <w:tcW w:type="dxa" w:w="1152"/>
          </w:tcPr>
          <w:p>
            <w:r/>
            <w:r>
              <w:rPr>
                <w:sz w:val="15"/>
              </w:rPr>
              <w:t>Board minutes</w:t>
            </w:r>
          </w:p>
        </w:tc>
        <w:tc>
          <w:tcPr>
            <w:tcW w:type="dxa" w:w="1584"/>
          </w:tcPr>
          <w:p>
            <w:r/>
            <w:r>
              <w:rPr>
                <w:sz w:val="15"/>
              </w:rPr>
              <w:t>Priya Chandrasekaran* (Corporate Secretary)</w:t>
            </w:r>
          </w:p>
        </w:tc>
        <w:tc>
          <w:tcPr>
            <w:tcW w:type="dxa" w:w="1584"/>
          </w:tcPr>
          <w:p>
            <w:r/>
            <w:r>
              <w:rPr>
                <w:sz w:val="15"/>
              </w:rPr>
              <w:t>Board of Directors; attending officers</w:t>
            </w:r>
          </w:p>
        </w:tc>
        <w:tc>
          <w:tcPr>
            <w:tcW w:type="dxa" w:w="5328"/>
          </w:tcPr>
          <w:p>
            <w:r/>
            <w:r>
              <w:rPr>
                <w:sz w:val="15"/>
              </w:rPr>
              <w:t>Minutes withheld as non-responsive (no reference to plaintiff, her report, or the claims). If later produced, §§5.1 and 5.2 will be redacted: legal advice of General Counsel and outside counsel (Catherine Burrell*) to the Board regarding legal due diligence for an unrelated potential acquisition.</w:t>
            </w:r>
          </w:p>
        </w:tc>
        <w:tc>
          <w:tcPr>
            <w:tcW w:type="dxa" w:w="1008"/>
          </w:tcPr>
          <w:p>
            <w:r/>
            <w:r>
              <w:rPr>
                <w:sz w:val="15"/>
              </w:rPr>
              <w:t>AC (§§5.1–5.2 only)</w:t>
            </w:r>
          </w:p>
        </w:tc>
        <w:tc>
          <w:tcPr>
            <w:tcW w:type="dxa" w:w="1440"/>
          </w:tcPr>
          <w:p>
            <w:r/>
            <w:r>
              <w:rPr>
                <w:sz w:val="15"/>
              </w:rPr>
              <w:t>Not produced (non-responsive); redact if produced</w:t>
            </w:r>
          </w:p>
        </w:tc>
      </w:tr>
    </w:tbl>
    <w:p/>
    <w:p>
      <w:pPr>
        <w:pStyle w:val="Heading2"/>
      </w:pPr>
      <w:r>
        <w:t>Documents Reviewed and Determined Not Privileged (Produced)</w:t>
      </w:r>
    </w:p>
    <w:p>
      <w:r>
        <w:rPr>
          <w:b w:val="0"/>
          <w:i w:val="0"/>
          <w:sz w:val="18"/>
        </w:rPr>
        <w:t>The following documents bear privilege indicia (attorney author/recipient, confidentiality legends, or 'work product' labels) but were determined not to be privileged or protected. They are listed here for transparency and are not withheld.</w:t>
      </w:r>
    </w:p>
    <w:tbl>
      <w:tblPr>
        <w:tblStyle w:val="TableGrid"/>
        <w:tblW w:type="auto" w:w="0"/>
        <w:tblLook w:firstColumn="1" w:firstRow="1" w:lastColumn="0" w:lastRow="0" w:noHBand="0" w:noVBand="1" w:val="04A0"/>
      </w:tblPr>
      <w:tblGrid>
        <w:gridCol w:w="4704"/>
        <w:gridCol w:w="4704"/>
        <w:gridCol w:w="4704"/>
      </w:tblGrid>
      <w:tr>
        <w:trPr>
          <w:tblHeader w:val="true"/>
        </w:trPr>
        <w:tc>
          <w:tcPr>
            <w:tcW w:type="dxa" w:w="1296"/>
            <w:shd w:val="clear" w:color="auto" w:fill="D9E2F3"/>
          </w:tcPr>
          <w:p>
            <w:r/>
            <w:r>
              <w:rPr>
                <w:b/>
                <w:sz w:val="16"/>
              </w:rPr>
              <w:t>Control No.</w:t>
            </w:r>
          </w:p>
        </w:tc>
        <w:tc>
          <w:tcPr>
            <w:tcW w:type="dxa" w:w="3744"/>
            <w:shd w:val="clear" w:color="auto" w:fill="D9E2F3"/>
          </w:tcPr>
          <w:p>
            <w:r/>
            <w:r>
              <w:rPr>
                <w:b/>
                <w:sz w:val="16"/>
              </w:rPr>
              <w:t>Document</w:t>
            </w:r>
          </w:p>
        </w:tc>
        <w:tc>
          <w:tcPr>
            <w:tcW w:type="dxa" w:w="8928"/>
            <w:shd w:val="clear" w:color="auto" w:fill="D9E2F3"/>
          </w:tcPr>
          <w:p>
            <w:r/>
            <w:r>
              <w:rPr>
                <w:b/>
                <w:sz w:val="16"/>
              </w:rPr>
              <w:t>Reason Not Privileged</w:t>
            </w:r>
          </w:p>
        </w:tc>
      </w:tr>
      <w:tr>
        <w:tc>
          <w:tcPr>
            <w:tcW w:type="dxa" w:w="1296"/>
          </w:tcPr>
          <w:p>
            <w:r/>
            <w:r>
              <w:rPr>
                <w:sz w:val="16"/>
              </w:rPr>
              <w:t>MPI-REV-002</w:t>
            </w:r>
          </w:p>
        </w:tc>
        <w:tc>
          <w:tcPr>
            <w:tcW w:type="dxa" w:w="3744"/>
          </w:tcPr>
          <w:p>
            <w:r/>
            <w:r>
              <w:rPr>
                <w:sz w:val="16"/>
              </w:rPr>
              <w:t>vasquez-env-compliance-memo.docx</w:t>
            </w:r>
          </w:p>
        </w:tc>
        <w:tc>
          <w:tcPr>
            <w:tcW w:type="dxa" w:w="8928"/>
          </w:tcPr>
          <w:p>
            <w:r/>
            <w:r>
              <w:rPr>
                <w:sz w:val="16"/>
              </w:rPr>
              <w:t>Addressed to GC and CEO, but an employee's compliance report authored by plaintiff, not a request for legal advice; plaintiff is the author.</w:t>
            </w:r>
          </w:p>
        </w:tc>
      </w:tr>
      <w:tr>
        <w:tc>
          <w:tcPr>
            <w:tcW w:type="dxa" w:w="1296"/>
          </w:tcPr>
          <w:p>
            <w:r/>
            <w:r>
              <w:rPr>
                <w:sz w:val="16"/>
              </w:rPr>
              <w:t>MPI-REV-003</w:t>
            </w:r>
          </w:p>
        </w:tc>
        <w:tc>
          <w:tcPr>
            <w:tcW w:type="dxa" w:w="3744"/>
          </w:tcPr>
          <w:p>
            <w:r/>
            <w:r>
              <w:rPr>
                <w:sz w:val="16"/>
              </w:rPr>
              <w:t>chandrasekaran-ack-email.eml</w:t>
            </w:r>
          </w:p>
        </w:tc>
        <w:tc>
          <w:tcPr>
            <w:tcW w:type="dxa" w:w="8928"/>
          </w:tcPr>
          <w:p>
            <w:r/>
            <w:r>
              <w:rPr>
                <w:sz w:val="16"/>
              </w:rPr>
              <w:t>GC to plaintiff; communication with the adverse party is not confidential client communication.</w:t>
            </w:r>
          </w:p>
        </w:tc>
      </w:tr>
      <w:tr>
        <w:tc>
          <w:tcPr>
            <w:tcW w:type="dxa" w:w="1296"/>
          </w:tcPr>
          <w:p>
            <w:r/>
            <w:r>
              <w:rPr>
                <w:sz w:val="16"/>
              </w:rPr>
              <w:t>MPI-REV-005</w:t>
            </w:r>
          </w:p>
        </w:tc>
        <w:tc>
          <w:tcPr>
            <w:tcW w:type="dxa" w:w="3744"/>
          </w:tcPr>
          <w:p>
            <w:r/>
            <w:r>
              <w:rPr>
                <w:sz w:val="16"/>
              </w:rPr>
              <w:t>alderwood-engagement-letter.docx</w:t>
            </w:r>
          </w:p>
        </w:tc>
        <w:tc>
          <w:tcPr>
            <w:tcW w:type="dxa" w:w="8928"/>
          </w:tcPr>
          <w:p>
            <w:r/>
            <w:r>
              <w:rPr>
                <w:sz w:val="16"/>
              </w:rPr>
              <w:t>Consultant retained by VP Operations for a business audit; letter expressly disclaims attorney-client relationship and legal advice.</w:t>
            </w:r>
          </w:p>
        </w:tc>
      </w:tr>
      <w:tr>
        <w:tc>
          <w:tcPr>
            <w:tcW w:type="dxa" w:w="1296"/>
          </w:tcPr>
          <w:p>
            <w:r/>
            <w:r>
              <w:rPr>
                <w:sz w:val="16"/>
              </w:rPr>
              <w:t>MPI-REV-006</w:t>
            </w:r>
          </w:p>
        </w:tc>
        <w:tc>
          <w:tcPr>
            <w:tcW w:type="dxa" w:w="3744"/>
          </w:tcPr>
          <w:p>
            <w:r/>
            <w:r>
              <w:rPr>
                <w:sz w:val="16"/>
              </w:rPr>
              <w:t>alderwood-draft-audit-report.docx</w:t>
            </w:r>
          </w:p>
        </w:tc>
        <w:tc>
          <w:tcPr>
            <w:tcW w:type="dxa" w:w="8928"/>
          </w:tcPr>
          <w:p>
            <w:r/>
            <w:r>
              <w:rPr>
                <w:sz w:val="16"/>
              </w:rPr>
              <w:t>Same engagement; a courtesy copy to GC does not make a business consultant's report privileged; not prepared at direction of counsel.</w:t>
            </w:r>
          </w:p>
        </w:tc>
      </w:tr>
      <w:tr>
        <w:tc>
          <w:tcPr>
            <w:tcW w:type="dxa" w:w="1296"/>
          </w:tcPr>
          <w:p>
            <w:r/>
            <w:r>
              <w:rPr>
                <w:sz w:val="16"/>
              </w:rPr>
              <w:t>MPI-REV-013</w:t>
            </w:r>
          </w:p>
        </w:tc>
        <w:tc>
          <w:tcPr>
            <w:tcW w:type="dxa" w:w="3744"/>
          </w:tcPr>
          <w:p>
            <w:r/>
            <w:r>
              <w:rPr>
                <w:sz w:val="16"/>
              </w:rPr>
              <w:t>vasquez-termination-letter.docx</w:t>
            </w:r>
          </w:p>
        </w:tc>
        <w:tc>
          <w:tcPr>
            <w:tcW w:type="dxa" w:w="8928"/>
          </w:tcPr>
          <w:p>
            <w:r/>
            <w:r>
              <w:rPr>
                <w:sz w:val="16"/>
              </w:rPr>
              <w:t>Sent to plaintiff; 'cc: General Counsel' does not create privilege.</w:t>
            </w:r>
          </w:p>
        </w:tc>
      </w:tr>
      <w:tr>
        <w:tc>
          <w:tcPr>
            <w:tcW w:type="dxa" w:w="1296"/>
          </w:tcPr>
          <w:p>
            <w:r/>
            <w:r>
              <w:rPr>
                <w:sz w:val="16"/>
              </w:rPr>
              <w:t>MPI-REV-014</w:t>
            </w:r>
          </w:p>
        </w:tc>
        <w:tc>
          <w:tcPr>
            <w:tcW w:type="dxa" w:w="3744"/>
          </w:tcPr>
          <w:p>
            <w:r/>
            <w:r>
              <w:rPr>
                <w:sz w:val="16"/>
              </w:rPr>
              <w:t>vasquez-separation-agreement.docx</w:t>
            </w:r>
          </w:p>
        </w:tc>
        <w:tc>
          <w:tcPr>
            <w:tcW w:type="dxa" w:w="8928"/>
          </w:tcPr>
          <w:p>
            <w:r/>
            <w:r>
              <w:rPr>
                <w:sz w:val="16"/>
              </w:rPr>
              <w:t>Footer reads 'Confidential – Attorney Work Product,' but draft was transmitted to plaintiff; any protection waived. Evid.R. 408 admissibility objection reserved.</w:t>
            </w:r>
          </w:p>
        </w:tc>
      </w:tr>
      <w:tr>
        <w:tc>
          <w:tcPr>
            <w:tcW w:type="dxa" w:w="1296"/>
          </w:tcPr>
          <w:p>
            <w:r/>
            <w:r>
              <w:rPr>
                <w:sz w:val="16"/>
              </w:rPr>
              <w:t>MPI-REV-017</w:t>
            </w:r>
          </w:p>
        </w:tc>
        <w:tc>
          <w:tcPr>
            <w:tcW w:type="dxa" w:w="3744"/>
          </w:tcPr>
          <w:p>
            <w:r/>
            <w:r>
              <w:rPr>
                <w:sz w:val="16"/>
              </w:rPr>
              <w:t>plaintiff-demand-letter.docx</w:t>
            </w:r>
          </w:p>
        </w:tc>
        <w:tc>
          <w:tcPr>
            <w:tcW w:type="dxa" w:w="8928"/>
          </w:tcPr>
          <w:p>
            <w:r/>
            <w:r>
              <w:rPr>
                <w:sz w:val="16"/>
              </w:rPr>
              <w:t>Letter from opposing counsel.</w:t>
            </w:r>
          </w:p>
        </w:tc>
      </w:tr>
      <w:tr>
        <w:tc>
          <w:tcPr>
            <w:tcW w:type="dxa" w:w="1296"/>
          </w:tcPr>
          <w:p>
            <w:r/>
            <w:r>
              <w:rPr>
                <w:sz w:val="16"/>
              </w:rPr>
              <w:t>MPI-REV-018</w:t>
            </w:r>
          </w:p>
        </w:tc>
        <w:tc>
          <w:tcPr>
            <w:tcW w:type="dxa" w:w="3744"/>
          </w:tcPr>
          <w:p>
            <w:r/>
            <w:r>
              <w:rPr>
                <w:sz w:val="16"/>
              </w:rPr>
              <w:t>inventor-list-email-chain.eml</w:t>
            </w:r>
          </w:p>
        </w:tc>
        <w:tc>
          <w:tcPr>
            <w:tcW w:type="dxa" w:w="8928"/>
          </w:tcPr>
          <w:p>
            <w:r/>
            <w:r>
              <w:rPr>
                <w:sz w:val="16"/>
              </w:rPr>
              <w:t>No attorney is a party to the chain; references to the patent agent do not seek or reflect legal advice.</w:t>
            </w:r>
          </w:p>
        </w:tc>
      </w:tr>
      <w:tr>
        <w:tc>
          <w:tcPr>
            <w:tcW w:type="dxa" w:w="1296"/>
          </w:tcPr>
          <w:p>
            <w:r/>
            <w:r>
              <w:rPr>
                <w:sz w:val="16"/>
              </w:rPr>
              <w:t>MPI-REV-023</w:t>
            </w:r>
          </w:p>
        </w:tc>
        <w:tc>
          <w:tcPr>
            <w:tcW w:type="dxa" w:w="3744"/>
          </w:tcPr>
          <w:p>
            <w:r/>
            <w:r>
              <w:rPr>
                <w:sz w:val="16"/>
              </w:rPr>
              <w:t>vasquez-benefits-enrollment.docx</w:t>
            </w:r>
          </w:p>
        </w:tc>
        <w:tc>
          <w:tcPr>
            <w:tcW w:type="dxa" w:w="8928"/>
          </w:tcPr>
          <w:p>
            <w:r/>
            <w:r>
              <w:rPr>
                <w:sz w:val="16"/>
              </w:rPr>
              <w:t>Not privileged as to Meridian; contains plaintiff's PHI. To be produced as Highly Confidential – Attorneys' Eyes Only under a protective order.</w:t>
            </w:r>
          </w:p>
        </w:tc>
      </w:tr>
    </w:tbl>
    <w:p/>
    <w:p>
      <w:r>
        <w:rPr>
          <w:b w:val="0"/>
          <w:i/>
          <w:sz w:val="16"/>
        </w:rPr>
        <w:t>Meridian reserves the right to supplement or amend this log. Inadvertent production of privileged material shall not constitute waiver (Evid.R. 502 / Civ.R. 26(B) clawback, and any protective order entered in this action).</w:t>
      </w:r>
    </w:p>
    <w:sectPr w:rsidR="00FC693F" w:rsidRPr="0006063C" w:rsidSect="00034616">
      <w:footerReference w:type="default" r:id="rId9"/>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Vasquez v. Meridian Polymers, Inc., Case No. 2023-CV-07892 – Defendant's Privilege Log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