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b/>
          <w:i w:val="0"/>
          <w:sz w:val="20"/>
        </w:rPr>
        <w:t>PRIVILEGED &amp; CONFIDENTIAL — ATTORNEY WORK PRODUCT</w:t>
      </w:r>
    </w:p>
    <w:p>
      <w:pPr>
        <w:spacing w:after="120"/>
        <w:jc w:val="center"/>
      </w:pPr>
      <w:r>
        <w:rPr>
          <w:b w:val="0"/>
          <w:i/>
          <w:sz w:val="18"/>
        </w:rPr>
        <w:t>Prepared in anticipation of litigation and at the direction of counsel</w:t>
      </w:r>
    </w:p>
    <w:p>
      <w:pPr>
        <w:spacing w:after="40"/>
        <w:jc w:val="center"/>
      </w:pPr>
      <w:r>
        <w:rPr>
          <w:b/>
          <w:i w:val="0"/>
          <w:sz w:val="26"/>
        </w:rPr>
        <w:t>HARGROVE, LINDELL &amp; PACE LLP</w:t>
      </w:r>
    </w:p>
    <w:p>
      <w:pPr>
        <w:spacing w:after="120"/>
        <w:jc w:val="center"/>
      </w:pPr>
      <w:r>
        <w:rPr>
          <w:b/>
          <w:i w:val="0"/>
          <w:sz w:val="26"/>
        </w:rPr>
        <w:t>MEMORANDUM</w:t>
      </w:r>
    </w:p>
    <w:tbl>
      <w:tblPr>
        <w:tblW w:type="auto" w:w="0"/>
        <w:tblLook w:firstColumn="1" w:firstRow="1" w:lastColumn="0" w:lastRow="0" w:noHBand="0" w:noVBand="1" w:val="04A0"/>
      </w:tblPr>
      <w:tblGrid>
        <w:gridCol w:w="4680"/>
        <w:gridCol w:w="4680"/>
      </w:tblGrid>
      <w:tr>
        <w:tc>
          <w:tcPr>
            <w:tcW w:type="dxa" w:w="1584"/>
          </w:tcPr>
          <w:p>
            <w:r/>
            <w:r>
              <w:rPr>
                <w:b/>
              </w:rPr>
              <w:t>TO:</w:t>
            </w:r>
          </w:p>
        </w:tc>
        <w:tc>
          <w:tcPr>
            <w:tcW w:type="dxa" w:w="7776"/>
          </w:tcPr>
          <w:p>
            <w:r/>
            <w:r>
              <w:rPr>
                <w:b w:val="0"/>
                <w:i w:val="0"/>
              </w:rPr>
              <w:t>Katharine Lindell, Lead Partner; Troy Nakamura, Senior Associate</w:t>
            </w:r>
          </w:p>
        </w:tc>
      </w:tr>
      <w:tr>
        <w:tc>
          <w:tcPr>
            <w:tcW w:type="dxa" w:w="1584"/>
          </w:tcPr>
          <w:p>
            <w:r/>
            <w:r>
              <w:rPr>
                <w:b/>
              </w:rPr>
              <w:t>FROM:</w:t>
            </w:r>
          </w:p>
        </w:tc>
        <w:tc>
          <w:tcPr>
            <w:tcW w:type="dxa" w:w="7776"/>
          </w:tcPr>
          <w:p>
            <w:r/>
            <w:r>
              <w:rPr>
                <w:b w:val="0"/>
                <w:i w:val="0"/>
              </w:rPr>
              <w:t>Litigation Team</w:t>
            </w:r>
          </w:p>
        </w:tc>
      </w:tr>
      <w:tr>
        <w:tc>
          <w:tcPr>
            <w:tcW w:type="dxa" w:w="1584"/>
          </w:tcPr>
          <w:p>
            <w:r/>
            <w:r>
              <w:rPr>
                <w:b/>
              </w:rPr>
              <w:t>DATE:</w:t>
            </w:r>
          </w:p>
        </w:tc>
        <w:tc>
          <w:tcPr>
            <w:tcW w:type="dxa" w:w="7776"/>
          </w:tcPr>
          <w:p>
            <w:r/>
            <w:r>
              <w:rPr>
                <w:b w:val="0"/>
                <w:i w:val="0"/>
              </w:rPr>
              <w:t>September 16, 2024</w:t>
            </w:r>
          </w:p>
        </w:tc>
      </w:tr>
      <w:tr>
        <w:tc>
          <w:tcPr>
            <w:tcW w:type="dxa" w:w="1584"/>
          </w:tcPr>
          <w:p>
            <w:r/>
            <w:r>
              <w:rPr>
                <w:b/>
              </w:rPr>
              <w:t>RE:</w:t>
            </w:r>
          </w:p>
        </w:tc>
        <w:tc>
          <w:tcPr>
            <w:tcW w:type="dxa" w:w="7776"/>
          </w:tcPr>
          <w:p>
            <w:r/>
            <w:r>
              <w:rPr>
                <w:b w:val="0"/>
                <w:i w:val="0"/>
              </w:rPr>
              <w:t>Pacific Corridor Freight Solutions LLC v. Meridian Logistics Corp., No. 2:24-cv-01837-PO (C.D. Cal.) — Gap Analysis of Meridian's Document Production, Privilege Log, and RFP Responses (First Set, Nos. 1–27)</w:t>
            </w:r>
          </w:p>
        </w:tc>
      </w:tr>
      <w:tr>
        <w:tc>
          <w:tcPr>
            <w:tcW w:type="dxa" w:w="1584"/>
          </w:tcPr>
          <w:p>
            <w:r/>
            <w:r>
              <w:rPr>
                <w:b/>
              </w:rPr>
              <w:t>ACTION BY:</w:t>
            </w:r>
          </w:p>
        </w:tc>
        <w:tc>
          <w:tcPr>
            <w:tcW w:type="dxa" w:w="7776"/>
          </w:tcPr>
          <w:p>
            <w:r/>
            <w:r>
              <w:rPr>
                <w:b w:val="0"/>
                <w:i w:val="0"/>
              </w:rPr>
              <w:t xml:space="preserve">Telephonic meet-and-confer no later than </w:t>
            </w:r>
            <w:r>
              <w:rPr>
                <w:b/>
                <w:i w:val="0"/>
              </w:rPr>
              <w:t>Tuesday, September 17, 2024</w:t>
            </w:r>
            <w:r>
              <w:rPr>
                <w:b w:val="0"/>
                <w:i w:val="0"/>
              </w:rPr>
              <w:t xml:space="preserve">; motion to compel due </w:t>
            </w:r>
            <w:r>
              <w:rPr>
                <w:b/>
                <w:i w:val="0"/>
              </w:rPr>
              <w:t>October 1, 2024</w:t>
            </w:r>
          </w:p>
        </w:tc>
      </w:tr>
    </w:tbl>
    <w:p>
      <w:pPr>
        <w:spacing w:after="120"/>
      </w:pPr>
      <w:r>
        <w:rPr>
          <w:b w:val="0"/>
          <w:i w:val="0"/>
          <w:sz w:val="16"/>
        </w:rPr>
        <w:t>__________________________________________________________________________________________</w:t>
      </w:r>
    </w:p>
    <w:p>
      <w:pPr>
        <w:pStyle w:val="Heading1"/>
      </w:pPr>
      <w:r>
        <w:t>I. Executive Summary</w:t>
      </w:r>
    </w:p>
    <w:p>
      <w:pPr>
        <w:spacing w:after="120"/>
      </w:pPr>
      <w:r>
        <w:rPr>
          <w:b w:val="0"/>
          <w:i w:val="0"/>
        </w:rPr>
        <w:t>We reviewed Meridian's August 12, 2024 production (Bates MLC-000001 – MLC-004217), its production index, its 43-entry privilege log (PRIV-000001 – PRIV-000043), its June 28, 2024 Objections and Responses, and the August 19 – September 15, 2024 meet-and-confer correspondence, against the served First Set of RFPs (May 15, 2024), the pleadings, and the April 22, 2024 Scheduling Order. Bottom line: the production is materially deficient on every element of the fraud claim and on key breach and counterclaim issues. Much of the most probative evidence has not been lost. Meridian has it and is withholding it on its privilege log under privilege claims that are facially improper.</w:t>
      </w:r>
    </w:p>
    <w:p>
      <w:pPr>
        <w:spacing w:after="120"/>
      </w:pPr>
      <w:r>
        <w:rPr>
          <w:b/>
          <w:i w:val="0"/>
        </w:rPr>
        <w:t>The most significant findings are:</w:t>
      </w:r>
    </w:p>
    <w:p>
      <w:pPr>
        <w:spacing w:after="80"/>
        <w:ind w:left="504" w:hanging="360"/>
      </w:pPr>
      <w:r>
        <w:rPr>
          <w:b w:val="0"/>
          <w:i w:val="0"/>
        </w:rPr>
        <w:t xml:space="preserve">1.  </w:t>
      </w:r>
      <w:r>
        <w:rPr>
          <w:b/>
          <w:i w:val="0"/>
        </w:rPr>
        <w:t>Meridian responded to a rewritten set of requests, not the RFPs we served.</w:t>
      </w:r>
      <w:r>
        <w:rPr>
          <w:b w:val="0"/>
          <w:i w:val="0"/>
        </w:rPr>
        <w:t xml:space="preserve"> Its responses "restate" each request, and for at least 14 of the 27 RFPs the restated text is narrower or covers a different subject altogether. As a result, </w:t>
      </w:r>
      <w:r>
        <w:rPr>
          <w:b/>
          <w:i w:val="0"/>
        </w:rPr>
        <w:t>RFP 2</w:t>
      </w:r>
      <w:r>
        <w:rPr>
          <w:b w:val="0"/>
          <w:i w:val="0"/>
        </w:rPr>
        <w:t xml:space="preserve"> (the due-diligence package, including the FY2020 unaudited financials), </w:t>
      </w:r>
      <w:r>
        <w:rPr>
          <w:b/>
          <w:i w:val="0"/>
        </w:rPr>
        <w:t>RFP 10</w:t>
      </w:r>
      <w:r>
        <w:rPr>
          <w:b w:val="0"/>
          <w:i w:val="0"/>
        </w:rPr>
        <w:t xml:space="preserve"> (drafts and source data for the Fleet Capacity Report), </w:t>
      </w:r>
      <w:r>
        <w:rPr>
          <w:b/>
          <w:i w:val="0"/>
        </w:rPr>
        <w:t>RFP 12</w:t>
      </w:r>
      <w:r>
        <w:rPr>
          <w:b w:val="0"/>
          <w:i w:val="0"/>
        </w:rPr>
        <w:t xml:space="preserve"> (certificates of insurance) and </w:t>
      </w:r>
      <w:r>
        <w:rPr>
          <w:b/>
          <w:i w:val="0"/>
        </w:rPr>
        <w:t>RFP 18</w:t>
      </w:r>
      <w:r>
        <w:rPr>
          <w:b w:val="0"/>
          <w:i w:val="0"/>
        </w:rPr>
        <w:t xml:space="preserve"> (lease liabilities / ASC 842) have never actually been answered. Meridian's production index uses the same altered numbering, so its RFP coding cannot be relied on.</w:t>
      </w:r>
    </w:p>
    <w:p>
      <w:pPr>
        <w:spacing w:after="80"/>
        <w:ind w:left="504" w:hanging="360"/>
      </w:pPr>
      <w:r>
        <w:rPr>
          <w:b w:val="0"/>
          <w:i w:val="0"/>
        </w:rPr>
        <w:t xml:space="preserve">2.  </w:t>
      </w:r>
      <w:r>
        <w:rPr>
          <w:b/>
          <w:i w:val="0"/>
        </w:rPr>
        <w:t>The privilege log withholds the core fraud evidence under privilege claims that cannot be sustained.</w:t>
      </w:r>
      <w:r>
        <w:rPr>
          <w:b w:val="0"/>
          <w:i w:val="0"/>
        </w:rPr>
        <w:t xml:space="preserve"> Entries 33–40 are eight e-mails between CFO Rebecca Cho and Pinnacle Fleet underwriter James Whitfield (Sept. 2020 – Mar. 2021), withheld as "work product." They include Cho's October 28, 2020 direction to cut cargo coverage to $2M effective December 1, 2020, the resulting endorsement, and her </w:t>
      </w:r>
      <w:r>
        <w:rPr>
          <w:b/>
          <w:i w:val="0"/>
        </w:rPr>
        <w:t>January 11, 2021 request for a certificate "showing $5M per-occurrence cargo coverage for Pacific Corridor proposal."</w:t>
      </w:r>
      <w:r>
        <w:rPr>
          <w:b w:val="0"/>
          <w:i w:val="0"/>
        </w:rPr>
        <w:t xml:space="preserve"> Entries 12–18 are seven e-mails between Brisk and Cho with no lawyer involved, withheld as attorney-client. They cover truck-count assumptions, the "gap between owned fleet and total capacity representation," the draft EBITDA schedule, and "adjustments to capitalized maintenance figures." Entry 31 is GC Delaney's January 10, 2021 advice on "potential exposure if actual fleet count disclosed," sent two days after the Fleet Capacity Report went out. It is a strong candidate for in camera review under the crime-fraud exception.</w:t>
      </w:r>
    </w:p>
    <w:p>
      <w:pPr>
        <w:spacing w:after="80"/>
        <w:ind w:left="504" w:hanging="360"/>
      </w:pPr>
      <w:r>
        <w:rPr>
          <w:b w:val="0"/>
          <w:i w:val="0"/>
        </w:rPr>
        <w:t xml:space="preserve">3.  </w:t>
      </w:r>
      <w:r>
        <w:rPr>
          <w:b/>
          <w:i w:val="0"/>
        </w:rPr>
        <w:t>Zero documents were produced for RFP 5 (board materials) or RFP 8 (subcontractor/affiliate carrier arrangements)</w:t>
      </w:r>
      <w:r>
        <w:rPr>
          <w:b w:val="0"/>
          <w:i w:val="0"/>
        </w:rPr>
        <w:t>, even though Meridian agreed to produce both. RFP 8 goes to the heart of the 347-vs.-189-truck misrepresentation. PRIV-000018 ("subcontractor availability estimates") shows responsive material exists.</w:t>
      </w:r>
    </w:p>
    <w:p>
      <w:pPr>
        <w:spacing w:after="80"/>
        <w:ind w:left="504" w:hanging="360"/>
      </w:pPr>
      <w:r>
        <w:rPr>
          <w:b w:val="0"/>
          <w:i w:val="0"/>
        </w:rPr>
        <w:t xml:space="preserve">4.  </w:t>
      </w:r>
      <w:r>
        <w:rPr>
          <w:b/>
          <w:i w:val="0"/>
        </w:rPr>
        <w:t>Seven months of daily dispatch logs (October 2021 – April 2022) are missing</w:t>
      </w:r>
      <w:r>
        <w:rPr>
          <w:b w:val="0"/>
          <w:i w:val="0"/>
        </w:rPr>
        <w:t>, which is the period of the most acute performance failures. Meridian attributes the gap to a RouteCast Pro → FleetBridge migration. Its litigation hold was not issued until August 25, 2023 (MLC-002859). Yet Meridian itself asserts work product over documents dating to September 2020 and logs legal analyses of our breach notices from June 2021. That supports an argument that the duty to preserve attached before the migration (FRCP 37(e)).</w:t>
      </w:r>
    </w:p>
    <w:p>
      <w:pPr>
        <w:spacing w:after="80"/>
        <w:ind w:left="504" w:hanging="360"/>
      </w:pPr>
      <w:r>
        <w:rPr>
          <w:b w:val="0"/>
          <w:i w:val="0"/>
        </w:rPr>
        <w:t xml:space="preserve">5.  </w:t>
      </w:r>
      <w:r>
        <w:rPr>
          <w:b/>
          <w:i w:val="0"/>
        </w:rPr>
        <w:t>Custodial e-mail is limited to two of six agreed custodians.</w:t>
      </w:r>
      <w:r>
        <w:rPr>
          <w:b w:val="0"/>
          <w:i w:val="0"/>
        </w:rPr>
        <w:t xml:space="preserve"> Every RFP 23 document comes from Brisk (19) or Sato (39). None comes from Alderton, Cho, Hale or Delaney, even though other produced documents and log entries show each of them communicating about the account. No text messages or messaging-app data were produced from anyone.</w:t>
      </w:r>
    </w:p>
    <w:p>
      <w:pPr>
        <w:spacing w:after="80"/>
        <w:ind w:left="504" w:hanging="360"/>
      </w:pPr>
      <w:r>
        <w:rPr>
          <w:b w:val="0"/>
          <w:i w:val="0"/>
        </w:rPr>
        <w:t xml:space="preserve">6.  </w:t>
      </w:r>
      <w:r>
        <w:rPr>
          <w:b/>
          <w:i w:val="0"/>
        </w:rPr>
        <w:t>Financial and insurance records are selectively incomplete.</w:t>
      </w:r>
      <w:r>
        <w:rPr>
          <w:b w:val="0"/>
          <w:i w:val="0"/>
        </w:rPr>
        <w:t xml:space="preserve"> The following were not produced: the FY2020 unaudited statements that are the actual alleged misrepresentation (only the Crestline audited version is produced); audited FY2022–2023 statements; any Crestline management letters or adjusting entries; general-ledger detail for the $5.1M capitalized maintenance (only a two-page summary); any lease-liability documents for the $3.6M omitted leases; any Pinnacle policy other than the 2022 policy year; and the December 1, 2020 downgrade endorsement, which appears only on the privilege log.</w:t>
      </w:r>
    </w:p>
    <w:p>
      <w:pPr>
        <w:spacing w:after="80"/>
        <w:ind w:left="504" w:hanging="360"/>
      </w:pPr>
      <w:r>
        <w:rPr>
          <w:b w:val="0"/>
          <w:i w:val="0"/>
        </w:rPr>
        <w:t xml:space="preserve">7.  </w:t>
      </w:r>
      <w:r>
        <w:rPr>
          <w:b/>
          <w:i w:val="0"/>
        </w:rPr>
        <w:t>Meridian flatly refused RFP 16 (and its version of RFP 18) as irrelevant, while its Counterclaim affirmatively relies on the same material.</w:t>
      </w:r>
      <w:r>
        <w:rPr>
          <w:b w:val="0"/>
          <w:i w:val="0"/>
        </w:rPr>
        <w:t xml:space="preserve"> Counterclaim ¶¶ 46–48, 52, 59 and 65 invoke management reports, board presentations and account-level profitability analyses to support the $3.2M claim. Meridian cannot use those documents as a sword and withhold them as a shield.</w:t>
      </w:r>
    </w:p>
    <w:p>
      <w:pPr>
        <w:spacing w:after="80"/>
        <w:ind w:left="504" w:hanging="360"/>
      </w:pPr>
      <w:r>
        <w:rPr>
          <w:b w:val="0"/>
          <w:i w:val="0"/>
        </w:rPr>
        <w:t xml:space="preserve">8.  </w:t>
      </w:r>
      <w:r>
        <w:rPr>
          <w:b/>
          <w:i w:val="0"/>
        </w:rPr>
        <w:t>The production index has integrity problems.</w:t>
      </w:r>
      <w:r>
        <w:rPr>
          <w:b w:val="0"/>
          <w:i w:val="0"/>
        </w:rPr>
        <w:t xml:space="preserve"> It lists 332 entries against a stated total of 312 documents. Nine RFP 27 documents concern an unrelated customer, Greystone Distribution Partners. The termination notice and response it indexes (July 1 and July 15, 2023) do not match the August 22 and September 5, 2023 letters pleaded by both parties. Neither of those letters, nor most of the 11 breach notices, appears in the production.</w:t>
      </w:r>
    </w:p>
    <w:p>
      <w:pPr>
        <w:spacing w:after="120"/>
      </w:pPr>
      <w:r>
        <w:rPr>
          <w:b/>
          <w:i w:val="0"/>
        </w:rPr>
        <w:t>Timing is the immediate risk.</w:t>
      </w:r>
      <w:r>
        <w:rPr>
          <w:b w:val="0"/>
          <w:i w:val="0"/>
        </w:rPr>
        <w:t xml:space="preserve"> The Scheduling Order (§ 3) requires a direct telephonic or in-person meet-and-confer at least 14 days before any discovery motion, and email alone does not qualify. To file by the October 1, 2024 deadline (§ 4.1), the call must take place by </w:t>
      </w:r>
      <w:r>
        <w:rPr>
          <w:b/>
          <w:i w:val="0"/>
        </w:rPr>
        <w:t>September 17, 2024</w:t>
      </w:r>
      <w:r>
        <w:rPr>
          <w:b w:val="0"/>
          <w:i w:val="0"/>
        </w:rPr>
        <w:t>. Meridian's proposed "week of September 23" call would make a timely motion impossible. We recommend demanding a call on September 16–17 and documenting the demand in writing. In parallel, we recommend preparing a joint stipulation or ex parte application to extend the motion deadline in case Meridian refuses.</w:t>
      </w:r>
    </w:p>
    <w:p>
      <w:pPr>
        <w:pStyle w:val="Heading1"/>
      </w:pPr>
      <w:r>
        <w:t>II. Key Deadlines and Procedural Posture</w:t>
      </w:r>
    </w:p>
    <w:tbl>
      <w:tblPr>
        <w:tblStyle w:val="TableGrid"/>
        <w:tblW w:type="auto" w:w="0"/>
        <w:jc w:val="center"/>
        <w:tblLook w:firstColumn="1" w:firstRow="1" w:lastColumn="0" w:lastRow="0" w:noHBand="0" w:noVBand="1" w:val="04A0"/>
      </w:tblPr>
      <w:tblGrid>
        <w:gridCol w:w="3120"/>
        <w:gridCol w:w="3120"/>
        <w:gridCol w:w="3120"/>
      </w:tblGrid>
      <w:tr>
        <w:trPr>
          <w:tblHeader w:val="true"/>
        </w:trPr>
        <w:tc>
          <w:tcPr>
            <w:tcW w:type="dxa" w:w="1584"/>
            <w:shd w:val="clear" w:color="auto" w:fill="1F3A5F"/>
          </w:tcPr>
          <w:p>
            <w:r/>
            <w:r>
              <w:rPr>
                <w:b/>
                <w:color w:val="FFFFFF"/>
                <w:sz w:val="17"/>
              </w:rPr>
              <w:t>Date</w:t>
            </w:r>
          </w:p>
        </w:tc>
        <w:tc>
          <w:tcPr>
            <w:tcW w:type="dxa" w:w="3744"/>
            <w:shd w:val="clear" w:color="auto" w:fill="1F3A5F"/>
          </w:tcPr>
          <w:p>
            <w:r/>
            <w:r>
              <w:rPr>
                <w:b/>
                <w:color w:val="FFFFFF"/>
                <w:sz w:val="17"/>
              </w:rPr>
              <w:t>Event</w:t>
            </w:r>
          </w:p>
        </w:tc>
        <w:tc>
          <w:tcPr>
            <w:tcW w:type="dxa" w:w="4032"/>
            <w:shd w:val="clear" w:color="auto" w:fill="1F3A5F"/>
          </w:tcPr>
          <w:p>
            <w:r/>
            <w:r>
              <w:rPr>
                <w:b/>
                <w:color w:val="FFFFFF"/>
                <w:sz w:val="17"/>
              </w:rPr>
              <w:t>Source / Significance</w:t>
            </w:r>
          </w:p>
        </w:tc>
      </w:tr>
      <w:tr>
        <w:tc>
          <w:tcPr>
            <w:tcW w:type="dxa" w:w="1584"/>
          </w:tcPr>
          <w:p>
            <w:r/>
            <w:r>
              <w:rPr>
                <w:b w:val="0"/>
                <w:i w:val="0"/>
                <w:sz w:val="17"/>
              </w:rPr>
              <w:t>Apr. 22, 2024</w:t>
            </w:r>
          </w:p>
        </w:tc>
        <w:tc>
          <w:tcPr>
            <w:tcW w:type="dxa" w:w="3744"/>
          </w:tcPr>
          <w:p>
            <w:r/>
            <w:r>
              <w:rPr>
                <w:b w:val="0"/>
                <w:i w:val="0"/>
                <w:sz w:val="17"/>
              </w:rPr>
              <w:t>Scheduling Order entered (Dkt. 34)</w:t>
            </w:r>
          </w:p>
        </w:tc>
        <w:tc>
          <w:tcPr>
            <w:tcW w:type="dxa" w:w="4032"/>
          </w:tcPr>
          <w:p>
            <w:r/>
            <w:r>
              <w:rPr>
                <w:b w:val="0"/>
                <w:i w:val="0"/>
                <w:sz w:val="17"/>
              </w:rPr>
              <w:t>Governs production format, index, privilege log, meet-and-confer and motion deadlines</w:t>
            </w:r>
          </w:p>
        </w:tc>
      </w:tr>
      <w:tr>
        <w:tc>
          <w:tcPr>
            <w:tcW w:type="dxa" w:w="1584"/>
          </w:tcPr>
          <w:p>
            <w:r/>
            <w:r>
              <w:rPr>
                <w:b w:val="0"/>
                <w:i w:val="0"/>
                <w:sz w:val="17"/>
              </w:rPr>
              <w:t>May 15, 2024</w:t>
            </w:r>
          </w:p>
        </w:tc>
        <w:tc>
          <w:tcPr>
            <w:tcW w:type="dxa" w:w="3744"/>
          </w:tcPr>
          <w:p>
            <w:r/>
            <w:r>
              <w:rPr>
                <w:b w:val="0"/>
                <w:i w:val="0"/>
                <w:sz w:val="17"/>
              </w:rPr>
              <w:t>First Set of RFPs (Nos. 1–27) served</w:t>
            </w:r>
          </w:p>
        </w:tc>
        <w:tc>
          <w:tcPr>
            <w:tcW w:type="dxa" w:w="4032"/>
          </w:tcPr>
          <w:p>
            <w:r/>
            <w:r>
              <w:rPr>
                <w:b w:val="0"/>
                <w:i w:val="0"/>
                <w:sz w:val="17"/>
              </w:rPr>
              <w:t>Responses due June 14, 2024 (FRCP 34(b)(2)(A), 30 days)</w:t>
            </w:r>
          </w:p>
        </w:tc>
      </w:tr>
      <w:tr>
        <w:tc>
          <w:tcPr>
            <w:tcW w:type="dxa" w:w="1584"/>
          </w:tcPr>
          <w:p>
            <w:r/>
            <w:r>
              <w:rPr>
                <w:b w:val="0"/>
                <w:i w:val="0"/>
                <w:sz w:val="17"/>
              </w:rPr>
              <w:t>June 28, 2024</w:t>
            </w:r>
          </w:p>
        </w:tc>
        <w:tc>
          <w:tcPr>
            <w:tcW w:type="dxa" w:w="3744"/>
          </w:tcPr>
          <w:p>
            <w:r/>
            <w:r>
              <w:rPr>
                <w:b w:val="0"/>
                <w:i w:val="0"/>
                <w:sz w:val="17"/>
              </w:rPr>
              <w:t>Meridian serves Objections and Responses</w:t>
            </w:r>
          </w:p>
        </w:tc>
        <w:tc>
          <w:tcPr>
            <w:tcW w:type="dxa" w:w="4032"/>
          </w:tcPr>
          <w:p>
            <w:r/>
            <w:r>
              <w:rPr>
                <w:b w:val="0"/>
                <w:i w:val="0"/>
                <w:sz w:val="17"/>
              </w:rPr>
              <w:t>44 days after service. Confirm whether any written extension was granted; if not, objections are arguably waived (see § III.B)</w:t>
            </w:r>
          </w:p>
        </w:tc>
      </w:tr>
      <w:tr>
        <w:tc>
          <w:tcPr>
            <w:tcW w:type="dxa" w:w="1584"/>
          </w:tcPr>
          <w:p>
            <w:r/>
            <w:r>
              <w:rPr>
                <w:b w:val="0"/>
                <w:i w:val="0"/>
                <w:sz w:val="17"/>
              </w:rPr>
              <w:t>Aug. 12, 2024</w:t>
            </w:r>
          </w:p>
        </w:tc>
        <w:tc>
          <w:tcPr>
            <w:tcW w:type="dxa" w:w="3744"/>
          </w:tcPr>
          <w:p>
            <w:r/>
            <w:r>
              <w:rPr>
                <w:b w:val="0"/>
                <w:i w:val="0"/>
                <w:sz w:val="17"/>
              </w:rPr>
              <w:t>Production (312 docs claimed / 4,217 pp.) and privilege log (43 entries) served</w:t>
            </w:r>
          </w:p>
        </w:tc>
        <w:tc>
          <w:tcPr>
            <w:tcW w:type="dxa" w:w="4032"/>
          </w:tcPr>
          <w:p>
            <w:r/>
            <w:r>
              <w:rPr>
                <w:b w:val="0"/>
                <w:i w:val="0"/>
                <w:sz w:val="17"/>
              </w:rPr>
              <w:t>Starts the 45-day clock; order sets an Oct. 1, 2024 outer date for productions completed by Aug. 31</w:t>
            </w:r>
          </w:p>
        </w:tc>
      </w:tr>
      <w:tr>
        <w:tc>
          <w:tcPr>
            <w:tcW w:type="dxa" w:w="1584"/>
          </w:tcPr>
          <w:p>
            <w:r/>
            <w:r>
              <w:rPr>
                <w:b w:val="0"/>
                <w:i w:val="0"/>
                <w:sz w:val="17"/>
              </w:rPr>
              <w:t>Aug. 15, 2024</w:t>
            </w:r>
          </w:p>
        </w:tc>
        <w:tc>
          <w:tcPr>
            <w:tcW w:type="dxa" w:w="3744"/>
          </w:tcPr>
          <w:p>
            <w:r/>
            <w:r>
              <w:rPr>
                <w:b w:val="0"/>
                <w:i w:val="0"/>
                <w:sz w:val="17"/>
              </w:rPr>
              <w:t>Deadline to amend pleadings / join parties (passed)</w:t>
            </w:r>
          </w:p>
        </w:tc>
        <w:tc>
          <w:tcPr>
            <w:tcW w:type="dxa" w:w="4032"/>
          </w:tcPr>
          <w:p>
            <w:r/>
            <w:r>
              <w:rPr>
                <w:b w:val="0"/>
                <w:i w:val="0"/>
                <w:sz w:val="17"/>
              </w:rPr>
              <w:t>Later amendment (e.g., adding individual defendants or new fraud theories) requires good cause under FRCP 16(b)(4). Meridian's withholding supports a diligence showing</w:t>
            </w:r>
          </w:p>
        </w:tc>
      </w:tr>
      <w:tr>
        <w:tc>
          <w:tcPr>
            <w:tcW w:type="dxa" w:w="1584"/>
          </w:tcPr>
          <w:p>
            <w:r/>
            <w:r>
              <w:rPr>
                <w:b w:val="0"/>
                <w:i w:val="0"/>
                <w:sz w:val="17"/>
              </w:rPr>
              <w:t>Aug. 19 / Sept. 9, 2024</w:t>
            </w:r>
          </w:p>
        </w:tc>
        <w:tc>
          <w:tcPr>
            <w:tcW w:type="dxa" w:w="3744"/>
          </w:tcPr>
          <w:p>
            <w:r/>
            <w:r>
              <w:rPr>
                <w:b w:val="0"/>
                <w:i w:val="0"/>
                <w:sz w:val="17"/>
              </w:rPr>
              <w:t>Our deficiency letters (RFPs 8, 19, 23; plus privilege log, insurance, financials, board minutes, texts)</w:t>
            </w:r>
          </w:p>
        </w:tc>
        <w:tc>
          <w:tcPr>
            <w:tcW w:type="dxa" w:w="4032"/>
          </w:tcPr>
          <w:p>
            <w:r/>
            <w:r>
              <w:rPr>
                <w:b w:val="0"/>
                <w:i w:val="0"/>
                <w:sz w:val="17"/>
              </w:rPr>
              <w:t>Written only. No telephonic conference has yet occurred</w:t>
            </w:r>
          </w:p>
        </w:tc>
      </w:tr>
      <w:tr>
        <w:tc>
          <w:tcPr>
            <w:tcW w:type="dxa" w:w="1584"/>
          </w:tcPr>
          <w:p>
            <w:r/>
            <w:r>
              <w:rPr>
                <w:b w:val="0"/>
                <w:i w:val="0"/>
                <w:sz w:val="17"/>
              </w:rPr>
              <w:t>Sept. 2 / Sept. 15, 2024</w:t>
            </w:r>
          </w:p>
        </w:tc>
        <w:tc>
          <w:tcPr>
            <w:tcW w:type="dxa" w:w="3744"/>
          </w:tcPr>
          <w:p>
            <w:r/>
            <w:r>
              <w:rPr>
                <w:b w:val="0"/>
                <w:i w:val="0"/>
                <w:sz w:val="17"/>
              </w:rPr>
              <w:t>Meridian responses</w:t>
            </w:r>
          </w:p>
        </w:tc>
        <w:tc>
          <w:tcPr>
            <w:tcW w:type="dxa" w:w="4032"/>
          </w:tcPr>
          <w:p>
            <w:r/>
            <w:r>
              <w:rPr>
                <w:b w:val="0"/>
                <w:i w:val="0"/>
                <w:sz w:val="17"/>
              </w:rPr>
              <w:t>No production, no verified statement, no search terms; proposes call "week of Sept. 23"</w:t>
            </w:r>
          </w:p>
        </w:tc>
      </w:tr>
      <w:tr>
        <w:tc>
          <w:tcPr>
            <w:tcW w:type="dxa" w:w="1584"/>
          </w:tcPr>
          <w:p>
            <w:r/>
            <w:r>
              <w:rPr>
                <w:b w:val="0"/>
                <w:i w:val="0"/>
                <w:sz w:val="17"/>
              </w:rPr>
              <w:t>Sept. 17, 2024</w:t>
            </w:r>
          </w:p>
        </w:tc>
        <w:tc>
          <w:tcPr>
            <w:tcW w:type="dxa" w:w="3744"/>
          </w:tcPr>
          <w:p>
            <w:r/>
            <w:r>
              <w:rPr>
                <w:b/>
                <w:i w:val="0"/>
                <w:sz w:val="17"/>
              </w:rPr>
              <w:t>Last day for § 3 telephonic meet-and-confer</w:t>
            </w:r>
            <w:r>
              <w:rPr>
                <w:b w:val="0"/>
                <w:i w:val="0"/>
                <w:sz w:val="17"/>
              </w:rPr>
              <w:t xml:space="preserve"> to allow an Oct. 1 filing (14-day rule)</w:t>
            </w:r>
          </w:p>
        </w:tc>
        <w:tc>
          <w:tcPr>
            <w:tcW w:type="dxa" w:w="4032"/>
          </w:tcPr>
          <w:p>
            <w:r/>
            <w:r>
              <w:rPr>
                <w:b/>
                <w:i w:val="0"/>
                <w:sz w:val="17"/>
              </w:rPr>
              <w:t>CRITICAL</w:t>
            </w:r>
          </w:p>
        </w:tc>
      </w:tr>
      <w:tr>
        <w:tc>
          <w:tcPr>
            <w:tcW w:type="dxa" w:w="1584"/>
          </w:tcPr>
          <w:p>
            <w:r/>
            <w:r>
              <w:rPr>
                <w:b w:val="0"/>
                <w:i w:val="0"/>
                <w:sz w:val="17"/>
              </w:rPr>
              <w:t>Sept. 19, 2024</w:t>
            </w:r>
          </w:p>
        </w:tc>
        <w:tc>
          <w:tcPr>
            <w:tcW w:type="dxa" w:w="3744"/>
          </w:tcPr>
          <w:p>
            <w:r/>
            <w:r>
              <w:rPr>
                <w:b w:val="0"/>
                <w:i w:val="0"/>
                <w:sz w:val="17"/>
              </w:rPr>
              <w:t>Our requested response date (Sept. 9 letter)</w:t>
            </w:r>
          </w:p>
        </w:tc>
        <w:tc>
          <w:tcPr>
            <w:tcW w:type="dxa" w:w="4032"/>
          </w:tcPr>
          <w:p>
            <w:r/>
            <w:r>
              <w:rPr>
                <w:b w:val="0"/>
                <w:i w:val="0"/>
                <w:sz w:val="17"/>
              </w:rPr>
              <w:t>Hold Meridian to it</w:t>
            </w:r>
          </w:p>
        </w:tc>
      </w:tr>
      <w:tr>
        <w:tc>
          <w:tcPr>
            <w:tcW w:type="dxa" w:w="1584"/>
          </w:tcPr>
          <w:p>
            <w:r/>
            <w:r>
              <w:rPr>
                <w:b w:val="0"/>
                <w:i w:val="0"/>
                <w:sz w:val="17"/>
              </w:rPr>
              <w:t>Oct. 1, 2024</w:t>
            </w:r>
          </w:p>
        </w:tc>
        <w:tc>
          <w:tcPr>
            <w:tcW w:type="dxa" w:w="3744"/>
          </w:tcPr>
          <w:p>
            <w:r/>
            <w:r>
              <w:rPr>
                <w:b/>
                <w:i w:val="0"/>
                <w:sz w:val="17"/>
              </w:rPr>
              <w:t>Motion to compel deadline</w:t>
            </w:r>
            <w:r>
              <w:rPr>
                <w:b w:val="0"/>
                <w:i w:val="0"/>
                <w:sz w:val="17"/>
              </w:rPr>
              <w:t xml:space="preserve"> for this production (Order § 4.1); 25-page limit</w:t>
            </w:r>
          </w:p>
        </w:tc>
        <w:tc>
          <w:tcPr>
            <w:tcW w:type="dxa" w:w="4032"/>
          </w:tcPr>
          <w:p>
            <w:r/>
            <w:r>
              <w:rPr>
                <w:b w:val="0"/>
                <w:i w:val="0"/>
                <w:sz w:val="17"/>
              </w:rPr>
              <w:t>Opposition due 14 days after; reply 7 days (10 pp.)</w:t>
            </w:r>
          </w:p>
        </w:tc>
      </w:tr>
      <w:tr>
        <w:tc>
          <w:tcPr>
            <w:tcW w:type="dxa" w:w="1584"/>
          </w:tcPr>
          <w:p>
            <w:r/>
            <w:r>
              <w:rPr>
                <w:b w:val="0"/>
                <w:i w:val="0"/>
                <w:sz w:val="17"/>
              </w:rPr>
              <w:t>July 31, 2025</w:t>
            </w:r>
          </w:p>
        </w:tc>
        <w:tc>
          <w:tcPr>
            <w:tcW w:type="dxa" w:w="3744"/>
          </w:tcPr>
          <w:p>
            <w:r/>
            <w:r>
              <w:rPr>
                <w:b w:val="0"/>
                <w:i w:val="0"/>
                <w:sz w:val="17"/>
              </w:rPr>
              <w:t>Mediation deadline</w:t>
            </w:r>
          </w:p>
        </w:tc>
        <w:tc>
          <w:tcPr>
            <w:tcW w:type="dxa" w:w="4032"/>
          </w:tcPr>
          <w:p>
            <w:r/>
            <w:r>
              <w:rPr>
                <w:b w:val="0"/>
                <w:i w:val="0"/>
                <w:sz w:val="17"/>
              </w:rPr>
              <w:t>Complete priority discovery before mediation</w:t>
            </w:r>
          </w:p>
        </w:tc>
      </w:tr>
      <w:tr>
        <w:tc>
          <w:tcPr>
            <w:tcW w:type="dxa" w:w="1584"/>
          </w:tcPr>
          <w:p>
            <w:r/>
            <w:r>
              <w:rPr>
                <w:b w:val="0"/>
                <w:i w:val="0"/>
                <w:sz w:val="17"/>
              </w:rPr>
              <w:t>Sept. 30, 2025</w:t>
            </w:r>
          </w:p>
        </w:tc>
        <w:tc>
          <w:tcPr>
            <w:tcW w:type="dxa" w:w="3744"/>
          </w:tcPr>
          <w:p>
            <w:r/>
            <w:r>
              <w:rPr>
                <w:b w:val="0"/>
                <w:i w:val="0"/>
                <w:sz w:val="17"/>
              </w:rPr>
              <w:t>Fact discovery cutoff</w:t>
            </w:r>
          </w:p>
        </w:tc>
        <w:tc>
          <w:tcPr>
            <w:tcW w:type="dxa" w:w="4032"/>
          </w:tcPr>
          <w:p>
            <w:r/>
            <w:r>
              <w:rPr>
                <w:b w:val="0"/>
                <w:i w:val="0"/>
                <w:sz w:val="17"/>
              </w:rPr>
              <w:t>12 depositions per side; 25 interrogatories; 30 RFAs</w:t>
            </w:r>
          </w:p>
        </w:tc>
      </w:tr>
      <w:tr>
        <w:tc>
          <w:tcPr>
            <w:tcW w:type="dxa" w:w="1584"/>
          </w:tcPr>
          <w:p>
            <w:r/>
            <w:r>
              <w:rPr>
                <w:b w:val="0"/>
                <w:i w:val="0"/>
                <w:sz w:val="17"/>
              </w:rPr>
              <w:t>Dec. 15, 2025</w:t>
            </w:r>
          </w:p>
        </w:tc>
        <w:tc>
          <w:tcPr>
            <w:tcW w:type="dxa" w:w="3744"/>
          </w:tcPr>
          <w:p>
            <w:r/>
            <w:r>
              <w:rPr>
                <w:b w:val="0"/>
                <w:i w:val="0"/>
                <w:sz w:val="17"/>
              </w:rPr>
              <w:t>Plaintiff's expert reports</w:t>
            </w:r>
          </w:p>
        </w:tc>
        <w:tc>
          <w:tcPr>
            <w:tcW w:type="dxa" w:w="4032"/>
          </w:tcPr>
          <w:p>
            <w:r/>
            <w:r>
              <w:rPr>
                <w:b w:val="0"/>
                <w:i w:val="0"/>
                <w:sz w:val="17"/>
              </w:rPr>
              <w:t>Damages and forensic accounting experts need the GL, lease and financial data</w:t>
            </w:r>
          </w:p>
        </w:tc>
      </w:tr>
    </w:tbl>
    <w:p>
      <w:pPr>
        <w:spacing w:after="40"/>
      </w:pPr>
    </w:p>
    <w:p>
      <w:pPr>
        <w:pStyle w:val="Heading1"/>
      </w:pPr>
      <w:r>
        <w:t>III. Threshold Defects in Meridian's Written Responses</w:t>
      </w:r>
    </w:p>
    <w:p>
      <w:pPr>
        <w:pStyle w:val="Heading2"/>
      </w:pPr>
      <w:r>
        <w:t>A. Meridian Responded to Requests It Rewrote</w:t>
      </w:r>
    </w:p>
    <w:p>
      <w:pPr>
        <w:spacing w:after="120"/>
      </w:pPr>
      <w:r>
        <w:rPr>
          <w:b w:val="0"/>
          <w:i w:val="0"/>
        </w:rPr>
        <w:t xml:space="preserve">Each of Meridian's responses begins with a "Request:" paragraph that purports to quote the RFP. Compared side by side with the RFPs as served, the restated text often differs in substance: it is narrowed, its date range is changed, or in several places it is replaced with a different request (often the subject of an adjacent RFP). Rule 34(b)(2)(B)–(C) requires a response to each request </w:t>
      </w:r>
      <w:r>
        <w:rPr>
          <w:b/>
          <w:i w:val="0"/>
        </w:rPr>
        <w:t>as served</w:t>
      </w:r>
      <w:r>
        <w:rPr>
          <w:b w:val="0"/>
          <w:i w:val="0"/>
        </w:rPr>
        <w:t>. Where Meridian answered a different question, there is effectively no response to the request we actually served, and a motion to compel should treat those as unanswered. The production index uses the same altered numbering (for example, driver-training records are coded "RFP 18," and counterclaim emails are coded "RFP 25"), so the index cannot be used to measure compliance.</w:t>
      </w:r>
    </w:p>
    <w:tbl>
      <w:tblPr>
        <w:tblStyle w:val="TableGrid"/>
        <w:tblW w:type="auto" w:w="0"/>
        <w:jc w:val="center"/>
        <w:tblLook w:firstColumn="1" w:firstRow="1" w:lastColumn="0" w:lastRow="0" w:noHBand="0" w:noVBand="1" w:val="04A0"/>
      </w:tblPr>
      <w:tblGrid>
        <w:gridCol w:w="2340"/>
        <w:gridCol w:w="2340"/>
        <w:gridCol w:w="2340"/>
        <w:gridCol w:w="2340"/>
      </w:tblGrid>
      <w:tr>
        <w:trPr>
          <w:tblHeader w:val="true"/>
        </w:trPr>
        <w:tc>
          <w:tcPr>
            <w:tcW w:type="dxa" w:w="648"/>
            <w:shd w:val="clear" w:color="auto" w:fill="1F3A5F"/>
          </w:tcPr>
          <w:p>
            <w:r/>
            <w:r>
              <w:rPr>
                <w:b/>
                <w:color w:val="FFFFFF"/>
                <w:sz w:val="16"/>
              </w:rPr>
              <w:t>RFP</w:t>
            </w:r>
          </w:p>
        </w:tc>
        <w:tc>
          <w:tcPr>
            <w:tcW w:type="dxa" w:w="2880"/>
            <w:shd w:val="clear" w:color="auto" w:fill="1F3A5F"/>
          </w:tcPr>
          <w:p>
            <w:r/>
            <w:r>
              <w:rPr>
                <w:b/>
                <w:color w:val="FFFFFF"/>
                <w:sz w:val="16"/>
              </w:rPr>
              <w:t>As served (summary)</w:t>
            </w:r>
          </w:p>
        </w:tc>
        <w:tc>
          <w:tcPr>
            <w:tcW w:type="dxa" w:w="2520"/>
            <w:shd w:val="clear" w:color="auto" w:fill="1F3A5F"/>
          </w:tcPr>
          <w:p>
            <w:r/>
            <w:r>
              <w:rPr>
                <w:b/>
                <w:color w:val="FFFFFF"/>
                <w:sz w:val="16"/>
              </w:rPr>
              <w:t>As "restated" by Meridian</w:t>
            </w:r>
          </w:p>
        </w:tc>
        <w:tc>
          <w:tcPr>
            <w:tcW w:type="dxa" w:w="3312"/>
            <w:shd w:val="clear" w:color="auto" w:fill="1F3A5F"/>
          </w:tcPr>
          <w:p>
            <w:r/>
            <w:r>
              <w:rPr>
                <w:b/>
                <w:color w:val="FFFFFF"/>
                <w:sz w:val="16"/>
              </w:rPr>
              <w:t>Consequence</w:t>
            </w:r>
          </w:p>
        </w:tc>
      </w:tr>
      <w:tr>
        <w:tc>
          <w:tcPr>
            <w:tcW w:type="dxa" w:w="648"/>
          </w:tcPr>
          <w:p>
            <w:r/>
            <w:r>
              <w:rPr>
                <w:b w:val="0"/>
                <w:i w:val="0"/>
                <w:sz w:val="16"/>
              </w:rPr>
              <w:t>2</w:t>
            </w:r>
          </w:p>
        </w:tc>
        <w:tc>
          <w:tcPr>
            <w:tcW w:type="dxa" w:w="2880"/>
          </w:tcPr>
          <w:p>
            <w:r/>
            <w:r>
              <w:rPr>
                <w:b w:val="0"/>
                <w:i w:val="0"/>
                <w:sz w:val="16"/>
              </w:rPr>
              <w:t>All due-diligence materials given to PC: Fleet Capacity Report, financial statements/projections, insurance certificates, capability presentations, etc.</w:t>
            </w:r>
          </w:p>
        </w:tc>
        <w:tc>
          <w:tcPr>
            <w:tcW w:type="dxa" w:w="2520"/>
          </w:tcPr>
          <w:p>
            <w:r/>
            <w:r>
              <w:rPr>
                <w:b w:val="0"/>
                <w:i w:val="0"/>
                <w:sz w:val="16"/>
              </w:rPr>
              <w:t>Term sheets, LOIs, MOUs</w:t>
            </w:r>
          </w:p>
        </w:tc>
        <w:tc>
          <w:tcPr>
            <w:tcW w:type="dxa" w:w="3312"/>
          </w:tcPr>
          <w:p>
            <w:r/>
            <w:r>
              <w:rPr>
                <w:b/>
                <w:i w:val="0"/>
                <w:sz w:val="16"/>
              </w:rPr>
              <w:t>Due-diligence package never addressed</w:t>
            </w:r>
            <w:r>
              <w:rPr>
                <w:b w:val="0"/>
                <w:i w:val="0"/>
                <w:sz w:val="16"/>
              </w:rPr>
              <w:t>, including the FY2020 unaudited financials (the alleged EBITDA misrepresentation)</w:t>
            </w:r>
          </w:p>
        </w:tc>
      </w:tr>
      <w:tr>
        <w:tc>
          <w:tcPr>
            <w:tcW w:type="dxa" w:w="648"/>
          </w:tcPr>
          <w:p>
            <w:r/>
            <w:r>
              <w:rPr>
                <w:b w:val="0"/>
                <w:i w:val="0"/>
                <w:sz w:val="16"/>
              </w:rPr>
              <w:t>3</w:t>
            </w:r>
          </w:p>
        </w:tc>
        <w:tc>
          <w:tcPr>
            <w:tcW w:type="dxa" w:w="2880"/>
          </w:tcPr>
          <w:p>
            <w:r/>
            <w:r>
              <w:rPr>
                <w:b w:val="0"/>
                <w:i w:val="0"/>
                <w:sz w:val="16"/>
              </w:rPr>
              <w:t>Meridian's internal analyses of the decision to enter the FMSA (pricing, margin, risk)</w:t>
            </w:r>
          </w:p>
        </w:tc>
        <w:tc>
          <w:tcPr>
            <w:tcW w:type="dxa" w:w="2520"/>
          </w:tcPr>
          <w:p>
            <w:r/>
            <w:r>
              <w:rPr>
                <w:b w:val="0"/>
                <w:i w:val="0"/>
                <w:sz w:val="16"/>
              </w:rPr>
              <w:t>Meridian's diligence on *Pacific Corridor's* creditworthiness</w:t>
            </w:r>
          </w:p>
        </w:tc>
        <w:tc>
          <w:tcPr>
            <w:tcW w:type="dxa" w:w="3312"/>
          </w:tcPr>
          <w:p>
            <w:r/>
            <w:r>
              <w:rPr>
                <w:b w:val="0"/>
                <w:i w:val="0"/>
                <w:sz w:val="16"/>
              </w:rPr>
              <w:t>Internal risk and pricing analyses not captured</w:t>
            </w:r>
          </w:p>
        </w:tc>
      </w:tr>
      <w:tr>
        <w:tc>
          <w:tcPr>
            <w:tcW w:type="dxa" w:w="648"/>
          </w:tcPr>
          <w:p>
            <w:r/>
            <w:r>
              <w:rPr>
                <w:b w:val="0"/>
                <w:i w:val="0"/>
                <w:sz w:val="16"/>
              </w:rPr>
              <w:t>6</w:t>
            </w:r>
          </w:p>
        </w:tc>
        <w:tc>
          <w:tcPr>
            <w:tcW w:type="dxa" w:w="2880"/>
          </w:tcPr>
          <w:p>
            <w:r/>
            <w:r>
              <w:rPr>
                <w:b w:val="0"/>
                <w:i w:val="0"/>
                <w:sz w:val="16"/>
              </w:rPr>
              <w:t>Monthly fleet rosters, Jan. 2019 – present</w:t>
            </w:r>
          </w:p>
        </w:tc>
        <w:tc>
          <w:tcPr>
            <w:tcW w:type="dxa" w:w="2520"/>
          </w:tcPr>
          <w:p>
            <w:r/>
            <w:r>
              <w:rPr>
                <w:b w:val="0"/>
                <w:i w:val="0"/>
                <w:sz w:val="16"/>
              </w:rPr>
              <w:t>Rosters Jan. 2020 – Aug. 2023, then limited to Oct. 2020+ and to the PC account</w:t>
            </w:r>
          </w:p>
        </w:tc>
        <w:tc>
          <w:tcPr>
            <w:tcW w:type="dxa" w:w="3312"/>
          </w:tcPr>
          <w:p>
            <w:r/>
            <w:r>
              <w:rPr>
                <w:b w:val="0"/>
                <w:i w:val="0"/>
                <w:sz w:val="16"/>
              </w:rPr>
              <w:t>Pre-contract baseline not produced; only 3 annual snapshots produced</w:t>
            </w:r>
          </w:p>
        </w:tc>
      </w:tr>
      <w:tr>
        <w:tc>
          <w:tcPr>
            <w:tcW w:type="dxa" w:w="648"/>
          </w:tcPr>
          <w:p>
            <w:r/>
            <w:r>
              <w:rPr>
                <w:b w:val="0"/>
                <w:i w:val="0"/>
                <w:sz w:val="16"/>
              </w:rPr>
              <w:t>7</w:t>
            </w:r>
          </w:p>
        </w:tc>
        <w:tc>
          <w:tcPr>
            <w:tcW w:type="dxa" w:w="2880"/>
          </w:tcPr>
          <w:p>
            <w:r/>
            <w:r>
              <w:rPr>
                <w:b w:val="0"/>
                <w:i w:val="0"/>
                <w:sz w:val="16"/>
              </w:rPr>
              <w:t xml:space="preserve">Registrations, titles, </w:t>
            </w:r>
            <w:r>
              <w:rPr>
                <w:b/>
                <w:i w:val="0"/>
                <w:sz w:val="16"/>
              </w:rPr>
              <w:t>leases, financing agreements</w:t>
            </w:r>
          </w:p>
        </w:tc>
        <w:tc>
          <w:tcPr>
            <w:tcW w:type="dxa" w:w="2520"/>
          </w:tcPr>
          <w:p>
            <w:r/>
            <w:r>
              <w:rPr>
                <w:b w:val="0"/>
                <w:i w:val="0"/>
                <w:sz w:val="16"/>
              </w:rPr>
              <w:t>Registrations and titles only</w:t>
            </w:r>
          </w:p>
        </w:tc>
        <w:tc>
          <w:tcPr>
            <w:tcW w:type="dxa" w:w="3312"/>
          </w:tcPr>
          <w:p>
            <w:r/>
            <w:r>
              <w:rPr>
                <w:b w:val="0"/>
                <w:i w:val="0"/>
                <w:sz w:val="16"/>
              </w:rPr>
              <w:t>Replaced by "summary" and "representative samples"</w:t>
            </w:r>
          </w:p>
        </w:tc>
      </w:tr>
      <w:tr>
        <w:tc>
          <w:tcPr>
            <w:tcW w:type="dxa" w:w="648"/>
          </w:tcPr>
          <w:p>
            <w:r/>
            <w:r>
              <w:rPr>
                <w:b w:val="0"/>
                <w:i w:val="0"/>
                <w:sz w:val="16"/>
              </w:rPr>
              <w:t>8</w:t>
            </w:r>
          </w:p>
        </w:tc>
        <w:tc>
          <w:tcPr>
            <w:tcW w:type="dxa" w:w="2880"/>
          </w:tcPr>
          <w:p>
            <w:r/>
            <w:r>
              <w:rPr>
                <w:b w:val="0"/>
                <w:i w:val="0"/>
                <w:sz w:val="16"/>
              </w:rPr>
              <w:t>All subcontractor/affiliate arrangements, Jan. 2020 – present, including informal ones evidenced by e-mail, rate confirmations, etc.</w:t>
            </w:r>
          </w:p>
        </w:tc>
        <w:tc>
          <w:tcPr>
            <w:tcW w:type="dxa" w:w="2520"/>
          </w:tcPr>
          <w:p>
            <w:r/>
            <w:r>
              <w:rPr>
                <w:b w:val="0"/>
                <w:i w:val="0"/>
                <w:sz w:val="16"/>
              </w:rPr>
              <w:t>Arrangements "used … under the FMSA"</w:t>
            </w:r>
          </w:p>
        </w:tc>
        <w:tc>
          <w:tcPr>
            <w:tcW w:type="dxa" w:w="3312"/>
          </w:tcPr>
          <w:p>
            <w:r/>
            <w:r>
              <w:rPr>
                <w:b w:val="0"/>
                <w:i w:val="0"/>
                <w:sz w:val="16"/>
              </w:rPr>
              <w:t>Narrowed in time and scope; nothing produced anyway</w:t>
            </w:r>
          </w:p>
        </w:tc>
      </w:tr>
      <w:tr>
        <w:tc>
          <w:tcPr>
            <w:tcW w:type="dxa" w:w="648"/>
          </w:tcPr>
          <w:p>
            <w:r/>
            <w:r>
              <w:rPr>
                <w:b w:val="0"/>
                <w:i w:val="0"/>
                <w:sz w:val="16"/>
              </w:rPr>
              <w:t>9</w:t>
            </w:r>
          </w:p>
        </w:tc>
        <w:tc>
          <w:tcPr>
            <w:tcW w:type="dxa" w:w="2880"/>
          </w:tcPr>
          <w:p>
            <w:r/>
            <w:r>
              <w:rPr>
                <w:b w:val="0"/>
                <w:i w:val="0"/>
                <w:sz w:val="16"/>
              </w:rPr>
              <w:t>Maintenance, inspection and out-of-service records, Mar. 2021 – Aug. 2023</w:t>
            </w:r>
          </w:p>
        </w:tc>
        <w:tc>
          <w:tcPr>
            <w:tcW w:type="dxa" w:w="2520"/>
          </w:tcPr>
          <w:p>
            <w:r/>
            <w:r>
              <w:rPr>
                <w:b w:val="0"/>
                <w:i w:val="0"/>
                <w:sz w:val="16"/>
              </w:rPr>
              <w:t>Lease/financing agreements for PC vehicles</w:t>
            </w:r>
          </w:p>
        </w:tc>
        <w:tc>
          <w:tcPr>
            <w:tcW w:type="dxa" w:w="3312"/>
          </w:tcPr>
          <w:p>
            <w:r/>
            <w:r>
              <w:rPr>
                <w:b w:val="0"/>
                <w:i w:val="0"/>
                <w:sz w:val="16"/>
              </w:rPr>
              <w:t>Maintenance request answered only under Meridian's "No. 10"; "representative" only</w:t>
            </w:r>
          </w:p>
        </w:tc>
      </w:tr>
      <w:tr>
        <w:tc>
          <w:tcPr>
            <w:tcW w:type="dxa" w:w="648"/>
          </w:tcPr>
          <w:p>
            <w:r/>
            <w:r>
              <w:rPr>
                <w:b w:val="0"/>
                <w:i w:val="0"/>
                <w:sz w:val="16"/>
              </w:rPr>
              <w:t>10</w:t>
            </w:r>
          </w:p>
        </w:tc>
        <w:tc>
          <w:tcPr>
            <w:tcW w:type="dxa" w:w="2880"/>
          </w:tcPr>
          <w:p>
            <w:r/>
            <w:r>
              <w:rPr>
                <w:b w:val="0"/>
                <w:i w:val="0"/>
                <w:sz w:val="16"/>
              </w:rPr>
              <w:t>Fleet Capacity Report drafts, source data, calculations and internal communications</w:t>
            </w:r>
          </w:p>
        </w:tc>
        <w:tc>
          <w:tcPr>
            <w:tcW w:type="dxa" w:w="2520"/>
          </w:tcPr>
          <w:p>
            <w:r/>
            <w:r>
              <w:rPr>
                <w:b w:val="0"/>
                <w:i w:val="0"/>
                <w:sz w:val="16"/>
              </w:rPr>
              <w:t>Maintenance records</w:t>
            </w:r>
          </w:p>
        </w:tc>
        <w:tc>
          <w:tcPr>
            <w:tcW w:type="dxa" w:w="3312"/>
          </w:tcPr>
          <w:p>
            <w:r/>
            <w:r>
              <w:rPr>
                <w:b/>
                <w:i w:val="0"/>
                <w:sz w:val="16"/>
              </w:rPr>
              <w:t>Fleet Capacity Report request never answered</w:t>
            </w:r>
            <w:r>
              <w:rPr>
                <w:b w:val="0"/>
                <w:i w:val="0"/>
                <w:sz w:val="16"/>
              </w:rPr>
              <w:t>; source documents withheld on the log (PRIV-12, -14, -16, -18)</w:t>
            </w:r>
          </w:p>
        </w:tc>
      </w:tr>
      <w:tr>
        <w:tc>
          <w:tcPr>
            <w:tcW w:type="dxa" w:w="648"/>
          </w:tcPr>
          <w:p>
            <w:r/>
            <w:r>
              <w:rPr>
                <w:b w:val="0"/>
                <w:i w:val="0"/>
                <w:sz w:val="16"/>
              </w:rPr>
              <w:t>12</w:t>
            </w:r>
          </w:p>
        </w:tc>
        <w:tc>
          <w:tcPr>
            <w:tcW w:type="dxa" w:w="2880"/>
          </w:tcPr>
          <w:p>
            <w:r/>
            <w:r>
              <w:rPr>
                <w:b w:val="0"/>
                <w:i w:val="0"/>
                <w:sz w:val="16"/>
              </w:rPr>
              <w:t>All certificates of insurance given to PC (2020 – present)</w:t>
            </w:r>
          </w:p>
        </w:tc>
        <w:tc>
          <w:tcPr>
            <w:tcW w:type="dxa" w:w="2520"/>
          </w:tcPr>
          <w:p>
            <w:r/>
            <w:r>
              <w:rPr>
                <w:b w:val="0"/>
                <w:i w:val="0"/>
                <w:sz w:val="16"/>
              </w:rPr>
              <w:t>Claim files and loss runs</w:t>
            </w:r>
          </w:p>
        </w:tc>
        <w:tc>
          <w:tcPr>
            <w:tcW w:type="dxa" w:w="3312"/>
          </w:tcPr>
          <w:p>
            <w:r/>
            <w:r>
              <w:rPr>
                <w:b/>
                <w:i w:val="0"/>
                <w:sz w:val="16"/>
              </w:rPr>
              <w:t>No response to the COI request</w:t>
            </w:r>
            <w:r>
              <w:rPr>
                <w:b w:val="0"/>
                <w:i w:val="0"/>
                <w:sz w:val="16"/>
              </w:rPr>
              <w:t>; subsequent COIs not produced</w:t>
            </w:r>
          </w:p>
        </w:tc>
      </w:tr>
      <w:tr>
        <w:tc>
          <w:tcPr>
            <w:tcW w:type="dxa" w:w="648"/>
          </w:tcPr>
          <w:p>
            <w:r/>
            <w:r>
              <w:rPr>
                <w:b w:val="0"/>
                <w:i w:val="0"/>
                <w:sz w:val="16"/>
              </w:rPr>
              <w:t>13</w:t>
            </w:r>
          </w:p>
        </w:tc>
        <w:tc>
          <w:tcPr>
            <w:tcW w:type="dxa" w:w="2880"/>
          </w:tcPr>
          <w:p>
            <w:r/>
            <w:r>
              <w:rPr>
                <w:b w:val="0"/>
                <w:i w:val="0"/>
                <w:sz w:val="16"/>
              </w:rPr>
              <w:t>Claim files, loss runs, adjuster reports</w:t>
            </w:r>
          </w:p>
        </w:tc>
        <w:tc>
          <w:tcPr>
            <w:tcW w:type="dxa" w:w="2520"/>
          </w:tcPr>
          <w:p>
            <w:r/>
            <w:r>
              <w:rPr>
                <w:b w:val="0"/>
                <w:i w:val="0"/>
                <w:sz w:val="16"/>
              </w:rPr>
              <w:t>Endorsements and riders</w:t>
            </w:r>
          </w:p>
        </w:tc>
        <w:tc>
          <w:tcPr>
            <w:tcW w:type="dxa" w:w="3312"/>
          </w:tcPr>
          <w:p>
            <w:r/>
            <w:r>
              <w:rPr>
                <w:b w:val="0"/>
                <w:i w:val="0"/>
                <w:sz w:val="16"/>
              </w:rPr>
              <w:t>Loss runs and reserve records not addressed</w:t>
            </w:r>
          </w:p>
        </w:tc>
      </w:tr>
      <w:tr>
        <w:tc>
          <w:tcPr>
            <w:tcW w:type="dxa" w:w="648"/>
          </w:tcPr>
          <w:p>
            <w:r/>
            <w:r>
              <w:rPr>
                <w:b w:val="0"/>
                <w:i w:val="0"/>
                <w:sz w:val="16"/>
              </w:rPr>
              <w:t>15</w:t>
            </w:r>
          </w:p>
        </w:tc>
        <w:tc>
          <w:tcPr>
            <w:tcW w:type="dxa" w:w="2880"/>
          </w:tcPr>
          <w:p>
            <w:r/>
            <w:r>
              <w:rPr>
                <w:b w:val="0"/>
                <w:i w:val="0"/>
                <w:sz w:val="16"/>
              </w:rPr>
              <w:t xml:space="preserve">Statements </w:t>
            </w:r>
            <w:r>
              <w:rPr>
                <w:b/>
                <w:i w:val="0"/>
                <w:sz w:val="16"/>
              </w:rPr>
              <w:t>plus</w:t>
            </w:r>
            <w:r>
              <w:rPr>
                <w:b w:val="0"/>
                <w:i w:val="0"/>
                <w:sz w:val="16"/>
              </w:rPr>
              <w:t xml:space="preserve"> audit reports, management letters, representation letters, AJE schedules, workpapers</w:t>
            </w:r>
          </w:p>
        </w:tc>
        <w:tc>
          <w:tcPr>
            <w:tcW w:type="dxa" w:w="2520"/>
          </w:tcPr>
          <w:p>
            <w:r/>
            <w:r>
              <w:rPr>
                <w:b w:val="0"/>
                <w:i w:val="0"/>
                <w:sz w:val="16"/>
              </w:rPr>
              <w:t>Financial statements only</w:t>
            </w:r>
          </w:p>
        </w:tc>
        <w:tc>
          <w:tcPr>
            <w:tcW w:type="dxa" w:w="3312"/>
          </w:tcPr>
          <w:p>
            <w:r/>
            <w:r>
              <w:rPr>
                <w:b w:val="0"/>
                <w:i w:val="0"/>
                <w:sz w:val="16"/>
              </w:rPr>
              <w:t>Crestline audit materials omitted</w:t>
            </w:r>
          </w:p>
        </w:tc>
      </w:tr>
      <w:tr>
        <w:tc>
          <w:tcPr>
            <w:tcW w:type="dxa" w:w="648"/>
          </w:tcPr>
          <w:p>
            <w:r/>
            <w:r>
              <w:rPr>
                <w:b w:val="0"/>
                <w:i w:val="0"/>
                <w:sz w:val="16"/>
              </w:rPr>
              <w:t>18</w:t>
            </w:r>
          </w:p>
        </w:tc>
        <w:tc>
          <w:tcPr>
            <w:tcW w:type="dxa" w:w="2880"/>
          </w:tcPr>
          <w:p>
            <w:r/>
            <w:r>
              <w:rPr>
                <w:b w:val="0"/>
                <w:i w:val="0"/>
                <w:sz w:val="16"/>
              </w:rPr>
              <w:t>Lease obligations and liabilities, ASC 842 transition</w:t>
            </w:r>
          </w:p>
        </w:tc>
        <w:tc>
          <w:tcPr>
            <w:tcW w:type="dxa" w:w="2520"/>
          </w:tcPr>
          <w:p>
            <w:r/>
            <w:r>
              <w:rPr>
                <w:b w:val="0"/>
                <w:i w:val="0"/>
                <w:sz w:val="16"/>
              </w:rPr>
              <w:t>Board financial presentations (refused)</w:t>
            </w:r>
          </w:p>
        </w:tc>
        <w:tc>
          <w:tcPr>
            <w:tcW w:type="dxa" w:w="3312"/>
          </w:tcPr>
          <w:p>
            <w:r/>
            <w:r>
              <w:rPr>
                <w:b/>
                <w:i w:val="0"/>
                <w:sz w:val="16"/>
              </w:rPr>
              <w:t>Lease-liability request ($3.6M omitted liabilities) never answered</w:t>
            </w:r>
          </w:p>
        </w:tc>
      </w:tr>
      <w:tr>
        <w:tc>
          <w:tcPr>
            <w:tcW w:type="dxa" w:w="648"/>
          </w:tcPr>
          <w:p>
            <w:r/>
            <w:r>
              <w:rPr>
                <w:b w:val="0"/>
                <w:i w:val="0"/>
                <w:sz w:val="16"/>
              </w:rPr>
              <w:t>21, 22</w:t>
            </w:r>
          </w:p>
        </w:tc>
        <w:tc>
          <w:tcPr>
            <w:tcW w:type="dxa" w:w="2880"/>
          </w:tcPr>
          <w:p>
            <w:r/>
            <w:r>
              <w:rPr>
                <w:b w:val="0"/>
                <w:i w:val="0"/>
                <w:sz w:val="16"/>
              </w:rPr>
              <w:t>Through the present</w:t>
            </w:r>
          </w:p>
        </w:tc>
        <w:tc>
          <w:tcPr>
            <w:tcW w:type="dxa" w:w="2520"/>
          </w:tcPr>
          <w:p>
            <w:r/>
            <w:r>
              <w:rPr>
                <w:b w:val="0"/>
                <w:i w:val="0"/>
                <w:sz w:val="16"/>
              </w:rPr>
              <w:t>Through Aug. 2023</w:t>
            </w:r>
          </w:p>
        </w:tc>
        <w:tc>
          <w:tcPr>
            <w:tcW w:type="dxa" w:w="3312"/>
          </w:tcPr>
          <w:p>
            <w:r/>
            <w:r>
              <w:rPr>
                <w:b w:val="0"/>
                <w:i w:val="0"/>
                <w:sz w:val="16"/>
              </w:rPr>
              <w:t>Post-termination materials excluded</w:t>
            </w:r>
          </w:p>
        </w:tc>
      </w:tr>
      <w:tr>
        <w:tc>
          <w:tcPr>
            <w:tcW w:type="dxa" w:w="648"/>
          </w:tcPr>
          <w:p>
            <w:r/>
            <w:r>
              <w:rPr>
                <w:b w:val="0"/>
                <w:i w:val="0"/>
                <w:sz w:val="16"/>
              </w:rPr>
              <w:t>25</w:t>
            </w:r>
          </w:p>
        </w:tc>
        <w:tc>
          <w:tcPr>
            <w:tcW w:type="dxa" w:w="2880"/>
          </w:tcPr>
          <w:p>
            <w:r/>
            <w:r>
              <w:rPr>
                <w:b w:val="0"/>
                <w:i w:val="0"/>
                <w:sz w:val="16"/>
              </w:rPr>
              <w:t>All Pinnacle communications re coverage, 2020 – present</w:t>
            </w:r>
          </w:p>
        </w:tc>
        <w:tc>
          <w:tcPr>
            <w:tcW w:type="dxa" w:w="2520"/>
          </w:tcPr>
          <w:p>
            <w:r/>
            <w:r>
              <w:rPr>
                <w:b w:val="0"/>
                <w:i w:val="0"/>
                <w:sz w:val="16"/>
              </w:rPr>
              <w:t>Limited to coverage "for services under the FMSA"</w:t>
            </w:r>
          </w:p>
        </w:tc>
        <w:tc>
          <w:tcPr>
            <w:tcW w:type="dxa" w:w="3312"/>
          </w:tcPr>
          <w:p>
            <w:r/>
            <w:r>
              <w:rPr>
                <w:b w:val="0"/>
                <w:i w:val="0"/>
                <w:sz w:val="16"/>
              </w:rPr>
              <w:t>May be used to exclude pre-FMSA downgrade communications (Sept.–Dec. 2020)</w:t>
            </w:r>
          </w:p>
        </w:tc>
      </w:tr>
      <w:tr>
        <w:tc>
          <w:tcPr>
            <w:tcW w:type="dxa" w:w="648"/>
          </w:tcPr>
          <w:p>
            <w:r/>
            <w:r>
              <w:rPr>
                <w:b w:val="0"/>
                <w:i w:val="0"/>
                <w:sz w:val="16"/>
              </w:rPr>
              <w:t>26</w:t>
            </w:r>
          </w:p>
        </w:tc>
        <w:tc>
          <w:tcPr>
            <w:tcW w:type="dxa" w:w="2880"/>
          </w:tcPr>
          <w:p>
            <w:r/>
            <w:r>
              <w:rPr>
                <w:b w:val="0"/>
                <w:i w:val="0"/>
                <w:sz w:val="16"/>
              </w:rPr>
              <w:t>Includes (e): all documents on the 11 breach notices and Meridian's internal handling of them</w:t>
            </w:r>
          </w:p>
        </w:tc>
        <w:tc>
          <w:tcPr>
            <w:tcW w:type="dxa" w:w="2520"/>
          </w:tcPr>
          <w:p>
            <w:r/>
            <w:r>
              <w:rPr>
                <w:b w:val="0"/>
                <w:i w:val="0"/>
                <w:sz w:val="16"/>
              </w:rPr>
              <w:t>Termination plus PC volume shortfall; (e) omitted</w:t>
            </w:r>
          </w:p>
        </w:tc>
        <w:tc>
          <w:tcPr>
            <w:tcW w:type="dxa" w:w="3312"/>
          </w:tcPr>
          <w:p>
            <w:r/>
            <w:r>
              <w:rPr>
                <w:b w:val="0"/>
                <w:i w:val="0"/>
                <w:sz w:val="16"/>
              </w:rPr>
              <w:t>Most breach notices and internal responses missing</w:t>
            </w:r>
          </w:p>
        </w:tc>
      </w:tr>
      <w:tr>
        <w:tc>
          <w:tcPr>
            <w:tcW w:type="dxa" w:w="648"/>
          </w:tcPr>
          <w:p>
            <w:r/>
            <w:r>
              <w:rPr>
                <w:b w:val="0"/>
                <w:i w:val="0"/>
                <w:sz w:val="16"/>
              </w:rPr>
              <w:t>27</w:t>
            </w:r>
          </w:p>
        </w:tc>
        <w:tc>
          <w:tcPr>
            <w:tcW w:type="dxa" w:w="2880"/>
          </w:tcPr>
          <w:p>
            <w:r/>
            <w:r>
              <w:rPr>
                <w:b w:val="0"/>
                <w:i w:val="0"/>
                <w:sz w:val="16"/>
              </w:rPr>
              <w:t>Includes (e): materials exchanged with experts or consultants on counterclaim damages</w:t>
            </w:r>
          </w:p>
        </w:tc>
        <w:tc>
          <w:tcPr>
            <w:tcW w:type="dxa" w:w="2520"/>
          </w:tcPr>
          <w:p>
            <w:r/>
            <w:r>
              <w:rPr>
                <w:b w:val="0"/>
                <w:i w:val="0"/>
                <w:sz w:val="16"/>
              </w:rPr>
              <w:t>Omits (e)</w:t>
            </w:r>
          </w:p>
        </w:tc>
        <w:tc>
          <w:tcPr>
            <w:tcW w:type="dxa" w:w="3312"/>
          </w:tcPr>
          <w:p>
            <w:r/>
            <w:r>
              <w:rPr>
                <w:b w:val="0"/>
                <w:i w:val="0"/>
                <w:sz w:val="16"/>
              </w:rPr>
              <w:t>Consultant file behind MLC-003801 not produced</w:t>
            </w:r>
          </w:p>
        </w:tc>
      </w:tr>
    </w:tbl>
    <w:p>
      <w:pPr>
        <w:spacing w:after="40"/>
      </w:pPr>
    </w:p>
    <w:p>
      <w:pPr>
        <w:pStyle w:val="Heading2"/>
      </w:pPr>
      <w:r>
        <w:t>B. Timeliness, Boilerplate Objections, and Rule 34(b)(2)(C)</w:t>
      </w:r>
    </w:p>
    <w:p>
      <w:pPr>
        <w:pStyle w:val="ListBullet"/>
        <w:spacing w:after="60"/>
      </w:pPr>
      <w:r>
        <w:rPr>
          <w:b/>
          <w:i w:val="0"/>
        </w:rPr>
        <w:t>Untimely service.</w:t>
      </w:r>
      <w:r>
        <w:rPr>
          <w:b w:val="0"/>
          <w:i w:val="0"/>
        </w:rPr>
        <w:t xml:space="preserve"> Responses were due June 14, 2024 and were served June 28 (44 days after service). Unless a written extension exists, which we should confirm in our file, Meridian's objections are subject to a waiver argument (FRCP 34(b)(2)(A); *Richmark Corp. v. Timber Falling Consultants*, 959 F.2d 1468, 1473 (9th Cir. 1992)).</w:t>
      </w:r>
    </w:p>
    <w:p>
      <w:pPr>
        <w:pStyle w:val="ListBullet"/>
        <w:spacing w:after="60"/>
      </w:pPr>
      <w:r>
        <w:rPr>
          <w:b/>
          <w:i w:val="0"/>
        </w:rPr>
        <w:t>General objections.</w:t>
      </w:r>
      <w:r>
        <w:rPr>
          <w:b w:val="0"/>
          <w:i w:val="0"/>
        </w:rPr>
        <w:t xml:space="preserve"> The twelve boilerplate General Objections are "incorporated" into every response, contrary to our Instruction 8, and are disfavored in this District. General Objection 8 unilaterally converts every "all documents" request into "documents sufficient to show." That is not a valid Rule 34 objection and was applied in practice to RFPs 7, 9/10 and 17.</w:t>
      </w:r>
    </w:p>
    <w:p>
      <w:pPr>
        <w:pStyle w:val="ListBullet"/>
        <w:spacing w:after="60"/>
      </w:pPr>
      <w:r>
        <w:rPr>
          <w:b/>
          <w:i w:val="0"/>
        </w:rPr>
        <w:t>No statement of withholding.</w:t>
      </w:r>
      <w:r>
        <w:rPr>
          <w:b w:val="0"/>
          <w:i w:val="0"/>
        </w:rPr>
        <w:t xml:space="preserve"> Rule 34(b)(2)(C) requires a response to state whether responsive materials are being withheld on the basis of an objection. No response does so. The "subject to and without waiving" formulation leaves us unable to tell what was withheld, particularly for RFPs 6, 7, 9, 11, 15, 17 and 19.</w:t>
      </w:r>
    </w:p>
    <w:p>
      <w:pPr>
        <w:pStyle w:val="ListBullet"/>
        <w:spacing w:after="60"/>
      </w:pPr>
      <w:r>
        <w:rPr>
          <w:b/>
          <w:i w:val="0"/>
        </w:rPr>
        <w:t>Relevance objections contradicted by Meridian's own pleading.</w:t>
      </w:r>
      <w:r>
        <w:rPr>
          <w:b w:val="0"/>
          <w:i w:val="0"/>
        </w:rPr>
        <w:t xml:space="preserve"> RFP 16 was refused on the basis that enterprise financial reporting is "not probative." Yet Counterclaim ¶ 45 attributes Meridian's $215M → $162M revenue decline to Pacific Corridor, and ¶¶ 46–48, 52, 59 and 65 rely on "internal management reports," "board-level presentations" and "account-level profitability" analyses. The FY2020 financial condition is also an express element of the fraud claim (Compl. ¶¶ 30–35, 72–73). The objection is not tenable.</w:t>
      </w:r>
    </w:p>
    <w:p>
      <w:pPr>
        <w:pStyle w:val="ListBullet"/>
        <w:spacing w:after="60"/>
      </w:pPr>
      <w:r>
        <w:rPr>
          <w:b/>
          <w:i w:val="0"/>
        </w:rPr>
        <w:t>Protective Order inconsistency.</w:t>
      </w:r>
      <w:r>
        <w:rPr>
          <w:b w:val="0"/>
          <w:i w:val="0"/>
        </w:rPr>
        <w:t xml:space="preserve"> The responses reference a Protective Order "entered … on May 8, 2024," while Ms. Farouk's September 15 email references a "Stipulated Protective Order entered July 10, 2024." We should confirm the operative order from the docket. Either way, confidentiality is not a basis to delay production of RFP 8 documents; the order already provides for designations.</w:t>
      </w:r>
    </w:p>
    <w:p>
      <w:pPr>
        <w:pStyle w:val="Heading1"/>
      </w:pPr>
      <w:r>
        <w:t>IV. Request-by-Request Gap Analysis</w:t>
      </w:r>
    </w:p>
    <w:p>
      <w:pPr>
        <w:spacing w:after="120"/>
      </w:pPr>
      <w:r>
        <w:rPr>
          <w:b w:val="0"/>
          <w:i w:val="0"/>
        </w:rPr>
        <w:t>The severity ratings reflect how important each gap is to proving our claims or defeating the counterclaim. Bates citations refer to Meridian's production index.</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rPr>
          <w:tblHeader w:val="true"/>
        </w:trPr>
        <w:tc>
          <w:tcPr>
            <w:tcW w:type="dxa" w:w="576"/>
            <w:shd w:val="clear" w:color="auto" w:fill="1F3A5F"/>
          </w:tcPr>
          <w:p>
            <w:r/>
            <w:r>
              <w:rPr>
                <w:b/>
                <w:color w:val="FFFFFF"/>
                <w:sz w:val="15"/>
              </w:rPr>
              <w:t>RFP</w:t>
            </w:r>
          </w:p>
        </w:tc>
        <w:tc>
          <w:tcPr>
            <w:tcW w:type="dxa" w:w="1440"/>
            <w:shd w:val="clear" w:color="auto" w:fill="1F3A5F"/>
          </w:tcPr>
          <w:p>
            <w:r/>
            <w:r>
              <w:rPr>
                <w:b/>
                <w:color w:val="FFFFFF"/>
                <w:sz w:val="15"/>
              </w:rPr>
              <w:t>Subject</w:t>
            </w:r>
          </w:p>
        </w:tc>
        <w:tc>
          <w:tcPr>
            <w:tcW w:type="dxa" w:w="2160"/>
            <w:shd w:val="clear" w:color="auto" w:fill="1F3A5F"/>
          </w:tcPr>
          <w:p>
            <w:r/>
            <w:r>
              <w:rPr>
                <w:b/>
                <w:color w:val="FFFFFF"/>
                <w:sz w:val="15"/>
              </w:rPr>
              <w:t>What was produced</w:t>
            </w:r>
          </w:p>
        </w:tc>
        <w:tc>
          <w:tcPr>
            <w:tcW w:type="dxa" w:w="3024"/>
            <w:shd w:val="clear" w:color="auto" w:fill="1F3A5F"/>
          </w:tcPr>
          <w:p>
            <w:r/>
            <w:r>
              <w:rPr>
                <w:b/>
                <w:color w:val="FFFFFF"/>
                <w:sz w:val="15"/>
              </w:rPr>
              <w:t>Gap / Deficiency</w:t>
            </w:r>
          </w:p>
        </w:tc>
        <w:tc>
          <w:tcPr>
            <w:tcW w:type="dxa" w:w="864"/>
            <w:shd w:val="clear" w:color="auto" w:fill="1F3A5F"/>
          </w:tcPr>
          <w:p>
            <w:r/>
            <w:r>
              <w:rPr>
                <w:b/>
                <w:color w:val="FFFFFF"/>
                <w:sz w:val="15"/>
              </w:rPr>
              <w:t>Severity</w:t>
            </w:r>
          </w:p>
        </w:tc>
        <w:tc>
          <w:tcPr>
            <w:tcW w:type="dxa" w:w="1296"/>
            <w:shd w:val="clear" w:color="auto" w:fill="1F3A5F"/>
          </w:tcPr>
          <w:p>
            <w:r/>
            <w:r>
              <w:rPr>
                <w:b/>
                <w:color w:val="FFFFFF"/>
                <w:sz w:val="15"/>
              </w:rPr>
              <w:t>Recommended action</w:t>
            </w:r>
          </w:p>
        </w:tc>
      </w:tr>
      <w:tr>
        <w:tc>
          <w:tcPr>
            <w:tcW w:type="dxa" w:w="576"/>
          </w:tcPr>
          <w:p>
            <w:r/>
            <w:r>
              <w:rPr>
                <w:b w:val="0"/>
                <w:i w:val="0"/>
                <w:sz w:val="15"/>
              </w:rPr>
              <w:t>1</w:t>
            </w:r>
          </w:p>
        </w:tc>
        <w:tc>
          <w:tcPr>
            <w:tcW w:type="dxa" w:w="1440"/>
          </w:tcPr>
          <w:p>
            <w:r/>
            <w:r>
              <w:rPr>
                <w:b w:val="0"/>
                <w:i w:val="0"/>
                <w:sz w:val="15"/>
              </w:rPr>
              <w:t>FMSA drafts, term sheets</w:t>
            </w:r>
          </w:p>
        </w:tc>
        <w:tc>
          <w:tcPr>
            <w:tcW w:type="dxa" w:w="2160"/>
          </w:tcPr>
          <w:p>
            <w:r/>
            <w:r>
              <w:rPr>
                <w:b w:val="0"/>
                <w:i w:val="0"/>
                <w:sz w:val="15"/>
              </w:rPr>
              <w:t>Executed FMSA (MLC-000001) and 4 drafts, 2 term sheets (MLC-000046–000108). Response promised "two prior drafts"</w:t>
            </w:r>
          </w:p>
        </w:tc>
        <w:tc>
          <w:tcPr>
            <w:tcW w:type="dxa" w:w="3024"/>
          </w:tcPr>
          <w:p>
            <w:r/>
            <w:r>
              <w:rPr>
                <w:b w:val="0"/>
                <w:i w:val="0"/>
                <w:sz w:val="15"/>
              </w:rPr>
              <w:t>Attorney redlines not logged except PRIV-32. The Nov. 12, 2020 term sheet is "version 2"; confirm any other versions. No drafts between Jan. 15 and Mar. 15, 2021 (Feb. 28 final draft only logged)</w:t>
            </w:r>
          </w:p>
        </w:tc>
        <w:tc>
          <w:tcPr>
            <w:tcW w:type="dxa" w:w="864"/>
            <w:shd w:val="clear" w:color="auto" w:fill="FFF2CC"/>
          </w:tcPr>
          <w:p>
            <w:r/>
            <w:r>
              <w:rPr>
                <w:b w:val="0"/>
                <w:i w:val="0"/>
                <w:sz w:val="15"/>
              </w:rPr>
              <w:t>Medium</w:t>
            </w:r>
          </w:p>
        </w:tc>
        <w:tc>
          <w:tcPr>
            <w:tcW w:type="dxa" w:w="1296"/>
          </w:tcPr>
          <w:p>
            <w:r/>
            <w:r>
              <w:rPr>
                <w:b w:val="0"/>
                <w:i w:val="0"/>
                <w:sz w:val="15"/>
              </w:rPr>
              <w:t>Confirm completeness; log all withheld drafts individually</w:t>
            </w:r>
          </w:p>
        </w:tc>
      </w:tr>
      <w:tr>
        <w:tc>
          <w:tcPr>
            <w:tcW w:type="dxa" w:w="576"/>
          </w:tcPr>
          <w:p>
            <w:r/>
            <w:r>
              <w:rPr>
                <w:b w:val="0"/>
                <w:i w:val="0"/>
                <w:sz w:val="15"/>
              </w:rPr>
              <w:t>2</w:t>
            </w:r>
          </w:p>
        </w:tc>
        <w:tc>
          <w:tcPr>
            <w:tcW w:type="dxa" w:w="1440"/>
          </w:tcPr>
          <w:p>
            <w:r/>
            <w:r>
              <w:rPr>
                <w:b w:val="0"/>
                <w:i w:val="0"/>
                <w:sz w:val="15"/>
              </w:rPr>
              <w:t>Due-diligence materials given to PC</w:t>
            </w:r>
          </w:p>
        </w:tc>
        <w:tc>
          <w:tcPr>
            <w:tcW w:type="dxa" w:w="2160"/>
          </w:tcPr>
          <w:p>
            <w:r/>
            <w:r>
              <w:rPr>
                <w:b w:val="0"/>
                <w:i w:val="0"/>
                <w:sz w:val="15"/>
              </w:rPr>
              <w:t>Fleet Capacity Report (MLC-000240) and COI (MLC-002399) only, coded elsewhere</w:t>
            </w:r>
          </w:p>
        </w:tc>
        <w:tc>
          <w:tcPr>
            <w:tcW w:type="dxa" w:w="3024"/>
          </w:tcPr>
          <w:p>
            <w:r/>
            <w:r>
              <w:rPr>
                <w:b/>
                <w:i w:val="0"/>
                <w:sz w:val="15"/>
              </w:rPr>
              <w:t>FY2020 unaudited financial statements ($31.4M EBITDA) not produced</w:t>
            </w:r>
            <w:r>
              <w:rPr>
                <w:b w:val="0"/>
                <w:i w:val="0"/>
                <w:sz w:val="15"/>
              </w:rPr>
              <w:t>; no capability decks, financial summaries, reference lists, safety records or transmittal e-mails</w:t>
            </w:r>
          </w:p>
        </w:tc>
        <w:tc>
          <w:tcPr>
            <w:tcW w:type="dxa" w:w="864"/>
            <w:shd w:val="clear" w:color="auto" w:fill="F4CCCC"/>
          </w:tcPr>
          <w:p>
            <w:r/>
            <w:r>
              <w:rPr>
                <w:b w:val="0"/>
                <w:i w:val="0"/>
                <w:sz w:val="15"/>
              </w:rPr>
              <w:t>Critical</w:t>
            </w:r>
          </w:p>
        </w:tc>
        <w:tc>
          <w:tcPr>
            <w:tcW w:type="dxa" w:w="1296"/>
          </w:tcPr>
          <w:p>
            <w:r/>
            <w:r>
              <w:rPr>
                <w:b w:val="0"/>
                <w:i w:val="0"/>
                <w:sz w:val="15"/>
              </w:rPr>
              <w:t>Compel full response to the RFP as served</w:t>
            </w:r>
          </w:p>
        </w:tc>
      </w:tr>
      <w:tr>
        <w:tc>
          <w:tcPr>
            <w:tcW w:type="dxa" w:w="576"/>
          </w:tcPr>
          <w:p>
            <w:r/>
            <w:r>
              <w:rPr>
                <w:b w:val="0"/>
                <w:i w:val="0"/>
                <w:sz w:val="15"/>
              </w:rPr>
              <w:t>3</w:t>
            </w:r>
          </w:p>
        </w:tc>
        <w:tc>
          <w:tcPr>
            <w:tcW w:type="dxa" w:w="1440"/>
          </w:tcPr>
          <w:p>
            <w:r/>
            <w:r>
              <w:rPr>
                <w:b w:val="0"/>
                <w:i w:val="0"/>
                <w:sz w:val="15"/>
              </w:rPr>
              <w:t>Internal deal analyses</w:t>
            </w:r>
          </w:p>
        </w:tc>
        <w:tc>
          <w:tcPr>
            <w:tcW w:type="dxa" w:w="2160"/>
          </w:tcPr>
          <w:p>
            <w:r/>
            <w:r>
              <w:rPr>
                <w:b w:val="0"/>
                <w:i w:val="0"/>
                <w:sz w:val="15"/>
              </w:rPr>
              <w:t>MLC-000170–000232, -000346, -000366 (revenue projections, feasibility, competitive analysis)</w:t>
            </w:r>
          </w:p>
        </w:tc>
        <w:tc>
          <w:tcPr>
            <w:tcW w:type="dxa" w:w="3024"/>
          </w:tcPr>
          <w:p>
            <w:r/>
            <w:r>
              <w:rPr>
                <w:b w:val="0"/>
                <w:i w:val="0"/>
                <w:sz w:val="15"/>
              </w:rPr>
              <w:t>No risk assessments, margin/pricing models or pricing approvals; Oct. 30, 2020 Brisk–Hale fleet-capacity email chain produced, but no Hale-side files</w:t>
            </w:r>
          </w:p>
        </w:tc>
        <w:tc>
          <w:tcPr>
            <w:tcW w:type="dxa" w:w="864"/>
            <w:shd w:val="clear" w:color="auto" w:fill="FFF2CC"/>
          </w:tcPr>
          <w:p>
            <w:r/>
            <w:r>
              <w:rPr>
                <w:b w:val="0"/>
                <w:i w:val="0"/>
                <w:sz w:val="15"/>
              </w:rPr>
              <w:t>Medium</w:t>
            </w:r>
          </w:p>
        </w:tc>
        <w:tc>
          <w:tcPr>
            <w:tcW w:type="dxa" w:w="1296"/>
          </w:tcPr>
          <w:p>
            <w:r/>
            <w:r>
              <w:rPr>
                <w:b w:val="0"/>
                <w:i w:val="0"/>
                <w:sz w:val="15"/>
              </w:rPr>
              <w:t>Compel risk and pricing analyses</w:t>
            </w:r>
          </w:p>
        </w:tc>
      </w:tr>
      <w:tr>
        <w:tc>
          <w:tcPr>
            <w:tcW w:type="dxa" w:w="576"/>
          </w:tcPr>
          <w:p>
            <w:r/>
            <w:r>
              <w:rPr>
                <w:b w:val="0"/>
                <w:i w:val="0"/>
                <w:sz w:val="15"/>
              </w:rPr>
              <w:t>4</w:t>
            </w:r>
          </w:p>
        </w:tc>
        <w:tc>
          <w:tcPr>
            <w:tcW w:type="dxa" w:w="1440"/>
          </w:tcPr>
          <w:p>
            <w:r/>
            <w:r>
              <w:rPr>
                <w:b w:val="0"/>
                <w:i w:val="0"/>
                <w:sz w:val="15"/>
              </w:rPr>
              <w:t>Broker/finder agreements</w:t>
            </w:r>
          </w:p>
        </w:tc>
        <w:tc>
          <w:tcPr>
            <w:tcW w:type="dxa" w:w="2160"/>
          </w:tcPr>
          <w:p>
            <w:r/>
            <w:r>
              <w:rPr>
                <w:b w:val="0"/>
                <w:i w:val="0"/>
                <w:sz w:val="15"/>
              </w:rPr>
              <w:t>None; Meridian states none exist</w:t>
            </w:r>
          </w:p>
        </w:tc>
        <w:tc>
          <w:tcPr>
            <w:tcW w:type="dxa" w:w="3024"/>
          </w:tcPr>
          <w:p>
            <w:r/>
            <w:r>
              <w:rPr>
                <w:b w:val="0"/>
                <w:i w:val="0"/>
                <w:sz w:val="15"/>
              </w:rPr>
              <w:t>Index codes implementation documents as "4," which shows the coding is unreliable</w:t>
            </w:r>
          </w:p>
        </w:tc>
        <w:tc>
          <w:tcPr>
            <w:tcW w:type="dxa" w:w="864"/>
            <w:shd w:val="clear" w:color="auto" w:fill="D9EAD3"/>
          </w:tcPr>
          <w:p>
            <w:r/>
            <w:r>
              <w:rPr>
                <w:b w:val="0"/>
                <w:i w:val="0"/>
                <w:sz w:val="15"/>
              </w:rPr>
              <w:t>Low</w:t>
            </w:r>
          </w:p>
        </w:tc>
        <w:tc>
          <w:tcPr>
            <w:tcW w:type="dxa" w:w="1296"/>
          </w:tcPr>
          <w:p>
            <w:r/>
            <w:r>
              <w:rPr>
                <w:b w:val="0"/>
                <w:i w:val="0"/>
                <w:sz w:val="15"/>
              </w:rPr>
              <w:t>Accept, subject to verification in 30(b)(6)</w:t>
            </w:r>
          </w:p>
        </w:tc>
      </w:tr>
      <w:tr>
        <w:tc>
          <w:tcPr>
            <w:tcW w:type="dxa" w:w="576"/>
          </w:tcPr>
          <w:p>
            <w:r/>
            <w:r>
              <w:rPr>
                <w:b w:val="0"/>
                <w:i w:val="0"/>
                <w:sz w:val="15"/>
              </w:rPr>
              <w:t>5</w:t>
            </w:r>
          </w:p>
        </w:tc>
        <w:tc>
          <w:tcPr>
            <w:tcW w:type="dxa" w:w="1440"/>
          </w:tcPr>
          <w:p>
            <w:r/>
            <w:r>
              <w:rPr>
                <w:b w:val="0"/>
                <w:i w:val="0"/>
                <w:sz w:val="15"/>
              </w:rPr>
              <w:t>Board minutes and materials re FMSA</w:t>
            </w:r>
          </w:p>
        </w:tc>
        <w:tc>
          <w:tcPr>
            <w:tcW w:type="dxa" w:w="2160"/>
          </w:tcPr>
          <w:p>
            <w:r/>
            <w:r>
              <w:rPr>
                <w:b/>
                <w:i w:val="0"/>
                <w:sz w:val="15"/>
              </w:rPr>
              <w:t>Zero</w:t>
            </w:r>
            <w:r>
              <w:rPr>
                <w:b w:val="0"/>
                <w:i w:val="0"/>
                <w:sz w:val="15"/>
              </w:rPr>
              <w:t xml:space="preserve"> documents; no log entries</w:t>
            </w:r>
          </w:p>
        </w:tc>
        <w:tc>
          <w:tcPr>
            <w:tcW w:type="dxa" w:w="3024"/>
          </w:tcPr>
          <w:p>
            <w:r/>
            <w:r>
              <w:rPr>
                <w:b w:val="0"/>
                <w:i w:val="0"/>
                <w:sz w:val="15"/>
              </w:rPr>
              <w:t>Meridian agreed to produce. An exclusive five-year contract with a major customer almost certainly went to the board. Counterclaim ¶ 48 cites board presentations</w:t>
            </w:r>
          </w:p>
        </w:tc>
        <w:tc>
          <w:tcPr>
            <w:tcW w:type="dxa" w:w="864"/>
            <w:shd w:val="clear" w:color="auto" w:fill="F4CCCC"/>
          </w:tcPr>
          <w:p>
            <w:r/>
            <w:r>
              <w:rPr>
                <w:b w:val="0"/>
                <w:i w:val="0"/>
                <w:sz w:val="15"/>
              </w:rPr>
              <w:t>Critical</w:t>
            </w:r>
          </w:p>
        </w:tc>
        <w:tc>
          <w:tcPr>
            <w:tcW w:type="dxa" w:w="1296"/>
          </w:tcPr>
          <w:p>
            <w:r/>
            <w:r>
              <w:rPr>
                <w:b w:val="0"/>
                <w:i w:val="0"/>
                <w:sz w:val="15"/>
              </w:rPr>
              <w:t>Compel; or require a sworn statement that none exist</w:t>
            </w:r>
          </w:p>
        </w:tc>
      </w:tr>
      <w:tr>
        <w:tc>
          <w:tcPr>
            <w:tcW w:type="dxa" w:w="576"/>
          </w:tcPr>
          <w:p>
            <w:r/>
            <w:r>
              <w:rPr>
                <w:b w:val="0"/>
                <w:i w:val="0"/>
                <w:sz w:val="15"/>
              </w:rPr>
              <w:t>6</w:t>
            </w:r>
          </w:p>
        </w:tc>
        <w:tc>
          <w:tcPr>
            <w:tcW w:type="dxa" w:w="1440"/>
          </w:tcPr>
          <w:p>
            <w:r/>
            <w:r>
              <w:rPr>
                <w:b w:val="0"/>
                <w:i w:val="0"/>
                <w:sz w:val="15"/>
              </w:rPr>
              <w:t>Monthly fleet rosters 2019 – present</w:t>
            </w:r>
          </w:p>
        </w:tc>
        <w:tc>
          <w:tcPr>
            <w:tcW w:type="dxa" w:w="2160"/>
          </w:tcPr>
          <w:p>
            <w:r/>
            <w:r>
              <w:rPr>
                <w:b w:val="0"/>
                <w:i w:val="0"/>
                <w:sz w:val="15"/>
              </w:rPr>
              <w:t>3 annual rosters (Mar. 1, 2021; Jan. 1, 2022; Jan. 1, 2023) and 4 PC deployment reports</w:t>
            </w:r>
          </w:p>
        </w:tc>
        <w:tc>
          <w:tcPr>
            <w:tcW w:type="dxa" w:w="3024"/>
          </w:tcPr>
          <w:p>
            <w:r/>
            <w:r>
              <w:rPr>
                <w:b/>
                <w:i w:val="0"/>
                <w:sz w:val="15"/>
              </w:rPr>
              <w:t>No roster for Oct. 2020 – Feb. 2021</w:t>
            </w:r>
            <w:r>
              <w:rPr>
                <w:b w:val="0"/>
                <w:i w:val="0"/>
                <w:sz w:val="15"/>
              </w:rPr>
              <w:t xml:space="preserve"> (the date of the Jan. 8, 2021 report), although Meridian promised Oct. 2020 onward. No 2019–2020 or monthly data. Final pre-contract roster is logged as PRIV-16</w:t>
            </w:r>
          </w:p>
        </w:tc>
        <w:tc>
          <w:tcPr>
            <w:tcW w:type="dxa" w:w="864"/>
            <w:shd w:val="clear" w:color="auto" w:fill="F4CCCC"/>
          </w:tcPr>
          <w:p>
            <w:r/>
            <w:r>
              <w:rPr>
                <w:b w:val="0"/>
                <w:i w:val="0"/>
                <w:sz w:val="15"/>
              </w:rPr>
              <w:t>Critical</w:t>
            </w:r>
          </w:p>
        </w:tc>
        <w:tc>
          <w:tcPr>
            <w:tcW w:type="dxa" w:w="1296"/>
          </w:tcPr>
          <w:p>
            <w:r/>
            <w:r>
              <w:rPr>
                <w:b w:val="0"/>
                <w:i w:val="0"/>
                <w:sz w:val="15"/>
              </w:rPr>
              <w:t>Compel monthly rosters; challenge PRIV-16</w:t>
            </w:r>
          </w:p>
        </w:tc>
      </w:tr>
      <w:tr>
        <w:tc>
          <w:tcPr>
            <w:tcW w:type="dxa" w:w="576"/>
          </w:tcPr>
          <w:p>
            <w:r/>
            <w:r>
              <w:rPr>
                <w:b w:val="0"/>
                <w:i w:val="0"/>
                <w:sz w:val="15"/>
              </w:rPr>
              <w:t>7</w:t>
            </w:r>
          </w:p>
        </w:tc>
        <w:tc>
          <w:tcPr>
            <w:tcW w:type="dxa" w:w="1440"/>
          </w:tcPr>
          <w:p>
            <w:r/>
            <w:r>
              <w:rPr>
                <w:b w:val="0"/>
                <w:i w:val="0"/>
                <w:sz w:val="15"/>
              </w:rPr>
              <w:t>Titles, registrations, leases, financing</w:t>
            </w:r>
          </w:p>
        </w:tc>
        <w:tc>
          <w:tcPr>
            <w:tcW w:type="dxa" w:w="2160"/>
          </w:tcPr>
          <w:p>
            <w:r/>
            <w:r>
              <w:rPr>
                <w:b w:val="0"/>
                <w:i w:val="0"/>
                <w:sz w:val="15"/>
              </w:rPr>
              <w:t xml:space="preserve">Registrations for 115 owned tractors (T001–T115) and 74 trailers; National Fleet Leasing master lease (35 tractors, </w:t>
            </w:r>
            <w:r>
              <w:rPr>
                <w:b/>
                <w:i w:val="0"/>
                <w:sz w:val="15"/>
              </w:rPr>
              <w:t>dated Apr. 1, 2021</w:t>
            </w:r>
            <w:r>
              <w:rPr>
                <w:b w:val="0"/>
                <w:i w:val="0"/>
                <w:sz w:val="15"/>
              </w:rPr>
              <w:t>) and schedule 2</w:t>
            </w:r>
          </w:p>
        </w:tc>
        <w:tc>
          <w:tcPr>
            <w:tcW w:type="dxa" w:w="3024"/>
          </w:tcPr>
          <w:p>
            <w:r/>
            <w:r>
              <w:rPr>
                <w:b w:val="0"/>
                <w:i w:val="0"/>
                <w:sz w:val="15"/>
              </w:rPr>
              <w:t xml:space="preserve">"Representative samples." No title or financing documents. </w:t>
            </w:r>
            <w:r>
              <w:rPr>
                <w:b/>
                <w:i w:val="0"/>
                <w:sz w:val="15"/>
              </w:rPr>
              <w:t>The only tractor lease post-dates the FMSA.</w:t>
            </w:r>
            <w:r>
              <w:rPr>
                <w:b w:val="0"/>
                <w:i w:val="0"/>
                <w:sz w:val="15"/>
              </w:rPr>
              <w:t xml:space="preserve"> Tractor count as of Jan. 2021 may be lower than even the pleaded 189 (to be analysed)</w:t>
            </w:r>
          </w:p>
        </w:tc>
        <w:tc>
          <w:tcPr>
            <w:tcW w:type="dxa" w:w="864"/>
            <w:shd w:val="clear" w:color="auto" w:fill="FCE5CD"/>
          </w:tcPr>
          <w:p>
            <w:r/>
            <w:r>
              <w:rPr>
                <w:b w:val="0"/>
                <w:i w:val="0"/>
                <w:sz w:val="15"/>
              </w:rPr>
              <w:t>High</w:t>
            </w:r>
          </w:p>
        </w:tc>
        <w:tc>
          <w:tcPr>
            <w:tcW w:type="dxa" w:w="1296"/>
          </w:tcPr>
          <w:p>
            <w:r/>
            <w:r>
              <w:rPr>
                <w:b w:val="0"/>
                <w:i w:val="0"/>
                <w:sz w:val="15"/>
              </w:rPr>
              <w:t>Compel complete asset register; have a forensic accountant reconcile to 347 / 189</w:t>
            </w:r>
          </w:p>
        </w:tc>
      </w:tr>
      <w:tr>
        <w:tc>
          <w:tcPr>
            <w:tcW w:type="dxa" w:w="576"/>
          </w:tcPr>
          <w:p>
            <w:r/>
            <w:r>
              <w:rPr>
                <w:b w:val="0"/>
                <w:i w:val="0"/>
                <w:sz w:val="15"/>
              </w:rPr>
              <w:t>8</w:t>
            </w:r>
          </w:p>
        </w:tc>
        <w:tc>
          <w:tcPr>
            <w:tcW w:type="dxa" w:w="1440"/>
          </w:tcPr>
          <w:p>
            <w:r/>
            <w:r>
              <w:rPr>
                <w:b w:val="0"/>
                <w:i w:val="0"/>
                <w:sz w:val="15"/>
              </w:rPr>
              <w:t>Subcontractor/affiliate arrangements</w:t>
            </w:r>
          </w:p>
        </w:tc>
        <w:tc>
          <w:tcPr>
            <w:tcW w:type="dxa" w:w="2160"/>
          </w:tcPr>
          <w:p>
            <w:r/>
            <w:r>
              <w:rPr>
                <w:b/>
                <w:i w:val="0"/>
                <w:sz w:val="15"/>
              </w:rPr>
              <w:t>Zero</w:t>
            </w:r>
            <w:r>
              <w:rPr>
                <w:b w:val="0"/>
                <w:i w:val="0"/>
                <w:sz w:val="15"/>
              </w:rPr>
              <w:t xml:space="preserve"> documents</w:t>
            </w:r>
          </w:p>
        </w:tc>
        <w:tc>
          <w:tcPr>
            <w:tcW w:type="dxa" w:w="3024"/>
          </w:tcPr>
          <w:p>
            <w:r/>
            <w:r>
              <w:rPr>
                <w:b w:val="0"/>
                <w:i w:val="0"/>
                <w:sz w:val="15"/>
              </w:rPr>
              <w:t>Promised in June; "limited number" identified on Sept. 15 but still "under review." Rate confirmations, settlements, carrier packets and COIs must exist for about 158 trucks. PRIV-18 references subcontractor estimates</w:t>
            </w:r>
          </w:p>
        </w:tc>
        <w:tc>
          <w:tcPr>
            <w:tcW w:type="dxa" w:w="864"/>
            <w:shd w:val="clear" w:color="auto" w:fill="F4CCCC"/>
          </w:tcPr>
          <w:p>
            <w:r/>
            <w:r>
              <w:rPr>
                <w:b w:val="0"/>
                <w:i w:val="0"/>
                <w:sz w:val="15"/>
              </w:rPr>
              <w:t>Critical</w:t>
            </w:r>
          </w:p>
        </w:tc>
        <w:tc>
          <w:tcPr>
            <w:tcW w:type="dxa" w:w="1296"/>
          </w:tcPr>
          <w:p>
            <w:r/>
            <w:r>
              <w:rPr>
                <w:b w:val="0"/>
                <w:i w:val="0"/>
                <w:sz w:val="15"/>
              </w:rPr>
              <w:t>Compel with a date certain; 30(b)(6); AP vendor ledger for carrier payments</w:t>
            </w:r>
          </w:p>
        </w:tc>
      </w:tr>
      <w:tr>
        <w:tc>
          <w:tcPr>
            <w:tcW w:type="dxa" w:w="576"/>
          </w:tcPr>
          <w:p>
            <w:r/>
            <w:r>
              <w:rPr>
                <w:b w:val="0"/>
                <w:i w:val="0"/>
                <w:sz w:val="15"/>
              </w:rPr>
              <w:t>9</w:t>
            </w:r>
          </w:p>
        </w:tc>
        <w:tc>
          <w:tcPr>
            <w:tcW w:type="dxa" w:w="1440"/>
          </w:tcPr>
          <w:p>
            <w:r/>
            <w:r>
              <w:rPr>
                <w:b w:val="0"/>
                <w:i w:val="0"/>
                <w:sz w:val="15"/>
              </w:rPr>
              <w:t>Maintenance / out-of-service records</w:t>
            </w:r>
          </w:p>
        </w:tc>
        <w:tc>
          <w:tcPr>
            <w:tcW w:type="dxa" w:w="2160"/>
          </w:tcPr>
          <w:p>
            <w:r/>
            <w:r>
              <w:rPr>
                <w:b w:val="0"/>
                <w:i w:val="0"/>
                <w:sz w:val="15"/>
              </w:rPr>
              <w:t>6 quarterly PM logs, Q2 2021 – Q3 2022 (MLC-000739–000820)</w:t>
            </w:r>
          </w:p>
        </w:tc>
        <w:tc>
          <w:tcPr>
            <w:tcW w:type="dxa" w:w="3024"/>
          </w:tcPr>
          <w:p>
            <w:r/>
            <w:r>
              <w:rPr>
                <w:b/>
                <w:i w:val="0"/>
                <w:sz w:val="15"/>
              </w:rPr>
              <w:t>Q4 2022 – Q3 2023 missing</w:t>
            </w:r>
            <w:r>
              <w:rPr>
                <w:b w:val="0"/>
                <w:i w:val="0"/>
                <w:sz w:val="15"/>
              </w:rPr>
              <w:t>; no repair orders, inspection forms or out-of-service reports (relevant to availability and to the capitalized-maintenance issue)</w:t>
            </w:r>
          </w:p>
        </w:tc>
        <w:tc>
          <w:tcPr>
            <w:tcW w:type="dxa" w:w="864"/>
            <w:shd w:val="clear" w:color="auto" w:fill="FCE5CD"/>
          </w:tcPr>
          <w:p>
            <w:r/>
            <w:r>
              <w:rPr>
                <w:b w:val="0"/>
                <w:i w:val="0"/>
                <w:sz w:val="15"/>
              </w:rPr>
              <w:t>High</w:t>
            </w:r>
          </w:p>
        </w:tc>
        <w:tc>
          <w:tcPr>
            <w:tcW w:type="dxa" w:w="1296"/>
          </w:tcPr>
          <w:p>
            <w:r/>
            <w:r>
              <w:rPr>
                <w:b w:val="0"/>
                <w:i w:val="0"/>
                <w:sz w:val="15"/>
              </w:rPr>
              <w:t>Compel full period and records</w:t>
            </w:r>
          </w:p>
        </w:tc>
      </w:tr>
      <w:tr>
        <w:tc>
          <w:tcPr>
            <w:tcW w:type="dxa" w:w="576"/>
          </w:tcPr>
          <w:p>
            <w:r/>
            <w:r>
              <w:rPr>
                <w:b w:val="0"/>
                <w:i w:val="0"/>
                <w:sz w:val="15"/>
              </w:rPr>
              <w:t>10</w:t>
            </w:r>
          </w:p>
        </w:tc>
        <w:tc>
          <w:tcPr>
            <w:tcW w:type="dxa" w:w="1440"/>
          </w:tcPr>
          <w:p>
            <w:r/>
            <w:r>
              <w:rPr>
                <w:b w:val="0"/>
                <w:i w:val="0"/>
                <w:sz w:val="15"/>
              </w:rPr>
              <w:t>Fleet Capacity Report drafts, source data and communications</w:t>
            </w:r>
          </w:p>
        </w:tc>
        <w:tc>
          <w:tcPr>
            <w:tcW w:type="dxa" w:w="2160"/>
          </w:tcPr>
          <w:p>
            <w:r/>
            <w:r>
              <w:rPr>
                <w:b w:val="0"/>
                <w:i w:val="0"/>
                <w:sz w:val="15"/>
              </w:rPr>
              <w:t>Final report only (MLC-000240)</w:t>
            </w:r>
          </w:p>
        </w:tc>
        <w:tc>
          <w:tcPr>
            <w:tcW w:type="dxa" w:w="3024"/>
          </w:tcPr>
          <w:p>
            <w:r/>
            <w:r>
              <w:rPr>
                <w:b/>
                <w:i w:val="0"/>
                <w:sz w:val="15"/>
              </w:rPr>
              <w:t>Never responded to.</w:t>
            </w:r>
            <w:r>
              <w:rPr>
                <w:b w:val="0"/>
                <w:i w:val="0"/>
                <w:sz w:val="15"/>
              </w:rPr>
              <w:t xml:space="preserve"> Drafts and roster compilation appear on the log (PRIV-12, -14, -16) with no lawyer on them</w:t>
            </w:r>
          </w:p>
        </w:tc>
        <w:tc>
          <w:tcPr>
            <w:tcW w:type="dxa" w:w="864"/>
            <w:shd w:val="clear" w:color="auto" w:fill="F4CCCC"/>
          </w:tcPr>
          <w:p>
            <w:r/>
            <w:r>
              <w:rPr>
                <w:b w:val="0"/>
                <w:i w:val="0"/>
                <w:sz w:val="15"/>
              </w:rPr>
              <w:t>Critical</w:t>
            </w:r>
          </w:p>
        </w:tc>
        <w:tc>
          <w:tcPr>
            <w:tcW w:type="dxa" w:w="1296"/>
          </w:tcPr>
          <w:p>
            <w:r/>
            <w:r>
              <w:rPr>
                <w:b w:val="0"/>
                <w:i w:val="0"/>
                <w:sz w:val="15"/>
              </w:rPr>
              <w:t>Compel; de-designate the log entries</w:t>
            </w:r>
          </w:p>
        </w:tc>
      </w:tr>
      <w:tr>
        <w:tc>
          <w:tcPr>
            <w:tcW w:type="dxa" w:w="576"/>
          </w:tcPr>
          <w:p>
            <w:r/>
            <w:r>
              <w:rPr>
                <w:b w:val="0"/>
                <w:i w:val="0"/>
                <w:sz w:val="15"/>
              </w:rPr>
              <w:t>11</w:t>
            </w:r>
          </w:p>
        </w:tc>
        <w:tc>
          <w:tcPr>
            <w:tcW w:type="dxa" w:w="1440"/>
          </w:tcPr>
          <w:p>
            <w:r/>
            <w:r>
              <w:rPr>
                <w:b w:val="0"/>
                <w:i w:val="0"/>
                <w:sz w:val="15"/>
              </w:rPr>
              <w:t>Insurance policies 2020 – present</w:t>
            </w:r>
          </w:p>
        </w:tc>
        <w:tc>
          <w:tcPr>
            <w:tcW w:type="dxa" w:w="2160"/>
          </w:tcPr>
          <w:p>
            <w:r/>
            <w:r>
              <w:rPr>
                <w:b w:val="0"/>
                <w:i w:val="0"/>
                <w:sz w:val="15"/>
              </w:rPr>
              <w:t>Only the 2022 policy (MLC-002341), 4 endorsements from 2022, the 2022 renewal letter</w:t>
            </w:r>
          </w:p>
        </w:tc>
        <w:tc>
          <w:tcPr>
            <w:tcW w:type="dxa" w:w="3024"/>
          </w:tcPr>
          <w:p>
            <w:r/>
            <w:r>
              <w:rPr>
                <w:b/>
                <w:i w:val="0"/>
                <w:sz w:val="15"/>
              </w:rPr>
              <w:t>No 2020, 2021 or 2023 policies or declarations.</w:t>
            </w:r>
            <w:r>
              <w:rPr>
                <w:b w:val="0"/>
                <w:i w:val="0"/>
                <w:sz w:val="15"/>
              </w:rPr>
              <w:t xml:space="preserve"> The Dec. 1, 2020 downgrade endorsement is only on the log (PRIV-36). Endorsement No. 2 (Apr. 1, 2022, "modifying cargo sublimits") needs close review</w:t>
            </w:r>
          </w:p>
        </w:tc>
        <w:tc>
          <w:tcPr>
            <w:tcW w:type="dxa" w:w="864"/>
            <w:shd w:val="clear" w:color="auto" w:fill="F4CCCC"/>
          </w:tcPr>
          <w:p>
            <w:r/>
            <w:r>
              <w:rPr>
                <w:b w:val="0"/>
                <w:i w:val="0"/>
                <w:sz w:val="15"/>
              </w:rPr>
              <w:t>Critical</w:t>
            </w:r>
          </w:p>
        </w:tc>
        <w:tc>
          <w:tcPr>
            <w:tcW w:type="dxa" w:w="1296"/>
          </w:tcPr>
          <w:p>
            <w:r/>
            <w:r>
              <w:rPr>
                <w:b w:val="0"/>
                <w:i w:val="0"/>
                <w:sz w:val="15"/>
              </w:rPr>
              <w:t>Compel; Rule 45 subpoena to Pinnacle Fleet</w:t>
            </w:r>
          </w:p>
        </w:tc>
      </w:tr>
      <w:tr>
        <w:tc>
          <w:tcPr>
            <w:tcW w:type="dxa" w:w="576"/>
          </w:tcPr>
          <w:p>
            <w:r/>
            <w:r>
              <w:rPr>
                <w:b w:val="0"/>
                <w:i w:val="0"/>
                <w:sz w:val="15"/>
              </w:rPr>
              <w:t>12</w:t>
            </w:r>
          </w:p>
        </w:tc>
        <w:tc>
          <w:tcPr>
            <w:tcW w:type="dxa" w:w="1440"/>
          </w:tcPr>
          <w:p>
            <w:r/>
            <w:r>
              <w:rPr>
                <w:b w:val="0"/>
                <w:i w:val="0"/>
                <w:sz w:val="15"/>
              </w:rPr>
              <w:t>COIs given to PC</w:t>
            </w:r>
          </w:p>
        </w:tc>
        <w:tc>
          <w:tcPr>
            <w:tcW w:type="dxa" w:w="2160"/>
          </w:tcPr>
          <w:p>
            <w:r/>
            <w:r>
              <w:rPr>
                <w:b w:val="0"/>
                <w:i w:val="0"/>
                <w:sz w:val="15"/>
              </w:rPr>
              <w:t>Jan. 12, 2021 COI only</w:t>
            </w:r>
          </w:p>
        </w:tc>
        <w:tc>
          <w:tcPr>
            <w:tcW w:type="dxa" w:w="3024"/>
          </w:tcPr>
          <w:p>
            <w:r/>
            <w:r>
              <w:rPr>
                <w:b w:val="0"/>
                <w:i w:val="0"/>
                <w:sz w:val="15"/>
              </w:rPr>
              <w:t>No renewal COIs, although FMSA required $5M coverage throughout the term (Compl. ¶ 39(b)). Also no COIs for the 2022 additional-insured endorsement</w:t>
            </w:r>
          </w:p>
        </w:tc>
        <w:tc>
          <w:tcPr>
            <w:tcW w:type="dxa" w:w="864"/>
            <w:shd w:val="clear" w:color="auto" w:fill="FCE5CD"/>
          </w:tcPr>
          <w:p>
            <w:r/>
            <w:r>
              <w:rPr>
                <w:b w:val="0"/>
                <w:i w:val="0"/>
                <w:sz w:val="15"/>
              </w:rPr>
              <w:t>High</w:t>
            </w:r>
          </w:p>
        </w:tc>
        <w:tc>
          <w:tcPr>
            <w:tcW w:type="dxa" w:w="1296"/>
          </w:tcPr>
          <w:p>
            <w:r/>
            <w:r>
              <w:rPr>
                <w:b w:val="0"/>
                <w:i w:val="0"/>
                <w:sz w:val="15"/>
              </w:rPr>
              <w:t>Compel</w:t>
            </w:r>
          </w:p>
        </w:tc>
      </w:tr>
      <w:tr>
        <w:tc>
          <w:tcPr>
            <w:tcW w:type="dxa" w:w="576"/>
          </w:tcPr>
          <w:p>
            <w:r/>
            <w:r>
              <w:rPr>
                <w:b w:val="0"/>
                <w:i w:val="0"/>
                <w:sz w:val="15"/>
              </w:rPr>
              <w:t>13</w:t>
            </w:r>
          </w:p>
        </w:tc>
        <w:tc>
          <w:tcPr>
            <w:tcW w:type="dxa" w:w="1440"/>
          </w:tcPr>
          <w:p>
            <w:r/>
            <w:r>
              <w:rPr>
                <w:b w:val="0"/>
                <w:i w:val="0"/>
                <w:sz w:val="15"/>
              </w:rPr>
              <w:t>Claim files and loss runs</w:t>
            </w:r>
          </w:p>
        </w:tc>
        <w:tc>
          <w:tcPr>
            <w:tcW w:type="dxa" w:w="2160"/>
          </w:tcPr>
          <w:p>
            <w:r/>
            <w:r>
              <w:rPr>
                <w:b w:val="0"/>
                <w:i w:val="0"/>
                <w:sz w:val="15"/>
              </w:rPr>
              <w:t>5 claim files (MLC-002456–002520)</w:t>
            </w:r>
          </w:p>
        </w:tc>
        <w:tc>
          <w:tcPr>
            <w:tcW w:type="dxa" w:w="3024"/>
          </w:tcPr>
          <w:p>
            <w:r/>
            <w:r>
              <w:rPr>
                <w:b w:val="0"/>
                <w:i w:val="0"/>
                <w:sz w:val="15"/>
              </w:rPr>
              <w:t>No loss runs, reserve or payment records, or adjuster reports. Compare claim values against the $2M limit</w:t>
            </w:r>
          </w:p>
        </w:tc>
        <w:tc>
          <w:tcPr>
            <w:tcW w:type="dxa" w:w="864"/>
            <w:shd w:val="clear" w:color="auto" w:fill="FFF2CC"/>
          </w:tcPr>
          <w:p>
            <w:r/>
            <w:r>
              <w:rPr>
                <w:b w:val="0"/>
                <w:i w:val="0"/>
                <w:sz w:val="15"/>
              </w:rPr>
              <w:t>Medium</w:t>
            </w:r>
          </w:p>
        </w:tc>
        <w:tc>
          <w:tcPr>
            <w:tcW w:type="dxa" w:w="1296"/>
          </w:tcPr>
          <w:p>
            <w:r/>
            <w:r>
              <w:rPr>
                <w:b w:val="0"/>
                <w:i w:val="0"/>
                <w:sz w:val="15"/>
              </w:rPr>
              <w:t>Compel loss runs</w:t>
            </w:r>
          </w:p>
        </w:tc>
      </w:tr>
      <w:tr>
        <w:tc>
          <w:tcPr>
            <w:tcW w:type="dxa" w:w="576"/>
          </w:tcPr>
          <w:p>
            <w:r/>
            <w:r>
              <w:rPr>
                <w:b w:val="0"/>
                <w:i w:val="0"/>
                <w:sz w:val="15"/>
              </w:rPr>
              <w:t>14 / 25</w:t>
            </w:r>
          </w:p>
        </w:tc>
        <w:tc>
          <w:tcPr>
            <w:tcW w:type="dxa" w:w="1440"/>
          </w:tcPr>
          <w:p>
            <w:r/>
            <w:r>
              <w:rPr>
                <w:b w:val="0"/>
                <w:i w:val="0"/>
                <w:sz w:val="15"/>
              </w:rPr>
              <w:t>Pinnacle communications 2020 – present</w:t>
            </w:r>
          </w:p>
        </w:tc>
        <w:tc>
          <w:tcPr>
            <w:tcW w:type="dxa" w:w="2160"/>
          </w:tcPr>
          <w:p>
            <w:r/>
            <w:r>
              <w:rPr>
                <w:b w:val="0"/>
                <w:i w:val="0"/>
                <w:sz w:val="15"/>
              </w:rPr>
              <w:t>3 items, all from 2022 (MLC-002433, -002441, -002449)</w:t>
            </w:r>
          </w:p>
        </w:tc>
        <w:tc>
          <w:tcPr>
            <w:tcW w:type="dxa" w:w="3024"/>
          </w:tcPr>
          <w:p>
            <w:r/>
            <w:r>
              <w:rPr>
                <w:b/>
                <w:i w:val="0"/>
                <w:sz w:val="15"/>
              </w:rPr>
              <w:t>All 2020–2021 communications withheld</w:t>
            </w:r>
            <w:r>
              <w:rPr>
                <w:b w:val="0"/>
                <w:i w:val="0"/>
                <w:sz w:val="15"/>
              </w:rPr>
              <w:t xml:space="preserve"> (PRIV-33 to -40). None from 2023–2024</w:t>
            </w:r>
          </w:p>
        </w:tc>
        <w:tc>
          <w:tcPr>
            <w:tcW w:type="dxa" w:w="864"/>
            <w:shd w:val="clear" w:color="auto" w:fill="F4CCCC"/>
          </w:tcPr>
          <w:p>
            <w:r/>
            <w:r>
              <w:rPr>
                <w:b w:val="0"/>
                <w:i w:val="0"/>
                <w:sz w:val="15"/>
              </w:rPr>
              <w:t>Critical</w:t>
            </w:r>
          </w:p>
        </w:tc>
        <w:tc>
          <w:tcPr>
            <w:tcW w:type="dxa" w:w="1296"/>
          </w:tcPr>
          <w:p>
            <w:r/>
            <w:r>
              <w:rPr>
                <w:b w:val="0"/>
                <w:i w:val="0"/>
                <w:sz w:val="15"/>
              </w:rPr>
              <w:t>Compel; waiver and crime-fraud (see § V)</w:t>
            </w:r>
          </w:p>
        </w:tc>
      </w:tr>
      <w:tr>
        <w:tc>
          <w:tcPr>
            <w:tcW w:type="dxa" w:w="576"/>
          </w:tcPr>
          <w:p>
            <w:r/>
            <w:r>
              <w:rPr>
                <w:b w:val="0"/>
                <w:i w:val="0"/>
                <w:sz w:val="15"/>
              </w:rPr>
              <w:t>15</w:t>
            </w:r>
          </w:p>
        </w:tc>
        <w:tc>
          <w:tcPr>
            <w:tcW w:type="dxa" w:w="1440"/>
          </w:tcPr>
          <w:p>
            <w:r/>
            <w:r>
              <w:rPr>
                <w:b w:val="0"/>
                <w:i w:val="0"/>
                <w:sz w:val="15"/>
              </w:rPr>
              <w:t>Audited and unaudited financials FY2019–2023 and audit materials</w:t>
            </w:r>
          </w:p>
        </w:tc>
        <w:tc>
          <w:tcPr>
            <w:tcW w:type="dxa" w:w="2160"/>
          </w:tcPr>
          <w:p>
            <w:r/>
            <w:r>
              <w:rPr>
                <w:b w:val="0"/>
                <w:i w:val="0"/>
                <w:sz w:val="15"/>
              </w:rPr>
              <w:t xml:space="preserve">Audited FY2019–2021; </w:t>
            </w:r>
            <w:r>
              <w:rPr>
                <w:b/>
                <w:i w:val="0"/>
                <w:sz w:val="15"/>
              </w:rPr>
              <w:t>unaudited</w:t>
            </w:r>
            <w:r>
              <w:rPr>
                <w:b w:val="0"/>
                <w:i w:val="0"/>
                <w:sz w:val="15"/>
              </w:rPr>
              <w:t xml:space="preserve"> FY2022 and FY2023; PC-account GL extracts and quarterly summaries</w:t>
            </w:r>
          </w:p>
        </w:tc>
        <w:tc>
          <w:tcPr>
            <w:tcW w:type="dxa" w:w="3024"/>
          </w:tcPr>
          <w:p>
            <w:r/>
            <w:r>
              <w:rPr>
                <w:b/>
                <w:i w:val="0"/>
                <w:sz w:val="15"/>
              </w:rPr>
              <w:t>No FY2020 unaudited statements</w:t>
            </w:r>
            <w:r>
              <w:rPr>
                <w:b w:val="0"/>
                <w:i w:val="0"/>
                <w:sz w:val="15"/>
              </w:rPr>
              <w:t xml:space="preserve"> (the alleged misrepresentation). No audited FY2022–2023. No monthly or quarterly statements. No Crestline management or representation letters, AJEs, or restatement schedules</w:t>
            </w:r>
          </w:p>
        </w:tc>
        <w:tc>
          <w:tcPr>
            <w:tcW w:type="dxa" w:w="864"/>
            <w:shd w:val="clear" w:color="auto" w:fill="F4CCCC"/>
          </w:tcPr>
          <w:p>
            <w:r/>
            <w:r>
              <w:rPr>
                <w:b w:val="0"/>
                <w:i w:val="0"/>
                <w:sz w:val="15"/>
              </w:rPr>
              <w:t>Critical</w:t>
            </w:r>
          </w:p>
        </w:tc>
        <w:tc>
          <w:tcPr>
            <w:tcW w:type="dxa" w:w="1296"/>
          </w:tcPr>
          <w:p>
            <w:r/>
            <w:r>
              <w:rPr>
                <w:b w:val="0"/>
                <w:i w:val="0"/>
                <w:sz w:val="15"/>
              </w:rPr>
              <w:t>Compel; subpoena Crestline (Reno)</w:t>
            </w:r>
          </w:p>
        </w:tc>
      </w:tr>
      <w:tr>
        <w:tc>
          <w:tcPr>
            <w:tcW w:type="dxa" w:w="576"/>
          </w:tcPr>
          <w:p>
            <w:r/>
            <w:r>
              <w:rPr>
                <w:b w:val="0"/>
                <w:i w:val="0"/>
                <w:sz w:val="15"/>
              </w:rPr>
              <w:t>16</w:t>
            </w:r>
          </w:p>
        </w:tc>
        <w:tc>
          <w:tcPr>
            <w:tcW w:type="dxa" w:w="1440"/>
          </w:tcPr>
          <w:p>
            <w:r/>
            <w:r>
              <w:rPr>
                <w:b w:val="0"/>
                <w:i w:val="0"/>
                <w:sz w:val="15"/>
              </w:rPr>
              <w:t>Board and management financial reporting FY2019–2023</w:t>
            </w:r>
          </w:p>
        </w:tc>
        <w:tc>
          <w:tcPr>
            <w:tcW w:type="dxa" w:w="2160"/>
          </w:tcPr>
          <w:p>
            <w:r/>
            <w:r>
              <w:rPr>
                <w:b/>
                <w:i w:val="0"/>
                <w:sz w:val="15"/>
              </w:rPr>
              <w:t>Refused entirely.</w:t>
            </w:r>
            <w:r>
              <w:rPr>
                <w:b w:val="0"/>
                <w:i w:val="0"/>
                <w:sz w:val="15"/>
              </w:rPr>
              <w:t xml:space="preserve"> Invoices coded "16" are not responsive</w:t>
            </w:r>
          </w:p>
        </w:tc>
        <w:tc>
          <w:tcPr>
            <w:tcW w:type="dxa" w:w="3024"/>
          </w:tcPr>
          <w:p>
            <w:r/>
            <w:r>
              <w:rPr>
                <w:b w:val="0"/>
                <w:i w:val="0"/>
                <w:sz w:val="15"/>
              </w:rPr>
              <w:t>Sword and shield (Counterclaim ¶¶ 46–48, 52, 59, 65); revenue decline placed at issue in ¶ 45</w:t>
            </w:r>
          </w:p>
        </w:tc>
        <w:tc>
          <w:tcPr>
            <w:tcW w:type="dxa" w:w="864"/>
            <w:shd w:val="clear" w:color="auto" w:fill="F4CCCC"/>
          </w:tcPr>
          <w:p>
            <w:r/>
            <w:r>
              <w:rPr>
                <w:b w:val="0"/>
                <w:i w:val="0"/>
                <w:sz w:val="15"/>
              </w:rPr>
              <w:t>Critical</w:t>
            </w:r>
          </w:p>
        </w:tc>
        <w:tc>
          <w:tcPr>
            <w:tcW w:type="dxa" w:w="1296"/>
          </w:tcPr>
          <w:p>
            <w:r/>
            <w:r>
              <w:rPr>
                <w:b w:val="0"/>
                <w:i w:val="0"/>
                <w:sz w:val="15"/>
              </w:rPr>
              <w:t>Compel; alternatively move to preclude</w:t>
            </w:r>
          </w:p>
        </w:tc>
      </w:tr>
      <w:tr>
        <w:tc>
          <w:tcPr>
            <w:tcW w:type="dxa" w:w="576"/>
          </w:tcPr>
          <w:p>
            <w:r/>
            <w:r>
              <w:rPr>
                <w:b w:val="0"/>
                <w:i w:val="0"/>
                <w:sz w:val="15"/>
              </w:rPr>
              <w:t>17</w:t>
            </w:r>
          </w:p>
        </w:tc>
        <w:tc>
          <w:tcPr>
            <w:tcW w:type="dxa" w:w="1440"/>
          </w:tcPr>
          <w:p>
            <w:r/>
            <w:r>
              <w:rPr>
                <w:b w:val="0"/>
                <w:i w:val="0"/>
                <w:sz w:val="15"/>
              </w:rPr>
              <w:t>GL and journal entries for capitalized maintenance</w:t>
            </w:r>
          </w:p>
        </w:tc>
        <w:tc>
          <w:tcPr>
            <w:tcW w:type="dxa" w:w="2160"/>
          </w:tcPr>
          <w:p>
            <w:r/>
            <w:r>
              <w:rPr>
                <w:b w:val="0"/>
                <w:i w:val="0"/>
                <w:sz w:val="15"/>
              </w:rPr>
              <w:t>2-page summary (MLC-002004), created June 15, 2024</w:t>
            </w:r>
          </w:p>
        </w:tc>
        <w:tc>
          <w:tcPr>
            <w:tcW w:type="dxa" w:w="3024"/>
          </w:tcPr>
          <w:p>
            <w:r/>
            <w:r>
              <w:rPr>
                <w:b w:val="0"/>
                <w:i w:val="0"/>
                <w:sz w:val="15"/>
              </w:rPr>
              <w:t>No entries, work orders, invoices or approvals. PRIV-15 ("adjustments to capitalized maintenance figures for FY2020") is withheld</w:t>
            </w:r>
          </w:p>
        </w:tc>
        <w:tc>
          <w:tcPr>
            <w:tcW w:type="dxa" w:w="864"/>
            <w:shd w:val="clear" w:color="auto" w:fill="F4CCCC"/>
          </w:tcPr>
          <w:p>
            <w:r/>
            <w:r>
              <w:rPr>
                <w:b w:val="0"/>
                <w:i w:val="0"/>
                <w:sz w:val="15"/>
              </w:rPr>
              <w:t>Critical</w:t>
            </w:r>
          </w:p>
        </w:tc>
        <w:tc>
          <w:tcPr>
            <w:tcW w:type="dxa" w:w="1296"/>
          </w:tcPr>
          <w:p>
            <w:r/>
            <w:r>
              <w:rPr>
                <w:b w:val="0"/>
                <w:i w:val="0"/>
                <w:sz w:val="15"/>
              </w:rPr>
              <w:t>Compel native GL detail for the relevant accounts</w:t>
            </w:r>
          </w:p>
        </w:tc>
      </w:tr>
      <w:tr>
        <w:tc>
          <w:tcPr>
            <w:tcW w:type="dxa" w:w="576"/>
          </w:tcPr>
          <w:p>
            <w:r/>
            <w:r>
              <w:rPr>
                <w:b w:val="0"/>
                <w:i w:val="0"/>
                <w:sz w:val="15"/>
              </w:rPr>
              <w:t>18</w:t>
            </w:r>
          </w:p>
        </w:tc>
        <w:tc>
          <w:tcPr>
            <w:tcW w:type="dxa" w:w="1440"/>
          </w:tcPr>
          <w:p>
            <w:r/>
            <w:r>
              <w:rPr>
                <w:b w:val="0"/>
                <w:i w:val="0"/>
                <w:sz w:val="15"/>
              </w:rPr>
              <w:t>Lease liabilities / ASC 842</w:t>
            </w:r>
          </w:p>
        </w:tc>
        <w:tc>
          <w:tcPr>
            <w:tcW w:type="dxa" w:w="2160"/>
          </w:tcPr>
          <w:p>
            <w:r/>
            <w:r>
              <w:rPr>
                <w:b w:val="0"/>
                <w:i w:val="0"/>
                <w:sz w:val="15"/>
              </w:rPr>
              <w:t>None; Meridian answered a different request. Driver-training reports coded "18"</w:t>
            </w:r>
          </w:p>
        </w:tc>
        <w:tc>
          <w:tcPr>
            <w:tcW w:type="dxa" w:w="3024"/>
          </w:tcPr>
          <w:p>
            <w:r/>
            <w:r>
              <w:rPr>
                <w:b/>
                <w:i w:val="0"/>
                <w:sz w:val="15"/>
              </w:rPr>
              <w:t>No response</w:t>
            </w:r>
            <w:r>
              <w:rPr>
                <w:b w:val="0"/>
                <w:i w:val="0"/>
                <w:sz w:val="15"/>
              </w:rPr>
              <w:t xml:space="preserve"> on the $3.6M omitted lease liabilities</w:t>
            </w:r>
          </w:p>
        </w:tc>
        <w:tc>
          <w:tcPr>
            <w:tcW w:type="dxa" w:w="864"/>
            <w:shd w:val="clear" w:color="auto" w:fill="F4CCCC"/>
          </w:tcPr>
          <w:p>
            <w:r/>
            <w:r>
              <w:rPr>
                <w:b w:val="0"/>
                <w:i w:val="0"/>
                <w:sz w:val="15"/>
              </w:rPr>
              <w:t>Critical</w:t>
            </w:r>
          </w:p>
        </w:tc>
        <w:tc>
          <w:tcPr>
            <w:tcW w:type="dxa" w:w="1296"/>
          </w:tcPr>
          <w:p>
            <w:r/>
            <w:r>
              <w:rPr>
                <w:b w:val="0"/>
                <w:i w:val="0"/>
                <w:sz w:val="15"/>
              </w:rPr>
              <w:t>Compel</w:t>
            </w:r>
          </w:p>
        </w:tc>
      </w:tr>
      <w:tr>
        <w:tc>
          <w:tcPr>
            <w:tcW w:type="dxa" w:w="576"/>
          </w:tcPr>
          <w:p>
            <w:r/>
            <w:r>
              <w:rPr>
                <w:b w:val="0"/>
                <w:i w:val="0"/>
                <w:sz w:val="15"/>
              </w:rPr>
              <w:t>19</w:t>
            </w:r>
          </w:p>
        </w:tc>
        <w:tc>
          <w:tcPr>
            <w:tcW w:type="dxa" w:w="1440"/>
          </w:tcPr>
          <w:p>
            <w:r/>
            <w:r>
              <w:rPr>
                <w:b w:val="0"/>
                <w:i w:val="0"/>
                <w:sz w:val="15"/>
              </w:rPr>
              <w:t>Daily dispatch and deployment records</w:t>
            </w:r>
          </w:p>
        </w:tc>
        <w:tc>
          <w:tcPr>
            <w:tcW w:type="dxa" w:w="2160"/>
          </w:tcPr>
          <w:p>
            <w:r/>
            <w:r>
              <w:rPr>
                <w:b w:val="0"/>
                <w:i w:val="0"/>
                <w:sz w:val="15"/>
              </w:rPr>
              <w:t>Daily logs Mar. 15 – Sept. 30, 2021 and May 1, 2022 – Aug. 31, 2023; monthly summaries Mar. – Sept. 2021 only</w:t>
            </w:r>
          </w:p>
        </w:tc>
        <w:tc>
          <w:tcPr>
            <w:tcW w:type="dxa" w:w="3024"/>
          </w:tcPr>
          <w:p>
            <w:r/>
            <w:r>
              <w:rPr>
                <w:b/>
                <w:i w:val="0"/>
                <w:sz w:val="15"/>
              </w:rPr>
              <w:t>Oct. 2021 – Apr. 2022 missing</w:t>
            </w:r>
            <w:r>
              <w:rPr>
                <w:b w:val="0"/>
                <w:i w:val="0"/>
                <w:sz w:val="15"/>
              </w:rPr>
              <w:t xml:space="preserve"> (≈7 months). No monthly summaries after Sept. 2021. Meridian limited the request to the PC account (fleet-wide data is relevant to the 347-truck claim and to "reallocation" defenses)</w:t>
            </w:r>
          </w:p>
        </w:tc>
        <w:tc>
          <w:tcPr>
            <w:tcW w:type="dxa" w:w="864"/>
            <w:shd w:val="clear" w:color="auto" w:fill="F4CCCC"/>
          </w:tcPr>
          <w:p>
            <w:r/>
            <w:r>
              <w:rPr>
                <w:b w:val="0"/>
                <w:i w:val="0"/>
                <w:sz w:val="15"/>
              </w:rPr>
              <w:t>Critical</w:t>
            </w:r>
          </w:p>
        </w:tc>
        <w:tc>
          <w:tcPr>
            <w:tcW w:type="dxa" w:w="1296"/>
          </w:tcPr>
          <w:p>
            <w:r/>
            <w:r>
              <w:rPr>
                <w:b w:val="0"/>
                <w:i w:val="0"/>
                <w:sz w:val="15"/>
              </w:rPr>
              <w:t>Compel; demand verified preservation statement; 37(e) (see § VI)</w:t>
            </w:r>
          </w:p>
        </w:tc>
      </w:tr>
      <w:tr>
        <w:tc>
          <w:tcPr>
            <w:tcW w:type="dxa" w:w="576"/>
          </w:tcPr>
          <w:p>
            <w:r/>
            <w:r>
              <w:rPr>
                <w:b w:val="0"/>
                <w:i w:val="0"/>
                <w:sz w:val="15"/>
              </w:rPr>
              <w:t>20</w:t>
            </w:r>
          </w:p>
        </w:tc>
        <w:tc>
          <w:tcPr>
            <w:tcW w:type="dxa" w:w="1440"/>
          </w:tcPr>
          <w:p>
            <w:r/>
            <w:r>
              <w:rPr>
                <w:b w:val="0"/>
                <w:i w:val="0"/>
                <w:sz w:val="15"/>
              </w:rPr>
              <w:t>Missed pickups and service failures</w:t>
            </w:r>
          </w:p>
        </w:tc>
        <w:tc>
          <w:tcPr>
            <w:tcW w:type="dxa" w:w="2160"/>
          </w:tcPr>
          <w:p>
            <w:r/>
            <w:r>
              <w:rPr>
                <w:b w:val="0"/>
                <w:i w:val="0"/>
                <w:sz w:val="15"/>
              </w:rPr>
              <w:t>Dispatch logs and quarterly on-time reports</w:t>
            </w:r>
          </w:p>
        </w:tc>
        <w:tc>
          <w:tcPr>
            <w:tcW w:type="dxa" w:w="3024"/>
          </w:tcPr>
          <w:p>
            <w:r/>
            <w:r>
              <w:rPr>
                <w:b/>
                <w:i w:val="0"/>
                <w:sz w:val="15"/>
              </w:rPr>
              <w:t>No Q4 2021 on-time report</w:t>
            </w:r>
            <w:r>
              <w:rPr>
                <w:b w:val="0"/>
                <w:i w:val="0"/>
                <w:sz w:val="15"/>
              </w:rPr>
              <w:t>; load-level tracking only for Sept. 2021; no exception reports, root-cause analyses or corrective action plans (Brisk–Sato emails reference a corrective action plan, MLC-002043). Critical to the 2,814-missed-pickup count and to Meridian's "rescheduled at PC request" defense (Ans. ¶ 17)</w:t>
            </w:r>
          </w:p>
        </w:tc>
        <w:tc>
          <w:tcPr>
            <w:tcW w:type="dxa" w:w="864"/>
            <w:shd w:val="clear" w:color="auto" w:fill="FCE5CD"/>
          </w:tcPr>
          <w:p>
            <w:r/>
            <w:r>
              <w:rPr>
                <w:b w:val="0"/>
                <w:i w:val="0"/>
                <w:sz w:val="15"/>
              </w:rPr>
              <w:t>High</w:t>
            </w:r>
          </w:p>
        </w:tc>
        <w:tc>
          <w:tcPr>
            <w:tcW w:type="dxa" w:w="1296"/>
          </w:tcPr>
          <w:p>
            <w:r/>
            <w:r>
              <w:rPr>
                <w:b w:val="0"/>
                <w:i w:val="0"/>
                <w:sz w:val="15"/>
              </w:rPr>
              <w:t>Compel TMS exception data in native form</w:t>
            </w:r>
          </w:p>
        </w:tc>
      </w:tr>
      <w:tr>
        <w:tc>
          <w:tcPr>
            <w:tcW w:type="dxa" w:w="576"/>
          </w:tcPr>
          <w:p>
            <w:r/>
            <w:r>
              <w:rPr>
                <w:b w:val="0"/>
                <w:i w:val="0"/>
                <w:sz w:val="15"/>
              </w:rPr>
              <w:t>21</w:t>
            </w:r>
          </w:p>
        </w:tc>
        <w:tc>
          <w:tcPr>
            <w:tcW w:type="dxa" w:w="1440"/>
          </w:tcPr>
          <w:p>
            <w:r/>
            <w:r>
              <w:rPr>
                <w:b w:val="0"/>
                <w:i w:val="0"/>
                <w:sz w:val="15"/>
              </w:rPr>
              <w:t>Complaints from PC or PC's customers</w:t>
            </w:r>
          </w:p>
        </w:tc>
        <w:tc>
          <w:tcPr>
            <w:tcW w:type="dxa" w:w="2160"/>
          </w:tcPr>
          <w:p>
            <w:r/>
            <w:r>
              <w:rPr>
                <w:b w:val="0"/>
                <w:i w:val="0"/>
                <w:sz w:val="15"/>
              </w:rPr>
              <w:t>Limited to written complaints sent directly by PC; some complaint and cure correspondence produced</w:t>
            </w:r>
          </w:p>
        </w:tc>
        <w:tc>
          <w:tcPr>
            <w:tcW w:type="dxa" w:w="3024"/>
          </w:tcPr>
          <w:p>
            <w:r/>
            <w:r>
              <w:rPr>
                <w:b w:val="0"/>
                <w:i w:val="0"/>
                <w:sz w:val="15"/>
              </w:rPr>
              <w:t>Excludes end-customer complaints and the post-Aug. 2023 period</w:t>
            </w:r>
          </w:p>
        </w:tc>
        <w:tc>
          <w:tcPr>
            <w:tcW w:type="dxa" w:w="864"/>
            <w:shd w:val="clear" w:color="auto" w:fill="FFF2CC"/>
          </w:tcPr>
          <w:p>
            <w:r/>
            <w:r>
              <w:rPr>
                <w:b w:val="0"/>
                <w:i w:val="0"/>
                <w:sz w:val="15"/>
              </w:rPr>
              <w:t>Medium</w:t>
            </w:r>
          </w:p>
        </w:tc>
        <w:tc>
          <w:tcPr>
            <w:tcW w:type="dxa" w:w="1296"/>
          </w:tcPr>
          <w:p>
            <w:r/>
            <w:r>
              <w:rPr>
                <w:b w:val="0"/>
                <w:i w:val="0"/>
                <w:sz w:val="15"/>
              </w:rPr>
              <w:t>Compel as served</w:t>
            </w:r>
          </w:p>
        </w:tc>
      </w:tr>
      <w:tr>
        <w:tc>
          <w:tcPr>
            <w:tcW w:type="dxa" w:w="576"/>
          </w:tcPr>
          <w:p>
            <w:r/>
            <w:r>
              <w:rPr>
                <w:b w:val="0"/>
                <w:i w:val="0"/>
                <w:sz w:val="15"/>
              </w:rPr>
              <w:t>22</w:t>
            </w:r>
          </w:p>
        </w:tc>
        <w:tc>
          <w:tcPr>
            <w:tcW w:type="dxa" w:w="1440"/>
          </w:tcPr>
          <w:p>
            <w:r/>
            <w:r>
              <w:rPr>
                <w:b w:val="0"/>
                <w:i w:val="0"/>
                <w:sz w:val="15"/>
              </w:rPr>
              <w:t>KPI and performance reports</w:t>
            </w:r>
          </w:p>
        </w:tc>
        <w:tc>
          <w:tcPr>
            <w:tcW w:type="dxa" w:w="2160"/>
          </w:tcPr>
          <w:p>
            <w:r/>
            <w:r>
              <w:rPr>
                <w:b w:val="0"/>
                <w:i w:val="0"/>
                <w:sz w:val="15"/>
              </w:rPr>
              <w:t>29 monthly ops reports; 10 quarterly KPI dashboards</w:t>
            </w:r>
          </w:p>
        </w:tc>
        <w:tc>
          <w:tcPr>
            <w:tcW w:type="dxa" w:w="3024"/>
          </w:tcPr>
          <w:p>
            <w:r/>
            <w:r>
              <w:rPr>
                <w:b/>
                <w:i w:val="0"/>
                <w:sz w:val="15"/>
              </w:rPr>
              <w:t>Oct. 2021 – Apr. 2022 ops reports are 10 pp. each versus 15 pp. in other months</w:t>
            </w:r>
            <w:r>
              <w:rPr>
                <w:b w:val="0"/>
                <w:i w:val="0"/>
                <w:sz w:val="15"/>
              </w:rPr>
              <w:t>, and they are not coded to RFP 23. Possible abridgment in the same window as the dispatch-log gap. No monthly KPI dashboards</w:t>
            </w:r>
          </w:p>
        </w:tc>
        <w:tc>
          <w:tcPr>
            <w:tcW w:type="dxa" w:w="864"/>
            <w:shd w:val="clear" w:color="auto" w:fill="FCE5CD"/>
          </w:tcPr>
          <w:p>
            <w:r/>
            <w:r>
              <w:rPr>
                <w:b w:val="0"/>
                <w:i w:val="0"/>
                <w:sz w:val="15"/>
              </w:rPr>
              <w:t>High</w:t>
            </w:r>
          </w:p>
        </w:tc>
        <w:tc>
          <w:tcPr>
            <w:tcW w:type="dxa" w:w="1296"/>
          </w:tcPr>
          <w:p>
            <w:r/>
            <w:r>
              <w:rPr>
                <w:b w:val="0"/>
                <w:i w:val="0"/>
                <w:sz w:val="15"/>
              </w:rPr>
              <w:t>Ask whether versions are complete; request natives</w:t>
            </w:r>
          </w:p>
        </w:tc>
      </w:tr>
      <w:tr>
        <w:tc>
          <w:tcPr>
            <w:tcW w:type="dxa" w:w="576"/>
          </w:tcPr>
          <w:p>
            <w:r/>
            <w:r>
              <w:rPr>
                <w:b w:val="0"/>
                <w:i w:val="0"/>
                <w:sz w:val="15"/>
              </w:rPr>
              <w:t>23</w:t>
            </w:r>
          </w:p>
        </w:tc>
        <w:tc>
          <w:tcPr>
            <w:tcW w:type="dxa" w:w="1440"/>
          </w:tcPr>
          <w:p>
            <w:r/>
            <w:r>
              <w:rPr>
                <w:b w:val="0"/>
                <w:i w:val="0"/>
                <w:sz w:val="15"/>
              </w:rPr>
              <w:t>External communications with PC</w:t>
            </w:r>
          </w:p>
        </w:tc>
        <w:tc>
          <w:tcPr>
            <w:tcW w:type="dxa" w:w="2160"/>
          </w:tcPr>
          <w:p>
            <w:r/>
            <w:r>
              <w:rPr>
                <w:b w:val="0"/>
                <w:i w:val="0"/>
                <w:sz w:val="15"/>
              </w:rPr>
              <w:t>58 items, all Brisk or Sato; no texts or chat</w:t>
            </w:r>
          </w:p>
        </w:tc>
        <w:tc>
          <w:tcPr>
            <w:tcW w:type="dxa" w:w="3024"/>
          </w:tcPr>
          <w:p>
            <w:r/>
            <w:r>
              <w:rPr>
                <w:b/>
                <w:i w:val="0"/>
                <w:sz w:val="15"/>
              </w:rPr>
              <w:t>Alderton, Cho, Hale, Delaney: zero.</w:t>
            </w:r>
            <w:r>
              <w:rPr>
                <w:b w:val="0"/>
                <w:i w:val="0"/>
                <w:sz w:val="15"/>
              </w:rPr>
              <w:t xml:space="preserve"> Alderton–Yamamoto letters (MLC-003821, 159 pp., 42 letters) and Cho letters (MLC-004128, -004138) produced under RFP 26 show they had such communications. No text or app data from anyone</w:t>
            </w:r>
          </w:p>
        </w:tc>
        <w:tc>
          <w:tcPr>
            <w:tcW w:type="dxa" w:w="864"/>
            <w:shd w:val="clear" w:color="auto" w:fill="F4CCCC"/>
          </w:tcPr>
          <w:p>
            <w:r/>
            <w:r>
              <w:rPr>
                <w:b w:val="0"/>
                <w:i w:val="0"/>
                <w:sz w:val="15"/>
              </w:rPr>
              <w:t>Critical</w:t>
            </w:r>
          </w:p>
        </w:tc>
        <w:tc>
          <w:tcPr>
            <w:tcW w:type="dxa" w:w="1296"/>
          </w:tcPr>
          <w:p>
            <w:r/>
            <w:r>
              <w:rPr>
                <w:b w:val="0"/>
                <w:i w:val="0"/>
                <w:sz w:val="15"/>
              </w:rPr>
              <w:t>Compel; search-term disclosure; custodian certification</w:t>
            </w:r>
          </w:p>
        </w:tc>
      </w:tr>
      <w:tr>
        <w:tc>
          <w:tcPr>
            <w:tcW w:type="dxa" w:w="576"/>
          </w:tcPr>
          <w:p>
            <w:r/>
            <w:r>
              <w:rPr>
                <w:b w:val="0"/>
                <w:i w:val="0"/>
                <w:sz w:val="15"/>
              </w:rPr>
              <w:t>24</w:t>
            </w:r>
          </w:p>
        </w:tc>
        <w:tc>
          <w:tcPr>
            <w:tcW w:type="dxa" w:w="1440"/>
          </w:tcPr>
          <w:p>
            <w:r/>
            <w:r>
              <w:rPr>
                <w:b w:val="0"/>
                <w:i w:val="0"/>
                <w:sz w:val="15"/>
              </w:rPr>
              <w:t>Internal communications</w:t>
            </w:r>
          </w:p>
        </w:tc>
        <w:tc>
          <w:tcPr>
            <w:tcW w:type="dxa" w:w="2160"/>
          </w:tcPr>
          <w:p>
            <w:r/>
            <w:r>
              <w:rPr>
                <w:b w:val="0"/>
                <w:i w:val="0"/>
                <w:sz w:val="15"/>
              </w:rPr>
              <w:t>A handful of internal Brisk–Sato emails</w:t>
            </w:r>
          </w:p>
        </w:tc>
        <w:tc>
          <w:tcPr>
            <w:tcW w:type="dxa" w:w="3024"/>
          </w:tcPr>
          <w:p>
            <w:r/>
            <w:r>
              <w:rPr>
                <w:b w:val="0"/>
                <w:i w:val="0"/>
                <w:sz w:val="15"/>
              </w:rPr>
              <w:t>No internal emails among Alderton, Cho, Hale or Delaney, apart from those logged. PRIV-20 shows Hale received emails about fleet performance</w:t>
            </w:r>
          </w:p>
        </w:tc>
        <w:tc>
          <w:tcPr>
            <w:tcW w:type="dxa" w:w="864"/>
            <w:shd w:val="clear" w:color="auto" w:fill="F4CCCC"/>
          </w:tcPr>
          <w:p>
            <w:r/>
            <w:r>
              <w:rPr>
                <w:b w:val="0"/>
                <w:i w:val="0"/>
                <w:sz w:val="15"/>
              </w:rPr>
              <w:t>Critical</w:t>
            </w:r>
          </w:p>
        </w:tc>
        <w:tc>
          <w:tcPr>
            <w:tcW w:type="dxa" w:w="1296"/>
          </w:tcPr>
          <w:p>
            <w:r/>
            <w:r>
              <w:rPr>
                <w:b w:val="0"/>
                <w:i w:val="0"/>
                <w:sz w:val="15"/>
              </w:rPr>
              <w:t>Compel</w:t>
            </w:r>
          </w:p>
        </w:tc>
      </w:tr>
      <w:tr>
        <w:tc>
          <w:tcPr>
            <w:tcW w:type="dxa" w:w="576"/>
          </w:tcPr>
          <w:p>
            <w:r/>
            <w:r>
              <w:rPr>
                <w:b w:val="0"/>
                <w:i w:val="0"/>
                <w:sz w:val="15"/>
              </w:rPr>
              <w:t>26</w:t>
            </w:r>
          </w:p>
        </w:tc>
        <w:tc>
          <w:tcPr>
            <w:tcW w:type="dxa" w:w="1440"/>
          </w:tcPr>
          <w:p>
            <w:r/>
            <w:r>
              <w:rPr>
                <w:b w:val="0"/>
                <w:i w:val="0"/>
                <w:sz w:val="15"/>
              </w:rPr>
              <w:t>Termination and the 11 breach notices</w:t>
            </w:r>
          </w:p>
        </w:tc>
        <w:tc>
          <w:tcPr>
            <w:tcW w:type="dxa" w:w="2160"/>
          </w:tcPr>
          <w:p>
            <w:r/>
            <w:r>
              <w:rPr>
                <w:b w:val="0"/>
                <w:i w:val="0"/>
                <w:sz w:val="15"/>
              </w:rPr>
              <w:t>Notices dated Feb. 20, 2022; Apr. 15, 2022; Sept. 15, 2022; Mar. 18, 2023; "termination" July 1, 2023; responses</w:t>
            </w:r>
          </w:p>
        </w:tc>
        <w:tc>
          <w:tcPr>
            <w:tcW w:type="dxa" w:w="3024"/>
          </w:tcPr>
          <w:p>
            <w:r/>
            <w:r>
              <w:rPr>
                <w:b/>
                <w:i w:val="0"/>
                <w:sz w:val="15"/>
              </w:rPr>
              <w:t>Aug. 22, 2023 termination notice and Sept. 5, 2023 dispute letter (pleaded by both sides) not in the index.</w:t>
            </w:r>
            <w:r>
              <w:rPr>
                <w:b w:val="0"/>
                <w:i w:val="0"/>
                <w:sz w:val="15"/>
              </w:rPr>
              <w:t xml:space="preserve"> The 2021 breach notices (the first notice, June 2021, and the third and fourth by Jan. 2022, per PRIV-19 and PRIV-21) and Meridian's internal handling of them are missing</w:t>
            </w:r>
          </w:p>
        </w:tc>
        <w:tc>
          <w:tcPr>
            <w:tcW w:type="dxa" w:w="864"/>
            <w:shd w:val="clear" w:color="auto" w:fill="FCE5CD"/>
          </w:tcPr>
          <w:p>
            <w:r/>
            <w:r>
              <w:rPr>
                <w:b w:val="0"/>
                <w:i w:val="0"/>
                <w:sz w:val="15"/>
              </w:rPr>
              <w:t>High</w:t>
            </w:r>
          </w:p>
        </w:tc>
        <w:tc>
          <w:tcPr>
            <w:tcW w:type="dxa" w:w="1296"/>
          </w:tcPr>
          <w:p>
            <w:r/>
            <w:r>
              <w:rPr>
                <w:b w:val="0"/>
                <w:i w:val="0"/>
                <w:sz w:val="15"/>
              </w:rPr>
              <w:t>Reconcile dates; compel</w:t>
            </w:r>
          </w:p>
        </w:tc>
      </w:tr>
      <w:tr>
        <w:tc>
          <w:tcPr>
            <w:tcW w:type="dxa" w:w="576"/>
          </w:tcPr>
          <w:p>
            <w:r/>
            <w:r>
              <w:rPr>
                <w:b w:val="0"/>
                <w:i w:val="0"/>
                <w:sz w:val="15"/>
              </w:rPr>
              <w:t>27</w:t>
            </w:r>
          </w:p>
        </w:tc>
        <w:tc>
          <w:tcPr>
            <w:tcW w:type="dxa" w:w="1440"/>
          </w:tcPr>
          <w:p>
            <w:r/>
            <w:r>
              <w:rPr>
                <w:b w:val="0"/>
                <w:i w:val="0"/>
                <w:sz w:val="15"/>
              </w:rPr>
              <w:t>Counterclaim damages</w:t>
            </w:r>
          </w:p>
        </w:tc>
        <w:tc>
          <w:tcPr>
            <w:tcW w:type="dxa" w:w="2160"/>
          </w:tcPr>
          <w:p>
            <w:r/>
            <w:r>
              <w:rPr>
                <w:b w:val="0"/>
                <w:i w:val="0"/>
                <w:sz w:val="15"/>
              </w:rPr>
              <w:t>Pacific Corridor-related: MLC-003681–003820 and MLC-004056–004102 (analyses, spreadsheet, expert consultant preliminary report)</w:t>
            </w:r>
          </w:p>
        </w:tc>
        <w:tc>
          <w:tcPr>
            <w:tcW w:type="dxa" w:w="3024"/>
          </w:tcPr>
          <w:p>
            <w:r/>
            <w:r>
              <w:rPr>
                <w:b/>
                <w:i w:val="0"/>
                <w:sz w:val="15"/>
              </w:rPr>
              <w:t>9 documents (MLC-003980–004055) concern Greystone Distribution Partners</w:t>
            </w:r>
            <w:r>
              <w:rPr>
                <w:b w:val="0"/>
                <w:i w:val="0"/>
                <w:sz w:val="15"/>
              </w:rPr>
              <w:t>, an unrelated customer. No model inputs, cost-structure data or consultant engagement file. PRIV-8 and -9 withhold the damages methodology and "volume shortfall analysis"</w:t>
            </w:r>
          </w:p>
        </w:tc>
        <w:tc>
          <w:tcPr>
            <w:tcW w:type="dxa" w:w="864"/>
            <w:shd w:val="clear" w:color="auto" w:fill="FCE5CD"/>
          </w:tcPr>
          <w:p>
            <w:r/>
            <w:r>
              <w:rPr>
                <w:b w:val="0"/>
                <w:i w:val="0"/>
                <w:sz w:val="15"/>
              </w:rPr>
              <w:t>High</w:t>
            </w:r>
          </w:p>
        </w:tc>
        <w:tc>
          <w:tcPr>
            <w:tcW w:type="dxa" w:w="1296"/>
          </w:tcPr>
          <w:p>
            <w:r/>
            <w:r>
              <w:rPr>
                <w:b w:val="0"/>
                <w:i w:val="0"/>
                <w:sz w:val="15"/>
              </w:rPr>
              <w:t>Compel; at-issue waiver (see § V). Note: Greystone shortfalls may support an alternative-cause theory for Meridian's revenue decline</w:t>
            </w:r>
          </w:p>
        </w:tc>
      </w:tr>
    </w:tbl>
    <w:p>
      <w:pPr>
        <w:spacing w:after="40"/>
      </w:pPr>
    </w:p>
    <w:p>
      <w:pPr>
        <w:pStyle w:val="Heading1"/>
      </w:pPr>
      <w:r>
        <w:t>V. Privilege Log Analysis</w:t>
      </w:r>
    </w:p>
    <w:p>
      <w:pPr>
        <w:spacing w:after="120"/>
      </w:pPr>
      <w:r>
        <w:rPr>
          <w:b w:val="0"/>
          <w:i w:val="0"/>
        </w:rPr>
        <w:t>The log is facially timely because it was served with the production, as § 2.5 of the Order requires. It contains the required fields. However, many of its descriptions are generic, and at least 16 entries withhold non-privileged business records. Under *Burlington Northern &amp; Santa Fe Ry. v. U.S. Dist. Ct.*, 408 F.3d 1142, 1149 (9th Cir. 2005), deficient logs can support a finding of waiver on a holistic analysis. The Order (§ 2.5) expressly rejects conclusory descriptions such as "attorney-client communication regarding…".</w:t>
      </w:r>
    </w:p>
    <w:tbl>
      <w:tblPr>
        <w:tblStyle w:val="TableGrid"/>
        <w:tblW w:type="auto" w:w="0"/>
        <w:jc w:val="center"/>
        <w:tblLook w:firstColumn="1" w:firstRow="1" w:lastColumn="0" w:lastRow="0" w:noHBand="0" w:noVBand="1" w:val="04A0"/>
      </w:tblPr>
      <w:tblGrid>
        <w:gridCol w:w="1872"/>
        <w:gridCol w:w="1872"/>
        <w:gridCol w:w="1872"/>
        <w:gridCol w:w="1872"/>
        <w:gridCol w:w="1872"/>
      </w:tblGrid>
      <w:tr>
        <w:trPr>
          <w:tblHeader w:val="true"/>
        </w:trPr>
        <w:tc>
          <w:tcPr>
            <w:tcW w:type="dxa" w:w="1008"/>
            <w:shd w:val="clear" w:color="auto" w:fill="1F3A5F"/>
          </w:tcPr>
          <w:p>
            <w:r/>
            <w:r>
              <w:rPr>
                <w:b/>
                <w:color w:val="FFFFFF"/>
                <w:sz w:val="15"/>
              </w:rPr>
              <w:t>Entries</w:t>
            </w:r>
          </w:p>
        </w:tc>
        <w:tc>
          <w:tcPr>
            <w:tcW w:type="dxa" w:w="2304"/>
            <w:shd w:val="clear" w:color="auto" w:fill="1F3A5F"/>
          </w:tcPr>
          <w:p>
            <w:r/>
            <w:r>
              <w:rPr>
                <w:b/>
                <w:color w:val="FFFFFF"/>
                <w:sz w:val="15"/>
              </w:rPr>
              <w:t>Description</w:t>
            </w:r>
          </w:p>
        </w:tc>
        <w:tc>
          <w:tcPr>
            <w:tcW w:type="dxa" w:w="3456"/>
            <w:shd w:val="clear" w:color="auto" w:fill="1F3A5F"/>
          </w:tcPr>
          <w:p>
            <w:r/>
            <w:r>
              <w:rPr>
                <w:b/>
                <w:color w:val="FFFFFF"/>
                <w:sz w:val="15"/>
              </w:rPr>
              <w:t>Assessment</w:t>
            </w:r>
          </w:p>
        </w:tc>
        <w:tc>
          <w:tcPr>
            <w:tcW w:type="dxa" w:w="864"/>
            <w:shd w:val="clear" w:color="auto" w:fill="1F3A5F"/>
          </w:tcPr>
          <w:p>
            <w:r/>
            <w:r>
              <w:rPr>
                <w:b/>
                <w:color w:val="FFFFFF"/>
                <w:sz w:val="15"/>
              </w:rPr>
              <w:t>Severity</w:t>
            </w:r>
          </w:p>
        </w:tc>
        <w:tc>
          <w:tcPr>
            <w:tcW w:type="dxa" w:w="1728"/>
            <w:shd w:val="clear" w:color="auto" w:fill="1F3A5F"/>
          </w:tcPr>
          <w:p>
            <w:r/>
            <w:r>
              <w:rPr>
                <w:b/>
                <w:color w:val="FFFFFF"/>
                <w:sz w:val="15"/>
              </w:rPr>
              <w:t>Action</w:t>
            </w:r>
          </w:p>
        </w:tc>
      </w:tr>
      <w:tr>
        <w:tc>
          <w:tcPr>
            <w:tcW w:type="dxa" w:w="1008"/>
          </w:tcPr>
          <w:p>
            <w:r/>
            <w:r>
              <w:rPr>
                <w:b w:val="0"/>
                <w:i w:val="0"/>
                <w:sz w:val="15"/>
              </w:rPr>
              <w:t>33–40 (8)</w:t>
            </w:r>
          </w:p>
        </w:tc>
        <w:tc>
          <w:tcPr>
            <w:tcW w:type="dxa" w:w="2304"/>
          </w:tcPr>
          <w:p>
            <w:r/>
            <w:r>
              <w:rPr>
                <w:b w:val="0"/>
                <w:i w:val="0"/>
                <w:sz w:val="15"/>
              </w:rPr>
              <w:t xml:space="preserve">Cho ↔ James Whitfield (Pinnacle Fleet), Sept. 14, 2020 – Mar. 8, 2021: coverage options, direction to reduce to $2M effective 12/1/2020, endorsement, </w:t>
            </w:r>
            <w:r>
              <w:rPr>
                <w:b/>
                <w:i w:val="0"/>
                <w:sz w:val="15"/>
              </w:rPr>
              <w:t>Jan. 11, 2021 request for a COI "showing $5M"</w:t>
            </w:r>
            <w:r>
              <w:rPr>
                <w:b w:val="0"/>
                <w:i w:val="0"/>
                <w:sz w:val="15"/>
              </w:rPr>
              <w:t>, COI transmittal, claims procedures. Claimed as "Work Product" only</w:t>
            </w:r>
          </w:p>
        </w:tc>
        <w:tc>
          <w:tcPr>
            <w:tcW w:type="dxa" w:w="3456"/>
          </w:tcPr>
          <w:p>
            <w:r/>
            <w:r>
              <w:rPr>
                <w:b/>
                <w:i w:val="0"/>
                <w:sz w:val="15"/>
              </w:rPr>
              <w:t>Not privileged.</w:t>
            </w:r>
            <w:r>
              <w:rPr>
                <w:b w:val="0"/>
                <w:i w:val="0"/>
                <w:sz w:val="15"/>
              </w:rPr>
              <w:t xml:space="preserve"> No attorney is involved. They are ordinary-course underwriting communications with a third party and were not prepared "because of" litigation (*In re Grand Jury Subpoena (Torf)*, 357 F.3d 900, 907 (9th Cir. 2004)). Asserting work product for Sept. 2020 would mean Meridian anticipated litigation </w:t>
            </w:r>
            <w:r>
              <w:rPr>
                <w:b/>
                <w:i w:val="0"/>
                <w:sz w:val="15"/>
              </w:rPr>
              <w:t>before</w:t>
            </w:r>
            <w:r>
              <w:rPr>
                <w:b w:val="0"/>
                <w:i w:val="0"/>
                <w:sz w:val="15"/>
              </w:rPr>
              <w:t xml:space="preserve"> it pitched Pacific Corridor. This is also the strongest documentary evidence of scienter on the insurance misrepresentation (Compl. ¶¶ 27–29). Any attached endorsement and COI are pre-existing business records. Pinnacle holds the same documents</w:t>
            </w:r>
          </w:p>
        </w:tc>
        <w:tc>
          <w:tcPr>
            <w:tcW w:type="dxa" w:w="864"/>
            <w:shd w:val="clear" w:color="auto" w:fill="F4CCCC"/>
          </w:tcPr>
          <w:p>
            <w:r/>
            <w:r>
              <w:rPr>
                <w:b w:val="0"/>
                <w:i w:val="0"/>
                <w:sz w:val="15"/>
              </w:rPr>
              <w:t>Critical</w:t>
            </w:r>
          </w:p>
        </w:tc>
        <w:tc>
          <w:tcPr>
            <w:tcW w:type="dxa" w:w="1728"/>
          </w:tcPr>
          <w:p>
            <w:r/>
            <w:r>
              <w:rPr>
                <w:b w:val="0"/>
                <w:i w:val="0"/>
                <w:sz w:val="15"/>
              </w:rPr>
              <w:t>Demand immediate production; move to compel; Rule 45 subpoena to Pinnacle Fleet and Whitfield</w:t>
            </w:r>
          </w:p>
        </w:tc>
      </w:tr>
      <w:tr>
        <w:tc>
          <w:tcPr>
            <w:tcW w:type="dxa" w:w="1008"/>
          </w:tcPr>
          <w:p>
            <w:r/>
            <w:r>
              <w:rPr>
                <w:b w:val="0"/>
                <w:i w:val="0"/>
                <w:sz w:val="15"/>
              </w:rPr>
              <w:t>12–18 (7)</w:t>
            </w:r>
          </w:p>
        </w:tc>
        <w:tc>
          <w:tcPr>
            <w:tcW w:type="dxa" w:w="2304"/>
          </w:tcPr>
          <w:p>
            <w:r/>
            <w:r>
              <w:rPr>
                <w:b w:val="0"/>
                <w:i w:val="0"/>
                <w:sz w:val="15"/>
              </w:rPr>
              <w:t>Brisk ↔ Cho, Nov. 5, 2020 – Feb. 8, 2021: revised truck-count assumptions; draft EBITDA schedule; "gap between owned fleet and total capacity representation"; adjustments to capitalized maintenance figures; final fleet roster compilation; insurance summary; subcontractor availability estimates. Claimed as "Attorney-Client"</w:t>
            </w:r>
          </w:p>
        </w:tc>
        <w:tc>
          <w:tcPr>
            <w:tcW w:type="dxa" w:w="3456"/>
          </w:tcPr>
          <w:p>
            <w:r/>
            <w:r>
              <w:rPr>
                <w:b/>
                <w:i w:val="0"/>
                <w:sz w:val="15"/>
              </w:rPr>
              <w:t>Not privileged.</w:t>
            </w:r>
            <w:r>
              <w:rPr>
                <w:b w:val="0"/>
                <w:i w:val="0"/>
                <w:sz w:val="15"/>
              </w:rPr>
              <w:t xml:space="preserve"> No attorney is an author or recipient, and no request for or conveyance of legal advice is described. These are business communications about preparing the very representations at issue: fleet (¶¶ 19–24), financials (¶¶ 30–35), insurance (¶ 25) and subcontractors (¶ 22). Also responsive to RFPs 2, 6, 8, 10 and 17</w:t>
            </w:r>
          </w:p>
        </w:tc>
        <w:tc>
          <w:tcPr>
            <w:tcW w:type="dxa" w:w="864"/>
            <w:shd w:val="clear" w:color="auto" w:fill="F4CCCC"/>
          </w:tcPr>
          <w:p>
            <w:r/>
            <w:r>
              <w:rPr>
                <w:b w:val="0"/>
                <w:i w:val="0"/>
                <w:sz w:val="15"/>
              </w:rPr>
              <w:t>Critical</w:t>
            </w:r>
          </w:p>
        </w:tc>
        <w:tc>
          <w:tcPr>
            <w:tcW w:type="dxa" w:w="1728"/>
          </w:tcPr>
          <w:p>
            <w:r/>
            <w:r>
              <w:rPr>
                <w:b w:val="0"/>
                <w:i w:val="0"/>
                <w:sz w:val="15"/>
              </w:rPr>
              <w:t>Demand production; move to compel</w:t>
            </w:r>
          </w:p>
        </w:tc>
      </w:tr>
      <w:tr>
        <w:tc>
          <w:tcPr>
            <w:tcW w:type="dxa" w:w="1008"/>
          </w:tcPr>
          <w:p>
            <w:r/>
            <w:r>
              <w:rPr>
                <w:b w:val="0"/>
                <w:i w:val="0"/>
                <w:sz w:val="15"/>
              </w:rPr>
              <w:t>31</w:t>
            </w:r>
          </w:p>
        </w:tc>
        <w:tc>
          <w:tcPr>
            <w:tcW w:type="dxa" w:w="2304"/>
          </w:tcPr>
          <w:p>
            <w:r/>
            <w:r>
              <w:rPr>
                <w:b w:val="0"/>
                <w:i w:val="0"/>
                <w:sz w:val="15"/>
              </w:rPr>
              <w:t>Delaney → Alderton, Brisk, Jan. 10, 2021: "potential exposure if actual fleet count disclosed"</w:t>
            </w:r>
          </w:p>
        </w:tc>
        <w:tc>
          <w:tcPr>
            <w:tcW w:type="dxa" w:w="3456"/>
          </w:tcPr>
          <w:p>
            <w:r/>
            <w:r>
              <w:rPr>
                <w:b w:val="0"/>
                <w:i w:val="0"/>
                <w:sz w:val="15"/>
              </w:rPr>
              <w:t xml:space="preserve">Facially privileged, but a strong candidate for the </w:t>
            </w:r>
            <w:r>
              <w:rPr>
                <w:b/>
                <w:i w:val="0"/>
                <w:sz w:val="15"/>
              </w:rPr>
              <w:t>crime-fraud exception</w:t>
            </w:r>
            <w:r>
              <w:rPr>
                <w:b w:val="0"/>
                <w:i w:val="0"/>
                <w:sz w:val="15"/>
              </w:rPr>
              <w:t>. The advice was given two days after the Fleet Capacity Report and two days before the COI, and the description itself suggests concealment of the actual count. Seek in camera review under *United States v. Zolin*, 491 U.S. 554, 572 (1989). The unprivileged evidence in entries 12–18 and 33–40 would supply the threshold showing. Also supports the Compl. ¶ 74(d) knowledge allegation</w:t>
            </w:r>
          </w:p>
        </w:tc>
        <w:tc>
          <w:tcPr>
            <w:tcW w:type="dxa" w:w="864"/>
            <w:shd w:val="clear" w:color="auto" w:fill="FCE5CD"/>
          </w:tcPr>
          <w:p>
            <w:r/>
            <w:r>
              <w:rPr>
                <w:b w:val="0"/>
                <w:i w:val="0"/>
                <w:sz w:val="15"/>
              </w:rPr>
              <w:t>High</w:t>
            </w:r>
          </w:p>
        </w:tc>
        <w:tc>
          <w:tcPr>
            <w:tcW w:type="dxa" w:w="1728"/>
          </w:tcPr>
          <w:p>
            <w:r/>
            <w:r>
              <w:rPr>
                <w:b w:val="0"/>
                <w:i w:val="0"/>
                <w:sz w:val="15"/>
              </w:rPr>
              <w:t>Motion for in camera review</w:t>
            </w:r>
          </w:p>
        </w:tc>
      </w:tr>
      <w:tr>
        <w:tc>
          <w:tcPr>
            <w:tcW w:type="dxa" w:w="1008"/>
          </w:tcPr>
          <w:p>
            <w:r/>
            <w:r>
              <w:rPr>
                <w:b w:val="0"/>
                <w:i w:val="0"/>
                <w:sz w:val="15"/>
              </w:rPr>
              <w:t>32</w:t>
            </w:r>
          </w:p>
        </w:tc>
        <w:tc>
          <w:tcPr>
            <w:tcW w:type="dxa" w:w="2304"/>
          </w:tcPr>
          <w:p>
            <w:r/>
            <w:r>
              <w:rPr>
                <w:b w:val="0"/>
                <w:i w:val="0"/>
                <w:sz w:val="15"/>
              </w:rPr>
              <w:t>Delaney legal review of final FMSA draft (Feb. 28, 2021)</w:t>
            </w:r>
          </w:p>
        </w:tc>
        <w:tc>
          <w:tcPr>
            <w:tcW w:type="dxa" w:w="3456"/>
          </w:tcPr>
          <w:p>
            <w:r/>
            <w:r>
              <w:rPr>
                <w:b w:val="0"/>
                <w:i w:val="0"/>
                <w:sz w:val="15"/>
              </w:rPr>
              <w:t>Likely privileged. Underlying drafts exchanged with PC are not privileged</w:t>
            </w:r>
          </w:p>
        </w:tc>
        <w:tc>
          <w:tcPr>
            <w:tcW w:type="dxa" w:w="864"/>
            <w:shd w:val="clear" w:color="auto" w:fill="D9EAD3"/>
          </w:tcPr>
          <w:p>
            <w:r/>
            <w:r>
              <w:rPr>
                <w:b w:val="0"/>
                <w:i w:val="0"/>
                <w:sz w:val="15"/>
              </w:rPr>
              <w:t>Low</w:t>
            </w:r>
          </w:p>
        </w:tc>
        <w:tc>
          <w:tcPr>
            <w:tcW w:type="dxa" w:w="1728"/>
          </w:tcPr>
          <w:p>
            <w:r/>
            <w:r>
              <w:rPr>
                <w:b w:val="0"/>
                <w:i w:val="0"/>
                <w:sz w:val="15"/>
              </w:rPr>
              <w:t>No challenge; confirm drafts produced</w:t>
            </w:r>
          </w:p>
        </w:tc>
      </w:tr>
      <w:tr>
        <w:tc>
          <w:tcPr>
            <w:tcW w:type="dxa" w:w="1008"/>
          </w:tcPr>
          <w:p>
            <w:r/>
            <w:r>
              <w:rPr>
                <w:b w:val="0"/>
                <w:i w:val="0"/>
                <w:sz w:val="15"/>
              </w:rPr>
              <w:t>19–26</w:t>
            </w:r>
          </w:p>
        </w:tc>
        <w:tc>
          <w:tcPr>
            <w:tcW w:type="dxa" w:w="2304"/>
          </w:tcPr>
          <w:p>
            <w:r/>
            <w:r>
              <w:rPr>
                <w:b w:val="0"/>
                <w:i w:val="0"/>
                <w:sz w:val="15"/>
              </w:rPr>
              <w:t>Delaney legal analyses of breach notices, cure, termination, counterclaim (June 2021 – Oct. 2023)</w:t>
            </w:r>
          </w:p>
        </w:tc>
        <w:tc>
          <w:tcPr>
            <w:tcW w:type="dxa" w:w="3456"/>
          </w:tcPr>
          <w:p>
            <w:r/>
            <w:r>
              <w:rPr>
                <w:b w:val="0"/>
                <w:i w:val="0"/>
                <w:sz w:val="15"/>
              </w:rPr>
              <w:t xml:space="preserve">Generally privileged. </w:t>
            </w:r>
            <w:r>
              <w:rPr>
                <w:b/>
                <w:i w:val="0"/>
                <w:sz w:val="15"/>
              </w:rPr>
              <w:t>Strategic use:</w:t>
            </w:r>
            <w:r>
              <w:rPr>
                <w:b w:val="0"/>
                <w:i w:val="0"/>
                <w:sz w:val="15"/>
              </w:rPr>
              <w:t xml:space="preserve"> these entries show Meridian was analysing breach exposure with counsel from June 2021, which supports an earlier preservation trigger (see § VI). Attachments to entries 21 and 25 are not separately described. Entry 20 shows Hale is an e-mail custodian on performance issues</w:t>
            </w:r>
          </w:p>
        </w:tc>
        <w:tc>
          <w:tcPr>
            <w:tcW w:type="dxa" w:w="864"/>
            <w:shd w:val="clear" w:color="auto" w:fill="FFF2CC"/>
          </w:tcPr>
          <w:p>
            <w:r/>
            <w:r>
              <w:rPr>
                <w:b w:val="0"/>
                <w:i w:val="0"/>
                <w:sz w:val="15"/>
              </w:rPr>
              <w:t>Medium</w:t>
            </w:r>
          </w:p>
        </w:tc>
        <w:tc>
          <w:tcPr>
            <w:tcW w:type="dxa" w:w="1728"/>
          </w:tcPr>
          <w:p>
            <w:r/>
            <w:r>
              <w:rPr>
                <w:b w:val="0"/>
                <w:i w:val="0"/>
                <w:sz w:val="15"/>
              </w:rPr>
              <w:t>Require attachments to be logged separately; use as preservation evidence</w:t>
            </w:r>
          </w:p>
        </w:tc>
      </w:tr>
      <w:tr>
        <w:tc>
          <w:tcPr>
            <w:tcW w:type="dxa" w:w="1008"/>
          </w:tcPr>
          <w:p>
            <w:r/>
            <w:r>
              <w:rPr>
                <w:b w:val="0"/>
                <w:i w:val="0"/>
                <w:sz w:val="15"/>
              </w:rPr>
              <w:t>6, 28</w:t>
            </w:r>
          </w:p>
        </w:tc>
        <w:tc>
          <w:tcPr>
            <w:tcW w:type="dxa" w:w="2304"/>
          </w:tcPr>
          <w:p>
            <w:r/>
            <w:r>
              <w:rPr>
                <w:b w:val="0"/>
                <w:i w:val="0"/>
                <w:sz w:val="15"/>
              </w:rPr>
              <w:t>"Compilation of internal documents re Pacific Corridor account"; "case background materials" sent to counsel</w:t>
            </w:r>
          </w:p>
        </w:tc>
        <w:tc>
          <w:tcPr>
            <w:tcW w:type="dxa" w:w="3456"/>
          </w:tcPr>
          <w:p>
            <w:r/>
            <w:r>
              <w:rPr>
                <w:b w:val="0"/>
                <w:i w:val="0"/>
                <w:sz w:val="15"/>
              </w:rPr>
              <w:t>Pre-existing business documents do not become privileged by being sent to counsel. Entry 6 is coded to RFP 19 (dispatch) and RFP 23, and may contain dispatch data for the missing period</w:t>
            </w:r>
          </w:p>
        </w:tc>
        <w:tc>
          <w:tcPr>
            <w:tcW w:type="dxa" w:w="864"/>
            <w:shd w:val="clear" w:color="auto" w:fill="FCE5CD"/>
          </w:tcPr>
          <w:p>
            <w:r/>
            <w:r>
              <w:rPr>
                <w:b w:val="0"/>
                <w:i w:val="0"/>
                <w:sz w:val="15"/>
              </w:rPr>
              <w:t>High</w:t>
            </w:r>
          </w:p>
        </w:tc>
        <w:tc>
          <w:tcPr>
            <w:tcW w:type="dxa" w:w="1728"/>
          </w:tcPr>
          <w:p>
            <w:r/>
            <w:r>
              <w:rPr>
                <w:b w:val="0"/>
                <w:i w:val="0"/>
                <w:sz w:val="15"/>
              </w:rPr>
              <w:t>Demand that the underlying documents be identified and confirmed as produced, especially Oct. 2021 – Apr. 2022 dispatch data</w:t>
            </w:r>
          </w:p>
        </w:tc>
      </w:tr>
      <w:tr>
        <w:tc>
          <w:tcPr>
            <w:tcW w:type="dxa" w:w="1008"/>
          </w:tcPr>
          <w:p>
            <w:r/>
            <w:r>
              <w:rPr>
                <w:b w:val="0"/>
                <w:i w:val="0"/>
                <w:sz w:val="15"/>
              </w:rPr>
              <w:t>8, 9, 26</w:t>
            </w:r>
          </w:p>
        </w:tc>
        <w:tc>
          <w:tcPr>
            <w:tcW w:type="dxa" w:w="2304"/>
          </w:tcPr>
          <w:p>
            <w:r/>
            <w:r>
              <w:rPr>
                <w:b w:val="0"/>
                <w:i w:val="0"/>
                <w:sz w:val="15"/>
              </w:rPr>
              <w:t>Counterclaim damages methodology; "volume shortfall analysis prepared at counsel's request"; assessment of claims</w:t>
            </w:r>
          </w:p>
        </w:tc>
        <w:tc>
          <w:tcPr>
            <w:tcW w:type="dxa" w:w="3456"/>
          </w:tcPr>
          <w:p>
            <w:r/>
            <w:r>
              <w:rPr>
                <w:b w:val="0"/>
                <w:i w:val="0"/>
                <w:sz w:val="15"/>
              </w:rPr>
              <w:t xml:space="preserve">Meridian relies on its internal analyses to prove the $3.2M counterclaim (Counterclaim ¶¶ 46, 59). </w:t>
            </w:r>
            <w:r>
              <w:rPr>
                <w:b/>
                <w:i w:val="0"/>
                <w:sz w:val="15"/>
              </w:rPr>
              <w:t>At-issue / implied waiver</w:t>
            </w:r>
            <w:r>
              <w:rPr>
                <w:b w:val="0"/>
                <w:i w:val="0"/>
                <w:sz w:val="15"/>
              </w:rPr>
              <w:t xml:space="preserve"> (*Chevron Corp. v. Pennzoil Co.*, 974 F.2d 1156, 1162 (9th Cir. 1992)). At minimum, the underlying data and factual analyses must be produced</w:t>
            </w:r>
          </w:p>
        </w:tc>
        <w:tc>
          <w:tcPr>
            <w:tcW w:type="dxa" w:w="864"/>
            <w:shd w:val="clear" w:color="auto" w:fill="FCE5CD"/>
          </w:tcPr>
          <w:p>
            <w:r/>
            <w:r>
              <w:rPr>
                <w:b w:val="0"/>
                <w:i w:val="0"/>
                <w:sz w:val="15"/>
              </w:rPr>
              <w:t>High</w:t>
            </w:r>
          </w:p>
        </w:tc>
        <w:tc>
          <w:tcPr>
            <w:tcW w:type="dxa" w:w="1728"/>
          </w:tcPr>
          <w:p>
            <w:r/>
            <w:r>
              <w:rPr>
                <w:b w:val="0"/>
                <w:i w:val="0"/>
                <w:sz w:val="15"/>
              </w:rPr>
              <w:t>Compel, or seek preclusion of undisclosed analyses</w:t>
            </w:r>
          </w:p>
        </w:tc>
      </w:tr>
      <w:tr>
        <w:tc>
          <w:tcPr>
            <w:tcW w:type="dxa" w:w="1008"/>
          </w:tcPr>
          <w:p>
            <w:r/>
            <w:r>
              <w:rPr>
                <w:b w:val="0"/>
                <w:i w:val="0"/>
                <w:sz w:val="15"/>
              </w:rPr>
              <w:t>1–5, 7, 10, 11, 27, 29, 30, 41–43</w:t>
            </w:r>
          </w:p>
        </w:tc>
        <w:tc>
          <w:tcPr>
            <w:tcW w:type="dxa" w:w="2304"/>
          </w:tcPr>
          <w:p>
            <w:r/>
            <w:r>
              <w:rPr>
                <w:b w:val="0"/>
                <w:i w:val="0"/>
                <w:sz w:val="15"/>
              </w:rPr>
              <w:t>Communications with outside counsel, mostly post-complaint</w:t>
            </w:r>
          </w:p>
        </w:tc>
        <w:tc>
          <w:tcPr>
            <w:tcW w:type="dxa" w:w="3456"/>
          </w:tcPr>
          <w:p>
            <w:r/>
            <w:r>
              <w:rPr>
                <w:b w:val="0"/>
                <w:i w:val="0"/>
                <w:sz w:val="15"/>
              </w:rPr>
              <w:t>Likely privileged. Post-complaint communications with litigation counsel are customarily not logged. Consider a reciprocal agreement. Entries 3 and 7 (preservation and hold advice) may become discoverable if spoliation is litigated</w:t>
            </w:r>
          </w:p>
        </w:tc>
        <w:tc>
          <w:tcPr>
            <w:tcW w:type="dxa" w:w="864"/>
            <w:shd w:val="clear" w:color="auto" w:fill="D9EAD3"/>
          </w:tcPr>
          <w:p>
            <w:r/>
            <w:r>
              <w:rPr>
                <w:b w:val="0"/>
                <w:i w:val="0"/>
                <w:sz w:val="15"/>
              </w:rPr>
              <w:t>Low</w:t>
            </w:r>
          </w:p>
        </w:tc>
        <w:tc>
          <w:tcPr>
            <w:tcW w:type="dxa" w:w="1728"/>
          </w:tcPr>
          <w:p>
            <w:r/>
            <w:r>
              <w:rPr>
                <w:b w:val="0"/>
                <w:i w:val="0"/>
                <w:sz w:val="15"/>
              </w:rPr>
              <w:t>No challenge now; reserve</w:t>
            </w:r>
          </w:p>
        </w:tc>
      </w:tr>
      <w:tr>
        <w:tc>
          <w:tcPr>
            <w:tcW w:type="dxa" w:w="1008"/>
          </w:tcPr>
          <w:p>
            <w:r/>
            <w:r>
              <w:rPr>
                <w:b w:val="0"/>
                <w:i w:val="0"/>
                <w:sz w:val="15"/>
              </w:rPr>
              <w:t>Missing</w:t>
            </w:r>
          </w:p>
        </w:tc>
        <w:tc>
          <w:tcPr>
            <w:tcW w:type="dxa" w:w="2304"/>
          </w:tcPr>
          <w:p>
            <w:r/>
            <w:r>
              <w:rPr>
                <w:b w:val="0"/>
                <w:i w:val="0"/>
                <w:sz w:val="15"/>
              </w:rPr>
              <w:t>No entries for Alderton, Cho, Hale or Delaney external communications; no board materials; no Oct. 2021 – Apr. 2022 operational records</w:t>
            </w:r>
          </w:p>
        </w:tc>
        <w:tc>
          <w:tcPr>
            <w:tcW w:type="dxa" w:w="3456"/>
          </w:tcPr>
          <w:p>
            <w:r/>
            <w:r>
              <w:rPr>
                <w:b w:val="0"/>
                <w:i w:val="0"/>
                <w:sz w:val="15"/>
              </w:rPr>
              <w:t>If withheld, these must be logged. If they were not collected, the omission is a collection failure</w:t>
            </w:r>
          </w:p>
        </w:tc>
        <w:tc>
          <w:tcPr>
            <w:tcW w:type="dxa" w:w="864"/>
            <w:shd w:val="clear" w:color="auto" w:fill="FCE5CD"/>
          </w:tcPr>
          <w:p>
            <w:r/>
            <w:r>
              <w:rPr>
                <w:b w:val="0"/>
                <w:i w:val="0"/>
                <w:sz w:val="15"/>
              </w:rPr>
              <w:t>High</w:t>
            </w:r>
          </w:p>
        </w:tc>
        <w:tc>
          <w:tcPr>
            <w:tcW w:type="dxa" w:w="1728"/>
          </w:tcPr>
          <w:p>
            <w:r/>
            <w:r>
              <w:rPr>
                <w:b w:val="0"/>
                <w:i w:val="0"/>
                <w:sz w:val="15"/>
              </w:rPr>
              <w:t>Demand supplemental log or certification</w:t>
            </w:r>
          </w:p>
        </w:tc>
      </w:tr>
    </w:tbl>
    <w:p>
      <w:pPr>
        <w:spacing w:after="40"/>
      </w:pPr>
    </w:p>
    <w:p>
      <w:pPr>
        <w:spacing w:after="120"/>
      </w:pPr>
      <w:r>
        <w:rPr>
          <w:b/>
          <w:i w:val="0"/>
        </w:rPr>
        <w:t>Other observations.</w:t>
      </w:r>
      <w:r>
        <w:rPr>
          <w:b w:val="0"/>
          <w:i w:val="0"/>
        </w:rPr>
        <w:t xml:space="preserve"> (i) The policy number "PFI-</w:t>
      </w:r>
      <w:r>
        <w:rPr>
          <w:b/>
          <w:i w:val="0"/>
        </w:rPr>
        <w:t>2021</w:t>
      </w:r>
      <w:r>
        <w:rPr>
          <w:b w:val="0"/>
          <w:i w:val="0"/>
        </w:rPr>
        <w:t>-88413" appears in the September 14, 2020 entry (PRIV-33) as the policy "for upcoming renewal." Either the number was assigned in advance or the description is inaccurate; we should probe this with Pinnacle. (ii) The log's "Full Entry Detail" tab contains group headings characterising entries 12–18 as "Mischaracterized as Privileged" and entries 33–40 as "Improperly Withheld as Work Product." We should confirm whether these headings were in the version Meridian served or were added during our internal review before the document is cited or filed.</w:t>
      </w:r>
    </w:p>
    <w:p>
      <w:pPr>
        <w:pStyle w:val="Heading1"/>
      </w:pPr>
      <w:r>
        <w:t>VI. Missing Dispatch Logs (Oct. 2021 – Apr. 2022): Preservation and Spoliation</w:t>
      </w:r>
    </w:p>
    <w:p>
      <w:pPr>
        <w:pStyle w:val="ListBullet"/>
        <w:spacing w:after="60"/>
      </w:pPr>
      <w:r>
        <w:rPr>
          <w:b/>
          <w:i w:val="0"/>
        </w:rPr>
        <w:t>What is missing.</w:t>
      </w:r>
      <w:r>
        <w:rPr>
          <w:b w:val="0"/>
          <w:i w:val="0"/>
        </w:rPr>
        <w:t xml:space="preserve"> Daily dispatch logs, monthly dispatch summaries and the Q4 2021 on-time report for October 2021 – April 2022. This window covers several breach notices and the period PC identifies as the worst performance. Load-level data for the months before and after this window was produced.</w:t>
      </w:r>
    </w:p>
    <w:p>
      <w:pPr>
        <w:pStyle w:val="ListBullet"/>
        <w:spacing w:after="60"/>
      </w:pPr>
      <w:r>
        <w:rPr>
          <w:b/>
          <w:i w:val="0"/>
        </w:rPr>
        <w:t>Meridian's shifting explanations.</w:t>
      </w:r>
      <w:r>
        <w:rPr>
          <w:b w:val="0"/>
          <w:i w:val="0"/>
        </w:rPr>
        <w:t xml:space="preserve"> On Sept. 2, Meridian said records "may not have been preserved in the ordinary course." On Sept. 15, it said certain RouteCast Pro data "was not migrated" to FleetBridge in approximately Q4 2021, and that it will not undertake "extraordinary recovery efforts." Meridian has not answered any of the five questions in our Sept. 9 letter (system names confirmed only; no dates, migration scope, backups, or hold date and scope).</w:t>
      </w:r>
    </w:p>
    <w:p>
      <w:pPr>
        <w:pStyle w:val="ListBullet"/>
        <w:spacing w:after="60"/>
      </w:pPr>
      <w:r>
        <w:rPr>
          <w:b/>
          <w:i w:val="0"/>
        </w:rPr>
        <w:t>Trigger date.</w:t>
      </w:r>
      <w:r>
        <w:rPr>
          <w:b w:val="0"/>
          <w:i w:val="0"/>
        </w:rPr>
        <w:t xml:space="preserve"> The only produced hold document is Brisk's August 25, 2023 memo (MLC-002859), almost two years after the migration. But the duty to preserve arises when litigation is reasonably anticipated. Meridian's own log supports an early trigger: legal analysis of the first breach notice (PRIV-19, June 22, 2021), advice on "potential breach exposure" (PRIV-20, Sept. 15, 2021), and assertions of work product for communications dating back to Sept. 2020. Meridian cannot claim it anticipated litigation in 2020 for privilege purposes and then deny it for preservation purposes.</w:t>
      </w:r>
    </w:p>
    <w:p>
      <w:pPr>
        <w:pStyle w:val="ListBullet"/>
        <w:spacing w:after="60"/>
      </w:pPr>
      <w:r>
        <w:rPr>
          <w:b/>
          <w:i w:val="0"/>
        </w:rPr>
        <w:t>Alternative sources to demand.</w:t>
      </w:r>
      <w:r>
        <w:rPr>
          <w:b w:val="0"/>
          <w:i w:val="0"/>
        </w:rPr>
        <w:t xml:space="preserve"> Legacy RouteCast Pro database backups or archives; vendor-hosted copies from the RouteCast vendor; migration project files; ELD/telematics data (FMCSA-mandated ELD records); driver HOS logs (Meridian's own quarterly HOS reports for Q4 2021 and Q1 2022 were produced at MLC-003601 and MLC-003611, so the underlying data existed); fuel card data; customer invoices with load detail (MLC-001306–001410 cover Oct. 2021 – Apr. 2022); PRIV-6 compilation; and e-mailed dispatch reports in the Hale and Sato mailboxes.</w:t>
      </w:r>
    </w:p>
    <w:p>
      <w:pPr>
        <w:pStyle w:val="ListBullet"/>
        <w:spacing w:after="60"/>
      </w:pPr>
      <w:r>
        <w:rPr>
          <w:b/>
          <w:i w:val="0"/>
        </w:rPr>
        <w:t>Remedy path.</w:t>
      </w:r>
      <w:r>
        <w:rPr>
          <w:b w:val="0"/>
          <w:i w:val="0"/>
        </w:rPr>
        <w:t xml:space="preserve"> First demand a verified declaration (from IT and a 30(b)(6) designee) covering systems, migration dates, data scope, backups, hold dates and custodians. If the ESI was lost and cannot be restored or replaced, FRCP 37(e)(1) permits curative measures on a showing of prejudice. If intent to deprive is shown, 37(e)(2) permits an adverse inference. The Scheduling Order (§ 4.2) expressly lists adverse-inference and preclusion sanctions. In the meantime, PC's own records of missed pickups for this period should be assembled as the primary proof.</w:t>
      </w:r>
    </w:p>
    <w:p>
      <w:pPr>
        <w:pStyle w:val="Heading1"/>
      </w:pPr>
      <w:r>
        <w:t>VII. Production Index Integrity and Factual Discrepancies</w:t>
      </w:r>
    </w:p>
    <w:tbl>
      <w:tblPr>
        <w:tblStyle w:val="TableGrid"/>
        <w:tblW w:type="auto" w:w="0"/>
        <w:jc w:val="center"/>
        <w:tblLook w:firstColumn="1" w:firstRow="1" w:lastColumn="0" w:lastRow="0" w:noHBand="0" w:noVBand="1" w:val="04A0"/>
      </w:tblPr>
      <w:tblGrid>
        <w:gridCol w:w="3120"/>
        <w:gridCol w:w="3120"/>
        <w:gridCol w:w="3120"/>
      </w:tblGrid>
      <w:tr>
        <w:trPr>
          <w:tblHeader w:val="true"/>
        </w:trPr>
        <w:tc>
          <w:tcPr>
            <w:tcW w:type="dxa" w:w="1728"/>
            <w:shd w:val="clear" w:color="auto" w:fill="1F3A5F"/>
          </w:tcPr>
          <w:p>
            <w:r/>
            <w:r>
              <w:rPr>
                <w:b/>
                <w:color w:val="FFFFFF"/>
                <w:sz w:val="16"/>
              </w:rPr>
              <w:t>Issue</w:t>
            </w:r>
          </w:p>
        </w:tc>
        <w:tc>
          <w:tcPr>
            <w:tcW w:type="dxa" w:w="4032"/>
            <w:shd w:val="clear" w:color="auto" w:fill="1F3A5F"/>
          </w:tcPr>
          <w:p>
            <w:r/>
            <w:r>
              <w:rPr>
                <w:b/>
                <w:color w:val="FFFFFF"/>
                <w:sz w:val="16"/>
              </w:rPr>
              <w:t>Detail</w:t>
            </w:r>
          </w:p>
        </w:tc>
        <w:tc>
          <w:tcPr>
            <w:tcW w:type="dxa" w:w="3600"/>
            <w:shd w:val="clear" w:color="auto" w:fill="1F3A5F"/>
          </w:tcPr>
          <w:p>
            <w:r/>
            <w:r>
              <w:rPr>
                <w:b/>
                <w:color w:val="FFFFFF"/>
                <w:sz w:val="16"/>
              </w:rPr>
              <w:t>Why it matters</w:t>
            </w:r>
          </w:p>
        </w:tc>
      </w:tr>
      <w:tr>
        <w:tc>
          <w:tcPr>
            <w:tcW w:type="dxa" w:w="1728"/>
          </w:tcPr>
          <w:p>
            <w:r/>
            <w:r>
              <w:rPr>
                <w:b w:val="0"/>
                <w:i w:val="0"/>
                <w:sz w:val="16"/>
              </w:rPr>
              <w:t>Document count</w:t>
            </w:r>
          </w:p>
        </w:tc>
        <w:tc>
          <w:tcPr>
            <w:tcW w:type="dxa" w:w="4032"/>
          </w:tcPr>
          <w:p>
            <w:r/>
            <w:r>
              <w:rPr>
                <w:b w:val="0"/>
                <w:i w:val="0"/>
                <w:sz w:val="16"/>
              </w:rPr>
              <w:t>332 index entries versus "Total Documents: 312" in the index summary and Ms. Farouk's letter. Pages total 4,217 and the Bates ranges are continuous</w:t>
            </w:r>
          </w:p>
        </w:tc>
        <w:tc>
          <w:tcPr>
            <w:tcW w:type="dxa" w:w="3600"/>
          </w:tcPr>
          <w:p>
            <w:r/>
            <w:r>
              <w:rPr>
                <w:b w:val="0"/>
                <w:i w:val="0"/>
                <w:sz w:val="16"/>
              </w:rPr>
              <w:t>Suggests entries were split or merged after the summary was prepared, or the stated total is simply wrong. Request a corrected index and load file (Order § 2.4(b))</w:t>
            </w:r>
          </w:p>
        </w:tc>
      </w:tr>
      <w:tr>
        <w:tc>
          <w:tcPr>
            <w:tcW w:type="dxa" w:w="1728"/>
          </w:tcPr>
          <w:p>
            <w:r/>
            <w:r>
              <w:rPr>
                <w:b w:val="0"/>
                <w:i w:val="0"/>
                <w:sz w:val="16"/>
              </w:rPr>
              <w:t>Unreliable RFP coding</w:t>
            </w:r>
          </w:p>
        </w:tc>
        <w:tc>
          <w:tcPr>
            <w:tcW w:type="dxa" w:w="4032"/>
          </w:tcPr>
          <w:p>
            <w:r/>
            <w:r>
              <w:rPr>
                <w:b w:val="0"/>
                <w:i w:val="0"/>
                <w:sz w:val="16"/>
              </w:rPr>
              <w:t>Coding follows Meridian's restated numbering (e.g., "18" = driver training; "25" = counterclaim emails; "16" = invoices)</w:t>
            </w:r>
          </w:p>
        </w:tc>
        <w:tc>
          <w:tcPr>
            <w:tcW w:type="dxa" w:w="3600"/>
          </w:tcPr>
          <w:p>
            <w:r/>
            <w:r>
              <w:rPr>
                <w:b w:val="0"/>
                <w:i w:val="0"/>
                <w:sz w:val="16"/>
              </w:rPr>
              <w:t>Meridian's claims of "substantial completeness" cannot be verified by RFP. Demand re-coding to the requests as served</w:t>
            </w:r>
          </w:p>
        </w:tc>
      </w:tr>
      <w:tr>
        <w:tc>
          <w:tcPr>
            <w:tcW w:type="dxa" w:w="1728"/>
          </w:tcPr>
          <w:p>
            <w:r/>
            <w:r>
              <w:rPr>
                <w:b w:val="0"/>
                <w:i w:val="0"/>
                <w:sz w:val="16"/>
              </w:rPr>
              <w:t>Non-responsive padding</w:t>
            </w:r>
          </w:p>
        </w:tc>
        <w:tc>
          <w:tcPr>
            <w:tcW w:type="dxa" w:w="4032"/>
          </w:tcPr>
          <w:p>
            <w:r/>
            <w:r>
              <w:rPr>
                <w:b w:val="0"/>
                <w:i w:val="0"/>
                <w:sz w:val="16"/>
              </w:rPr>
              <w:t>9 Greystone Distribution Partners documents (MLC-003980–004055); DOT, FMCSA, training and HOS reports coded to unrelated RFPs</w:t>
            </w:r>
          </w:p>
        </w:tc>
        <w:tc>
          <w:tcPr>
            <w:tcW w:type="dxa" w:w="3600"/>
          </w:tcPr>
          <w:p>
            <w:r/>
            <w:r>
              <w:rPr>
                <w:b w:val="0"/>
                <w:i w:val="0"/>
                <w:sz w:val="16"/>
              </w:rPr>
              <w:t>Inflates the volume. However, Greystone's own volume shortfalls and write-off (MLC-004054) may show another cause of Meridian's revenue decline, which is relevant to the Counterclaim ¶ 45 causation theory</w:t>
            </w:r>
          </w:p>
        </w:tc>
      </w:tr>
      <w:tr>
        <w:tc>
          <w:tcPr>
            <w:tcW w:type="dxa" w:w="1728"/>
          </w:tcPr>
          <w:p>
            <w:r/>
            <w:r>
              <w:rPr>
                <w:b w:val="0"/>
                <w:i w:val="0"/>
                <w:sz w:val="16"/>
              </w:rPr>
              <w:t>Termination correspondence</w:t>
            </w:r>
          </w:p>
        </w:tc>
        <w:tc>
          <w:tcPr>
            <w:tcW w:type="dxa" w:w="4032"/>
          </w:tcPr>
          <w:p>
            <w:r/>
            <w:r>
              <w:rPr>
                <w:b w:val="0"/>
                <w:i w:val="0"/>
                <w:sz w:val="16"/>
              </w:rPr>
              <w:t>Index: PC notice dated July 1, 2023, effective Aug. 31, 2023 (MLC-002821); Meridian response July 15, 2023 (MLC-002831). Pleadings: notice Aug. 22, 2023 (Compl. ¶ 50; Ans. ¶ 20); response Sept. 5, 2023 (Compl. ¶ 52; Ans. ¶ 20)</w:t>
            </w:r>
          </w:p>
        </w:tc>
        <w:tc>
          <w:tcPr>
            <w:tcW w:type="dxa" w:w="3600"/>
          </w:tcPr>
          <w:p>
            <w:r/>
            <w:r>
              <w:rPr>
                <w:b w:val="0"/>
                <w:i w:val="0"/>
                <w:sz w:val="16"/>
              </w:rPr>
              <w:t>Either mis-indexed or the Aug. 22 and Sept. 5 letters were not produced. Check PC's own files. The discrepancy also affects the § 12.3 cure-period defense (Counterclaim ¶ 62)</w:t>
            </w:r>
          </w:p>
        </w:tc>
      </w:tr>
      <w:tr>
        <w:tc>
          <w:tcPr>
            <w:tcW w:type="dxa" w:w="1728"/>
          </w:tcPr>
          <w:p>
            <w:r/>
            <w:r>
              <w:rPr>
                <w:b w:val="0"/>
                <w:i w:val="0"/>
                <w:sz w:val="16"/>
              </w:rPr>
              <w:t>Breach notices</w:t>
            </w:r>
          </w:p>
        </w:tc>
        <w:tc>
          <w:tcPr>
            <w:tcW w:type="dxa" w:w="4032"/>
          </w:tcPr>
          <w:p>
            <w:r/>
            <w:r>
              <w:rPr>
                <w:b w:val="0"/>
                <w:i w:val="0"/>
                <w:sz w:val="16"/>
              </w:rPr>
              <w:t>Complaint pleads 11 notices (June 2021 – July 2023). About 4–5 notices appear in the index, none from 2021</w:t>
            </w:r>
          </w:p>
        </w:tc>
        <w:tc>
          <w:tcPr>
            <w:tcW w:type="dxa" w:w="3600"/>
          </w:tcPr>
          <w:p>
            <w:r/>
            <w:r>
              <w:rPr>
                <w:b w:val="0"/>
                <w:i w:val="0"/>
                <w:sz w:val="16"/>
              </w:rPr>
              <w:t>Missing RFP 26(e) material. The notice-validity defense (Ans. ¶ 18) depends on the full set</w:t>
            </w:r>
          </w:p>
        </w:tc>
      </w:tr>
      <w:tr>
        <w:tc>
          <w:tcPr>
            <w:tcW w:type="dxa" w:w="1728"/>
          </w:tcPr>
          <w:p>
            <w:r/>
            <w:r>
              <w:rPr>
                <w:b w:val="0"/>
                <w:i w:val="0"/>
                <w:sz w:val="16"/>
              </w:rPr>
              <w:t>Alderton's title</w:t>
            </w:r>
          </w:p>
        </w:tc>
        <w:tc>
          <w:tcPr>
            <w:tcW w:type="dxa" w:w="4032"/>
          </w:tcPr>
          <w:p>
            <w:r/>
            <w:r>
              <w:rPr>
                <w:b w:val="0"/>
                <w:i w:val="0"/>
                <w:sz w:val="16"/>
              </w:rPr>
              <w:t>Index describes Graham Alderton as "COO" (MLC-003821, -004103). Pleadings and Meridian's RFP responses identify him as CEO</w:t>
            </w:r>
          </w:p>
        </w:tc>
        <w:tc>
          <w:tcPr>
            <w:tcW w:type="dxa" w:w="3600"/>
          </w:tcPr>
          <w:p>
            <w:r/>
            <w:r>
              <w:rPr>
                <w:b w:val="0"/>
                <w:i w:val="0"/>
                <w:sz w:val="16"/>
              </w:rPr>
              <w:t>Minor, but confirm for deposition outlines and for authentication</w:t>
            </w:r>
          </w:p>
        </w:tc>
      </w:tr>
      <w:tr>
        <w:tc>
          <w:tcPr>
            <w:tcW w:type="dxa" w:w="1728"/>
          </w:tcPr>
          <w:p>
            <w:r/>
            <w:r>
              <w:rPr>
                <w:b w:val="0"/>
                <w:i w:val="0"/>
                <w:sz w:val="16"/>
              </w:rPr>
              <w:t>Bulk entries</w:t>
            </w:r>
          </w:p>
        </w:tc>
        <w:tc>
          <w:tcPr>
            <w:tcW w:type="dxa" w:w="4032"/>
          </w:tcPr>
          <w:p>
            <w:r/>
            <w:r>
              <w:rPr>
                <w:b w:val="0"/>
                <w:i w:val="0"/>
                <w:sz w:val="16"/>
              </w:rPr>
              <w:t>MLC-003821 (159 pp.) groups 42 letters under one entry; MLC-004103 groups 8 letters</w:t>
            </w:r>
          </w:p>
        </w:tc>
        <w:tc>
          <w:tcPr>
            <w:tcW w:type="dxa" w:w="3600"/>
          </w:tcPr>
          <w:p>
            <w:r/>
            <w:r>
              <w:rPr>
                <w:b w:val="0"/>
                <w:i w:val="0"/>
                <w:sz w:val="16"/>
              </w:rPr>
              <w:t>Violates the document-level index requirement in Order § 2.4(b)</w:t>
            </w:r>
          </w:p>
        </w:tc>
      </w:tr>
      <w:tr>
        <w:tc>
          <w:tcPr>
            <w:tcW w:type="dxa" w:w="1728"/>
          </w:tcPr>
          <w:p>
            <w:r/>
            <w:r>
              <w:rPr>
                <w:b w:val="0"/>
                <w:i w:val="0"/>
                <w:sz w:val="16"/>
              </w:rPr>
              <w:t>Created-for-litigation documents</w:t>
            </w:r>
          </w:p>
        </w:tc>
        <w:tc>
          <w:tcPr>
            <w:tcW w:type="dxa" w:w="4032"/>
          </w:tcPr>
          <w:p>
            <w:r/>
            <w:r>
              <w:rPr>
                <w:b w:val="0"/>
                <w:i w:val="0"/>
                <w:sz w:val="16"/>
              </w:rPr>
              <w:t>Capitalized maintenance summary (MLC-002004) dated June 15, 2024</w:t>
            </w:r>
          </w:p>
        </w:tc>
        <w:tc>
          <w:tcPr>
            <w:tcW w:type="dxa" w:w="3600"/>
          </w:tcPr>
          <w:p>
            <w:r/>
            <w:r>
              <w:rPr>
                <w:b w:val="0"/>
                <w:i w:val="0"/>
                <w:sz w:val="16"/>
              </w:rPr>
              <w:t>Produced in place of source records; not an ordinary-course document</w:t>
            </w:r>
          </w:p>
        </w:tc>
      </w:tr>
      <w:tr>
        <w:tc>
          <w:tcPr>
            <w:tcW w:type="dxa" w:w="1728"/>
          </w:tcPr>
          <w:p>
            <w:r/>
            <w:r>
              <w:rPr>
                <w:b w:val="0"/>
                <w:i w:val="0"/>
                <w:sz w:val="16"/>
              </w:rPr>
              <w:t>Format</w:t>
            </w:r>
          </w:p>
        </w:tc>
        <w:tc>
          <w:tcPr>
            <w:tcW w:type="dxa" w:w="4032"/>
          </w:tcPr>
          <w:p>
            <w:r/>
            <w:r>
              <w:rPr>
                <w:b w:val="0"/>
                <w:i w:val="0"/>
                <w:sz w:val="16"/>
              </w:rPr>
              <w:t>PDF only; no metadata</w:t>
            </w:r>
          </w:p>
        </w:tc>
        <w:tc>
          <w:tcPr>
            <w:tcW w:type="dxa" w:w="3600"/>
          </w:tcPr>
          <w:p>
            <w:r/>
            <w:r>
              <w:rPr>
                <w:b w:val="0"/>
                <w:i w:val="0"/>
                <w:sz w:val="16"/>
              </w:rPr>
              <w:t>Request natives for spreadsheets, GL extracts, dispatch/TMS data and rosters under ESI Protocol § 2.4(a) and Instruction 5</w:t>
            </w:r>
          </w:p>
        </w:tc>
      </w:tr>
    </w:tbl>
    <w:p>
      <w:pPr>
        <w:spacing w:after="40"/>
      </w:pPr>
    </w:p>
    <w:p>
      <w:pPr>
        <w:spacing w:after="120"/>
      </w:pPr>
      <w:r>
        <w:rPr>
          <w:b/>
          <w:i w:val="0"/>
        </w:rPr>
        <w:t>Our own papers.</w:t>
      </w:r>
      <w:r>
        <w:rPr>
          <w:b w:val="0"/>
          <w:i w:val="0"/>
        </w:rPr>
        <w:t xml:space="preserve"> The caption of our First Set of RFPs describes Pacific Corridor as "a California limited liability company," but it is a Delaware LLC (Compl. ¶ 7; Ans. ¶ 1). The error is immaterial to the requests but should be corrected in future discovery and motion papers.</w:t>
      </w:r>
    </w:p>
    <w:p>
      <w:pPr>
        <w:pStyle w:val="Heading1"/>
      </w:pPr>
      <w:r>
        <w:t>VIII. Gaps Mapped to Claims and Defenses</w:t>
      </w:r>
    </w:p>
    <w:tbl>
      <w:tblPr>
        <w:tblStyle w:val="TableGrid"/>
        <w:tblW w:type="auto" w:w="0"/>
        <w:jc w:val="center"/>
        <w:tblLook w:firstColumn="1" w:firstRow="1" w:lastColumn="0" w:lastRow="0" w:noHBand="0" w:noVBand="1" w:val="04A0"/>
      </w:tblPr>
      <w:tblGrid>
        <w:gridCol w:w="2340"/>
        <w:gridCol w:w="2340"/>
        <w:gridCol w:w="2340"/>
        <w:gridCol w:w="2340"/>
      </w:tblGrid>
      <w:tr>
        <w:trPr>
          <w:tblHeader w:val="true"/>
        </w:trPr>
        <w:tc>
          <w:tcPr>
            <w:tcW w:type="dxa" w:w="2304"/>
            <w:shd w:val="clear" w:color="auto" w:fill="1F3A5F"/>
          </w:tcPr>
          <w:p>
            <w:r/>
            <w:r>
              <w:rPr>
                <w:b/>
                <w:color w:val="FFFFFF"/>
                <w:sz w:val="16"/>
              </w:rPr>
              <w:t>Claim / Issue</w:t>
            </w:r>
          </w:p>
        </w:tc>
        <w:tc>
          <w:tcPr>
            <w:tcW w:type="dxa" w:w="3168"/>
            <w:shd w:val="clear" w:color="auto" w:fill="1F3A5F"/>
          </w:tcPr>
          <w:p>
            <w:r/>
            <w:r>
              <w:rPr>
                <w:b/>
                <w:color w:val="FFFFFF"/>
                <w:sz w:val="16"/>
              </w:rPr>
              <w:t>Evidence we need</w:t>
            </w:r>
          </w:p>
        </w:tc>
        <w:tc>
          <w:tcPr>
            <w:tcW w:type="dxa" w:w="1584"/>
            <w:shd w:val="clear" w:color="auto" w:fill="1F3A5F"/>
          </w:tcPr>
          <w:p>
            <w:r/>
            <w:r>
              <w:rPr>
                <w:b/>
                <w:color w:val="FFFFFF"/>
                <w:sz w:val="16"/>
              </w:rPr>
              <w:t>Status</w:t>
            </w:r>
          </w:p>
        </w:tc>
        <w:tc>
          <w:tcPr>
            <w:tcW w:type="dxa" w:w="2304"/>
            <w:shd w:val="clear" w:color="auto" w:fill="1F3A5F"/>
          </w:tcPr>
          <w:p>
            <w:r/>
            <w:r>
              <w:rPr>
                <w:b/>
                <w:color w:val="FFFFFF"/>
                <w:sz w:val="16"/>
              </w:rPr>
              <w:t>Principal gaps</w:t>
            </w:r>
          </w:p>
        </w:tc>
      </w:tr>
      <w:tr>
        <w:tc>
          <w:tcPr>
            <w:tcW w:type="dxa" w:w="2304"/>
          </w:tcPr>
          <w:p>
            <w:r/>
            <w:r>
              <w:rPr>
                <w:b w:val="0"/>
                <w:i w:val="0"/>
                <w:sz w:val="16"/>
              </w:rPr>
              <w:t>Fraud: fleet capacity (347 vs. 189)</w:t>
            </w:r>
          </w:p>
        </w:tc>
        <w:tc>
          <w:tcPr>
            <w:tcW w:type="dxa" w:w="3168"/>
          </w:tcPr>
          <w:p>
            <w:r/>
            <w:r>
              <w:rPr>
                <w:b w:val="0"/>
                <w:i w:val="0"/>
                <w:sz w:val="16"/>
              </w:rPr>
              <w:t>Pre-contract rosters, FCR drafts and source data, subcontractor arrangements, internal communications</w:t>
            </w:r>
          </w:p>
        </w:tc>
        <w:tc>
          <w:tcPr>
            <w:tcW w:type="dxa" w:w="1584"/>
          </w:tcPr>
          <w:p>
            <w:r/>
            <w:r>
              <w:rPr>
                <w:b w:val="0"/>
                <w:i w:val="0"/>
                <w:sz w:val="16"/>
              </w:rPr>
              <w:t>Largely withheld</w:t>
            </w:r>
          </w:p>
        </w:tc>
        <w:tc>
          <w:tcPr>
            <w:tcW w:type="dxa" w:w="2304"/>
          </w:tcPr>
          <w:p>
            <w:r/>
            <w:r>
              <w:rPr>
                <w:b w:val="0"/>
                <w:i w:val="0"/>
                <w:sz w:val="16"/>
              </w:rPr>
              <w:t>RFPs 6, 7, 8, 10; PRIV-12, -14, -16, -18, -31</w:t>
            </w:r>
          </w:p>
        </w:tc>
      </w:tr>
      <w:tr>
        <w:tc>
          <w:tcPr>
            <w:tcW w:type="dxa" w:w="2304"/>
          </w:tcPr>
          <w:p>
            <w:r/>
            <w:r>
              <w:rPr>
                <w:b w:val="0"/>
                <w:i w:val="0"/>
                <w:sz w:val="16"/>
              </w:rPr>
              <w:t>Fraud: insurance ($5M vs. $2M)</w:t>
            </w:r>
          </w:p>
        </w:tc>
        <w:tc>
          <w:tcPr>
            <w:tcW w:type="dxa" w:w="3168"/>
          </w:tcPr>
          <w:p>
            <w:r/>
            <w:r>
              <w:rPr>
                <w:b w:val="0"/>
                <w:i w:val="0"/>
                <w:sz w:val="16"/>
              </w:rPr>
              <w:t>2020–21 policy, Dec. 1, 2020 endorsement, Pinnacle communications, COI request</w:t>
            </w:r>
          </w:p>
        </w:tc>
        <w:tc>
          <w:tcPr>
            <w:tcW w:type="dxa" w:w="1584"/>
          </w:tcPr>
          <w:p>
            <w:r/>
            <w:r>
              <w:rPr>
                <w:b w:val="0"/>
                <w:i w:val="0"/>
                <w:sz w:val="16"/>
              </w:rPr>
              <w:t>Withheld on log</w:t>
            </w:r>
          </w:p>
        </w:tc>
        <w:tc>
          <w:tcPr>
            <w:tcW w:type="dxa" w:w="2304"/>
          </w:tcPr>
          <w:p>
            <w:r/>
            <w:r>
              <w:rPr>
                <w:b w:val="0"/>
                <w:i w:val="0"/>
                <w:sz w:val="16"/>
              </w:rPr>
              <w:t>RFPs 11, 12, 14, 25; PRIV-33 to -40</w:t>
            </w:r>
          </w:p>
        </w:tc>
      </w:tr>
      <w:tr>
        <w:tc>
          <w:tcPr>
            <w:tcW w:type="dxa" w:w="2304"/>
          </w:tcPr>
          <w:p>
            <w:r/>
            <w:r>
              <w:rPr>
                <w:b w:val="0"/>
                <w:i w:val="0"/>
                <w:sz w:val="16"/>
              </w:rPr>
              <w:t>Fraud: financials ($31.4M vs. $22.7M EBITDA)</w:t>
            </w:r>
          </w:p>
        </w:tc>
        <w:tc>
          <w:tcPr>
            <w:tcW w:type="dxa" w:w="3168"/>
          </w:tcPr>
          <w:p>
            <w:r/>
            <w:r>
              <w:rPr>
                <w:b w:val="0"/>
                <w:i w:val="0"/>
                <w:sz w:val="16"/>
              </w:rPr>
              <w:t>FY2020 unaudited statements as provided, drafts, GL detail, Crestline AJEs and management letters, lease analyses</w:t>
            </w:r>
          </w:p>
        </w:tc>
        <w:tc>
          <w:tcPr>
            <w:tcW w:type="dxa" w:w="1584"/>
          </w:tcPr>
          <w:p>
            <w:r/>
            <w:r>
              <w:rPr>
                <w:b w:val="0"/>
                <w:i w:val="0"/>
                <w:sz w:val="16"/>
              </w:rPr>
              <w:t>Not produced or refused</w:t>
            </w:r>
          </w:p>
        </w:tc>
        <w:tc>
          <w:tcPr>
            <w:tcW w:type="dxa" w:w="2304"/>
          </w:tcPr>
          <w:p>
            <w:r/>
            <w:r>
              <w:rPr>
                <w:b w:val="0"/>
                <w:i w:val="0"/>
                <w:sz w:val="16"/>
              </w:rPr>
              <w:t>RFPs 2, 15, 16, 17, 18; PRIV-13, -15</w:t>
            </w:r>
          </w:p>
        </w:tc>
      </w:tr>
      <w:tr>
        <w:tc>
          <w:tcPr>
            <w:tcW w:type="dxa" w:w="2304"/>
          </w:tcPr>
          <w:p>
            <w:r/>
            <w:r>
              <w:rPr>
                <w:b w:val="0"/>
                <w:i w:val="0"/>
                <w:sz w:val="16"/>
              </w:rPr>
              <w:t>Scienter / punitive damages (Civ. Code § 3294)</w:t>
            </w:r>
          </w:p>
        </w:tc>
        <w:tc>
          <w:tcPr>
            <w:tcW w:type="dxa" w:w="3168"/>
          </w:tcPr>
          <w:p>
            <w:r/>
            <w:r>
              <w:rPr>
                <w:b w:val="0"/>
                <w:i w:val="0"/>
                <w:sz w:val="16"/>
              </w:rPr>
              <w:t>Executive communications (Alderton, Cho, Delaney), board materials</w:t>
            </w:r>
          </w:p>
        </w:tc>
        <w:tc>
          <w:tcPr>
            <w:tcW w:type="dxa" w:w="1584"/>
          </w:tcPr>
          <w:p>
            <w:r/>
            <w:r>
              <w:rPr>
                <w:b w:val="0"/>
                <w:i w:val="0"/>
                <w:sz w:val="16"/>
              </w:rPr>
              <w:t>Not produced</w:t>
            </w:r>
          </w:p>
        </w:tc>
        <w:tc>
          <w:tcPr>
            <w:tcW w:type="dxa" w:w="2304"/>
          </w:tcPr>
          <w:p>
            <w:r/>
            <w:r>
              <w:rPr>
                <w:b w:val="0"/>
                <w:i w:val="0"/>
                <w:sz w:val="16"/>
              </w:rPr>
              <w:t>RFPs 5, 23, 24; PRIV-31</w:t>
            </w:r>
          </w:p>
        </w:tc>
      </w:tr>
      <w:tr>
        <w:tc>
          <w:tcPr>
            <w:tcW w:type="dxa" w:w="2304"/>
          </w:tcPr>
          <w:p>
            <w:r/>
            <w:r>
              <w:rPr>
                <w:b w:val="0"/>
                <w:i w:val="0"/>
                <w:sz w:val="16"/>
              </w:rPr>
              <w:t>Breach: 436 days below 120 trucks; 2,814 missed pickups</w:t>
            </w:r>
          </w:p>
        </w:tc>
        <w:tc>
          <w:tcPr>
            <w:tcW w:type="dxa" w:w="3168"/>
          </w:tcPr>
          <w:p>
            <w:r/>
            <w:r>
              <w:rPr>
                <w:b w:val="0"/>
                <w:i w:val="0"/>
                <w:sz w:val="16"/>
              </w:rPr>
              <w:t>Complete dispatch and TMS data; exception reports</w:t>
            </w:r>
          </w:p>
        </w:tc>
        <w:tc>
          <w:tcPr>
            <w:tcW w:type="dxa" w:w="1584"/>
          </w:tcPr>
          <w:p>
            <w:r/>
            <w:r>
              <w:rPr>
                <w:b w:val="0"/>
                <w:i w:val="0"/>
                <w:sz w:val="16"/>
              </w:rPr>
              <w:t>7-month gap</w:t>
            </w:r>
          </w:p>
        </w:tc>
        <w:tc>
          <w:tcPr>
            <w:tcW w:type="dxa" w:w="2304"/>
          </w:tcPr>
          <w:p>
            <w:r/>
            <w:r>
              <w:rPr>
                <w:b w:val="0"/>
                <w:i w:val="0"/>
                <w:sz w:val="16"/>
              </w:rPr>
              <w:t>RFPs 19, 20, 22</w:t>
            </w:r>
          </w:p>
        </w:tc>
      </w:tr>
      <w:tr>
        <w:tc>
          <w:tcPr>
            <w:tcW w:type="dxa" w:w="2304"/>
          </w:tcPr>
          <w:p>
            <w:r/>
            <w:r>
              <w:rPr>
                <w:b w:val="0"/>
                <w:i w:val="0"/>
                <w:sz w:val="16"/>
              </w:rPr>
              <w:t>Breach: failure to maintain $5M coverage during the term</w:t>
            </w:r>
          </w:p>
        </w:tc>
        <w:tc>
          <w:tcPr>
            <w:tcW w:type="dxa" w:w="3168"/>
          </w:tcPr>
          <w:p>
            <w:r/>
            <w:r>
              <w:rPr>
                <w:b w:val="0"/>
                <w:i w:val="0"/>
                <w:sz w:val="16"/>
              </w:rPr>
              <w:t>2021 and 2023 policies, renewal COIs, 2022 Endorsement No. 2</w:t>
            </w:r>
          </w:p>
        </w:tc>
        <w:tc>
          <w:tcPr>
            <w:tcW w:type="dxa" w:w="1584"/>
          </w:tcPr>
          <w:p>
            <w:r/>
            <w:r>
              <w:rPr>
                <w:b w:val="0"/>
                <w:i w:val="0"/>
                <w:sz w:val="16"/>
              </w:rPr>
              <w:t>Partial (2022 only)</w:t>
            </w:r>
          </w:p>
        </w:tc>
        <w:tc>
          <w:tcPr>
            <w:tcW w:type="dxa" w:w="2304"/>
          </w:tcPr>
          <w:p>
            <w:r/>
            <w:r>
              <w:rPr>
                <w:b w:val="0"/>
                <w:i w:val="0"/>
                <w:sz w:val="16"/>
              </w:rPr>
              <w:t>RFPs 11, 12</w:t>
            </w:r>
          </w:p>
        </w:tc>
      </w:tr>
      <w:tr>
        <w:tc>
          <w:tcPr>
            <w:tcW w:type="dxa" w:w="2304"/>
          </w:tcPr>
          <w:p>
            <w:r/>
            <w:r>
              <w:rPr>
                <w:b w:val="0"/>
                <w:i w:val="0"/>
                <w:sz w:val="16"/>
              </w:rPr>
              <w:t>Termination and cure (FMSA § 12.3)</w:t>
            </w:r>
          </w:p>
        </w:tc>
        <w:tc>
          <w:tcPr>
            <w:tcW w:type="dxa" w:w="3168"/>
          </w:tcPr>
          <w:p>
            <w:r/>
            <w:r>
              <w:rPr>
                <w:b w:val="0"/>
                <w:i w:val="0"/>
                <w:sz w:val="16"/>
              </w:rPr>
              <w:t>All 11 notices, Meridian's responses and internal handling, the Aug. 22 and Sept. 5 letters</w:t>
            </w:r>
          </w:p>
        </w:tc>
        <w:tc>
          <w:tcPr>
            <w:tcW w:type="dxa" w:w="1584"/>
          </w:tcPr>
          <w:p>
            <w:r/>
            <w:r>
              <w:rPr>
                <w:b w:val="0"/>
                <w:i w:val="0"/>
                <w:sz w:val="16"/>
              </w:rPr>
              <w:t>Partial and discrepant</w:t>
            </w:r>
          </w:p>
        </w:tc>
        <w:tc>
          <w:tcPr>
            <w:tcW w:type="dxa" w:w="2304"/>
          </w:tcPr>
          <w:p>
            <w:r/>
            <w:r>
              <w:rPr>
                <w:b w:val="0"/>
                <w:i w:val="0"/>
                <w:sz w:val="16"/>
              </w:rPr>
              <w:t>RFP 26</w:t>
            </w:r>
          </w:p>
        </w:tc>
      </w:tr>
      <w:tr>
        <w:tc>
          <w:tcPr>
            <w:tcW w:type="dxa" w:w="2304"/>
          </w:tcPr>
          <w:p>
            <w:r/>
            <w:r>
              <w:rPr>
                <w:b w:val="0"/>
                <w:i w:val="0"/>
                <w:sz w:val="16"/>
              </w:rPr>
              <w:t>Counterclaim ($3.2M): volume shortfall, lost profits</w:t>
            </w:r>
          </w:p>
        </w:tc>
        <w:tc>
          <w:tcPr>
            <w:tcW w:type="dxa" w:w="3168"/>
          </w:tcPr>
          <w:p>
            <w:r/>
            <w:r>
              <w:rPr>
                <w:b w:val="0"/>
                <w:i w:val="0"/>
                <w:sz w:val="16"/>
              </w:rPr>
              <w:t>Model inputs, management and board reports, cost structure, consultant file, reallocation of idle capacity</w:t>
            </w:r>
          </w:p>
        </w:tc>
        <w:tc>
          <w:tcPr>
            <w:tcW w:type="dxa" w:w="1584"/>
          </w:tcPr>
          <w:p>
            <w:r/>
            <w:r>
              <w:rPr>
                <w:b w:val="0"/>
                <w:i w:val="0"/>
                <w:sz w:val="16"/>
              </w:rPr>
              <w:t>Partial; key analyses withheld</w:t>
            </w:r>
          </w:p>
        </w:tc>
        <w:tc>
          <w:tcPr>
            <w:tcW w:type="dxa" w:w="2304"/>
          </w:tcPr>
          <w:p>
            <w:r/>
            <w:r>
              <w:rPr>
                <w:b w:val="0"/>
                <w:i w:val="0"/>
                <w:sz w:val="16"/>
              </w:rPr>
              <w:t>RFPs 16, 27; PRIV-8, -9, -26</w:t>
            </w:r>
          </w:p>
        </w:tc>
      </w:tr>
      <w:tr>
        <w:tc>
          <w:tcPr>
            <w:tcW w:type="dxa" w:w="2304"/>
          </w:tcPr>
          <w:p>
            <w:r/>
            <w:r>
              <w:rPr>
                <w:b w:val="0"/>
                <w:i w:val="0"/>
                <w:sz w:val="16"/>
              </w:rPr>
              <w:t>Defense to Counterclaim: prevention (Compl. ¶¶ 48, 61)</w:t>
            </w:r>
          </w:p>
        </w:tc>
        <w:tc>
          <w:tcPr>
            <w:tcW w:type="dxa" w:w="3168"/>
          </w:tcPr>
          <w:p>
            <w:r/>
            <w:r>
              <w:rPr>
                <w:b w:val="0"/>
                <w:i w:val="0"/>
                <w:sz w:val="16"/>
              </w:rPr>
              <w:t>Fleet-wide capacity data showing Meridian could not accept 4,500 loads</w:t>
            </w:r>
          </w:p>
        </w:tc>
        <w:tc>
          <w:tcPr>
            <w:tcW w:type="dxa" w:w="1584"/>
          </w:tcPr>
          <w:p>
            <w:r/>
            <w:r>
              <w:rPr>
                <w:b w:val="0"/>
                <w:i w:val="0"/>
                <w:sz w:val="16"/>
              </w:rPr>
              <w:t>Limited to PC account</w:t>
            </w:r>
          </w:p>
        </w:tc>
        <w:tc>
          <w:tcPr>
            <w:tcW w:type="dxa" w:w="2304"/>
          </w:tcPr>
          <w:p>
            <w:r/>
            <w:r>
              <w:rPr>
                <w:b w:val="0"/>
                <w:i w:val="0"/>
                <w:sz w:val="16"/>
              </w:rPr>
              <w:t>RFPs 6, 19 (fleet-wide)</w:t>
            </w:r>
          </w:p>
        </w:tc>
      </w:tr>
    </w:tbl>
    <w:p>
      <w:pPr>
        <w:spacing w:after="40"/>
      </w:pPr>
    </w:p>
    <w:p>
      <w:pPr>
        <w:pStyle w:val="Heading1"/>
      </w:pPr>
      <w:r>
        <w:t>IX. Recommended Action Plan</w:t>
      </w:r>
    </w:p>
    <w:p>
      <w:pPr>
        <w:pStyle w:val="Heading2"/>
      </w:pPr>
      <w:r>
        <w:t>A. Immediately (Sept. 16–17, 2024)</w:t>
      </w:r>
    </w:p>
    <w:p>
      <w:pPr>
        <w:spacing w:after="80"/>
        <w:ind w:left="504" w:hanging="360"/>
      </w:pPr>
      <w:r>
        <w:rPr>
          <w:b w:val="0"/>
          <w:i w:val="0"/>
        </w:rPr>
        <w:t xml:space="preserve">1.  </w:t>
      </w:r>
      <w:r>
        <w:rPr>
          <w:b/>
          <w:i w:val="0"/>
        </w:rPr>
        <w:t>Email Ms. Farouk and Mr. Quinn today</w:t>
      </w:r>
      <w:r>
        <w:rPr>
          <w:b w:val="0"/>
          <w:i w:val="0"/>
        </w:rPr>
        <w:t xml:space="preserve"> declining the week-of-Sept. 23 proposal, citing Order §§ 3 and 4.1, and demanding a telephonic conference on Sept. 16 or 17 with counsel who have settlement authority. Attach an agenda (Appendix A). If Meridian refuses, document the refusal; it supports both the motion certification and any request for relief from the deadline.</w:t>
      </w:r>
    </w:p>
    <w:p>
      <w:pPr>
        <w:spacing w:after="80"/>
        <w:ind w:left="504" w:hanging="360"/>
      </w:pPr>
      <w:r>
        <w:rPr>
          <w:b w:val="0"/>
          <w:i w:val="0"/>
        </w:rPr>
        <w:t xml:space="preserve">2.  </w:t>
      </w:r>
      <w:r>
        <w:rPr>
          <w:b/>
          <w:i w:val="0"/>
        </w:rPr>
        <w:t>Expand the agenda beyond the three issues in the August 19 letter.</w:t>
      </w:r>
      <w:r>
        <w:rPr>
          <w:b w:val="0"/>
          <w:i w:val="0"/>
        </w:rPr>
        <w:t xml:space="preserve"> Our September 9 letter only previewed the privilege log, insurance, financials, board-minute and text-message issues. Every issue we intend to move on should be raised specifically on the call, including the rewritten-request problem, RFPs 2, 10, 12, 16, 17 and 18, the privilege log challenges and crime-fraud, so the § 3 certification covers them.</w:t>
      </w:r>
    </w:p>
    <w:p>
      <w:pPr>
        <w:spacing w:after="80"/>
        <w:ind w:left="504" w:hanging="360"/>
      </w:pPr>
      <w:r>
        <w:rPr>
          <w:b w:val="0"/>
          <w:i w:val="0"/>
        </w:rPr>
        <w:t xml:space="preserve">3.  </w:t>
      </w:r>
      <w:r>
        <w:rPr>
          <w:b/>
          <w:i w:val="0"/>
        </w:rPr>
        <w:t>Parallel contingency.</w:t>
      </w:r>
      <w:r>
        <w:rPr>
          <w:b w:val="0"/>
          <w:i w:val="0"/>
        </w:rPr>
        <w:t xml:space="preserve"> Prepare a proposed joint stipulation (or, failing agreement, an ex parte application) to extend the Oct. 1 deadline for good cause under FRCP 16(b)(4), based on Meridian's promised but incomplete supplementation and its delay in scheduling a conference. Do not rely on obtaining the extension; keep drafting the motion.</w:t>
      </w:r>
    </w:p>
    <w:p>
      <w:pPr>
        <w:pStyle w:val="Heading2"/>
      </w:pPr>
      <w:r>
        <w:t>B. Motion to Compel (file by Oct. 1, 2024; 25 pp.)</w:t>
      </w:r>
    </w:p>
    <w:p>
      <w:pPr>
        <w:spacing w:after="120"/>
      </w:pPr>
      <w:r>
        <w:rPr>
          <w:b w:val="0"/>
          <w:i w:val="0"/>
        </w:rPr>
        <w:t>Prioritise issues by importance and strength, given the page limit:</w:t>
      </w:r>
    </w:p>
    <w:tbl>
      <w:tblPr>
        <w:tblStyle w:val="TableGrid"/>
        <w:tblW w:type="auto" w:w="0"/>
        <w:jc w:val="center"/>
        <w:tblLook w:firstColumn="1" w:firstRow="1" w:lastColumn="0" w:lastRow="0" w:noHBand="0" w:noVBand="1" w:val="04A0"/>
      </w:tblPr>
      <w:tblGrid>
        <w:gridCol w:w="3120"/>
        <w:gridCol w:w="3120"/>
        <w:gridCol w:w="3120"/>
      </w:tblGrid>
      <w:tr>
        <w:trPr>
          <w:tblHeader w:val="true"/>
        </w:trPr>
        <w:tc>
          <w:tcPr>
            <w:tcW w:type="dxa" w:w="1008"/>
            <w:shd w:val="clear" w:color="auto" w:fill="1F3A5F"/>
          </w:tcPr>
          <w:p>
            <w:r/>
            <w:r>
              <w:rPr>
                <w:b/>
                <w:color w:val="FFFFFF"/>
                <w:sz w:val="17"/>
              </w:rPr>
              <w:t>Priority</w:t>
            </w:r>
          </w:p>
        </w:tc>
        <w:tc>
          <w:tcPr>
            <w:tcW w:type="dxa" w:w="4320"/>
            <w:shd w:val="clear" w:color="auto" w:fill="1F3A5F"/>
          </w:tcPr>
          <w:p>
            <w:r/>
            <w:r>
              <w:rPr>
                <w:b/>
                <w:color w:val="FFFFFF"/>
                <w:sz w:val="17"/>
              </w:rPr>
              <w:t>Issue</w:t>
            </w:r>
          </w:p>
        </w:tc>
        <w:tc>
          <w:tcPr>
            <w:tcW w:type="dxa" w:w="4032"/>
            <w:shd w:val="clear" w:color="auto" w:fill="1F3A5F"/>
          </w:tcPr>
          <w:p>
            <w:r/>
            <w:r>
              <w:rPr>
                <w:b/>
                <w:color w:val="FFFFFF"/>
                <w:sz w:val="17"/>
              </w:rPr>
              <w:t>Relief sought</w:t>
            </w:r>
          </w:p>
        </w:tc>
      </w:tr>
      <w:tr>
        <w:tc>
          <w:tcPr>
            <w:tcW w:type="dxa" w:w="1008"/>
          </w:tcPr>
          <w:p>
            <w:r/>
            <w:r>
              <w:rPr>
                <w:b w:val="0"/>
                <w:i w:val="0"/>
                <w:sz w:val="17"/>
              </w:rPr>
              <w:t>1</w:t>
            </w:r>
          </w:p>
        </w:tc>
        <w:tc>
          <w:tcPr>
            <w:tcW w:type="dxa" w:w="4320"/>
          </w:tcPr>
          <w:p>
            <w:r/>
            <w:r>
              <w:rPr>
                <w:b w:val="0"/>
                <w:i w:val="0"/>
                <w:sz w:val="17"/>
              </w:rPr>
              <w:t>Privilege log entries 12–18 and 33–40</w:t>
            </w:r>
          </w:p>
        </w:tc>
        <w:tc>
          <w:tcPr>
            <w:tcW w:type="dxa" w:w="4032"/>
          </w:tcPr>
          <w:p>
            <w:r/>
            <w:r>
              <w:rPr>
                <w:b w:val="0"/>
                <w:i w:val="0"/>
                <w:sz w:val="17"/>
              </w:rPr>
              <w:t>Order production within 7 days; find waiver for the deficient descriptions</w:t>
            </w:r>
          </w:p>
        </w:tc>
      </w:tr>
      <w:tr>
        <w:tc>
          <w:tcPr>
            <w:tcW w:type="dxa" w:w="1008"/>
          </w:tcPr>
          <w:p>
            <w:r/>
            <w:r>
              <w:rPr>
                <w:b w:val="0"/>
                <w:i w:val="0"/>
                <w:sz w:val="17"/>
              </w:rPr>
              <w:t>2</w:t>
            </w:r>
          </w:p>
        </w:tc>
        <w:tc>
          <w:tcPr>
            <w:tcW w:type="dxa" w:w="4320"/>
          </w:tcPr>
          <w:p>
            <w:r/>
            <w:r>
              <w:rPr>
                <w:b w:val="0"/>
                <w:i w:val="0"/>
                <w:sz w:val="17"/>
              </w:rPr>
              <w:t>RFPs answered as rewritten (2, 10, 12, 18, and narrowed 3, 6, 7, 9, 13, 15, 25, 26(e), 27(e))</w:t>
            </w:r>
          </w:p>
        </w:tc>
        <w:tc>
          <w:tcPr>
            <w:tcW w:type="dxa" w:w="4032"/>
          </w:tcPr>
          <w:p>
            <w:r/>
            <w:r>
              <w:rPr>
                <w:b w:val="0"/>
                <w:i w:val="0"/>
                <w:sz w:val="17"/>
              </w:rPr>
              <w:t>Order full responses to the RFPs as served; find objections waived for untimeliness if no extension existed</w:t>
            </w:r>
          </w:p>
        </w:tc>
      </w:tr>
      <w:tr>
        <w:tc>
          <w:tcPr>
            <w:tcW w:type="dxa" w:w="1008"/>
          </w:tcPr>
          <w:p>
            <w:r/>
            <w:r>
              <w:rPr>
                <w:b w:val="0"/>
                <w:i w:val="0"/>
                <w:sz w:val="17"/>
              </w:rPr>
              <w:t>3</w:t>
            </w:r>
          </w:p>
        </w:tc>
        <w:tc>
          <w:tcPr>
            <w:tcW w:type="dxa" w:w="4320"/>
          </w:tcPr>
          <w:p>
            <w:r/>
            <w:r>
              <w:rPr>
                <w:b w:val="0"/>
                <w:i w:val="0"/>
                <w:sz w:val="17"/>
              </w:rPr>
              <w:t>RFPs 5 and 8 (zero production despite agreement)</w:t>
            </w:r>
          </w:p>
        </w:tc>
        <w:tc>
          <w:tcPr>
            <w:tcW w:type="dxa" w:w="4032"/>
          </w:tcPr>
          <w:p>
            <w:r/>
            <w:r>
              <w:rPr>
                <w:b w:val="0"/>
                <w:i w:val="0"/>
                <w:sz w:val="17"/>
              </w:rPr>
              <w:t>Production by a date certain, or a sworn declaration of a diligent search</w:t>
            </w:r>
          </w:p>
        </w:tc>
      </w:tr>
      <w:tr>
        <w:tc>
          <w:tcPr>
            <w:tcW w:type="dxa" w:w="1008"/>
          </w:tcPr>
          <w:p>
            <w:r/>
            <w:r>
              <w:rPr>
                <w:b w:val="0"/>
                <w:i w:val="0"/>
                <w:sz w:val="17"/>
              </w:rPr>
              <w:t>4</w:t>
            </w:r>
          </w:p>
        </w:tc>
        <w:tc>
          <w:tcPr>
            <w:tcW w:type="dxa" w:w="4320"/>
          </w:tcPr>
          <w:p>
            <w:r/>
            <w:r>
              <w:rPr>
                <w:b w:val="0"/>
                <w:i w:val="0"/>
                <w:sz w:val="17"/>
              </w:rPr>
              <w:t>Custodians (Alderton, Cho, Hale, Delaney) and texts/messaging apps (RFPs 23, 24)</w:t>
            </w:r>
          </w:p>
        </w:tc>
        <w:tc>
          <w:tcPr>
            <w:tcW w:type="dxa" w:w="4032"/>
          </w:tcPr>
          <w:p>
            <w:r/>
            <w:r>
              <w:rPr>
                <w:b w:val="0"/>
                <w:i w:val="0"/>
                <w:sz w:val="17"/>
              </w:rPr>
              <w:t>Disclosure of search terms and hit reports; re-collection; certification</w:t>
            </w:r>
          </w:p>
        </w:tc>
      </w:tr>
      <w:tr>
        <w:tc>
          <w:tcPr>
            <w:tcW w:type="dxa" w:w="1008"/>
          </w:tcPr>
          <w:p>
            <w:r/>
            <w:r>
              <w:rPr>
                <w:b w:val="0"/>
                <w:i w:val="0"/>
                <w:sz w:val="17"/>
              </w:rPr>
              <w:t>5</w:t>
            </w:r>
          </w:p>
        </w:tc>
        <w:tc>
          <w:tcPr>
            <w:tcW w:type="dxa" w:w="4320"/>
          </w:tcPr>
          <w:p>
            <w:r/>
            <w:r>
              <w:rPr>
                <w:b w:val="0"/>
                <w:i w:val="0"/>
                <w:sz w:val="17"/>
              </w:rPr>
              <w:t>RFPs 15, 16, 17 (financial records; sword and shield)</w:t>
            </w:r>
          </w:p>
        </w:tc>
        <w:tc>
          <w:tcPr>
            <w:tcW w:type="dxa" w:w="4032"/>
          </w:tcPr>
          <w:p>
            <w:r/>
            <w:r>
              <w:rPr>
                <w:b w:val="0"/>
                <w:i w:val="0"/>
                <w:sz w:val="17"/>
              </w:rPr>
              <w:t>Complete financials, audit materials, GL detail in native form, management and board reports</w:t>
            </w:r>
          </w:p>
        </w:tc>
      </w:tr>
      <w:tr>
        <w:tc>
          <w:tcPr>
            <w:tcW w:type="dxa" w:w="1008"/>
          </w:tcPr>
          <w:p>
            <w:r/>
            <w:r>
              <w:rPr>
                <w:b w:val="0"/>
                <w:i w:val="0"/>
                <w:sz w:val="17"/>
              </w:rPr>
              <w:t>6</w:t>
            </w:r>
          </w:p>
        </w:tc>
        <w:tc>
          <w:tcPr>
            <w:tcW w:type="dxa" w:w="4320"/>
          </w:tcPr>
          <w:p>
            <w:r/>
            <w:r>
              <w:rPr>
                <w:b w:val="0"/>
                <w:i w:val="0"/>
                <w:sz w:val="17"/>
              </w:rPr>
              <w:t>RFP 19 dispatch gap</w:t>
            </w:r>
          </w:p>
        </w:tc>
        <w:tc>
          <w:tcPr>
            <w:tcW w:type="dxa" w:w="4032"/>
          </w:tcPr>
          <w:p>
            <w:r/>
            <w:r>
              <w:rPr>
                <w:b w:val="0"/>
                <w:i w:val="0"/>
                <w:sz w:val="17"/>
              </w:rPr>
              <w:t>Verified preservation declaration, recovery from alternative sources, reservation of 37(e) relief</w:t>
            </w:r>
          </w:p>
        </w:tc>
      </w:tr>
      <w:tr>
        <w:tc>
          <w:tcPr>
            <w:tcW w:type="dxa" w:w="1008"/>
          </w:tcPr>
          <w:p>
            <w:r/>
            <w:r>
              <w:rPr>
                <w:b w:val="0"/>
                <w:i w:val="0"/>
                <w:sz w:val="17"/>
              </w:rPr>
              <w:t>7</w:t>
            </w:r>
          </w:p>
        </w:tc>
        <w:tc>
          <w:tcPr>
            <w:tcW w:type="dxa" w:w="4320"/>
          </w:tcPr>
          <w:p>
            <w:r/>
            <w:r>
              <w:rPr>
                <w:b w:val="0"/>
                <w:i w:val="0"/>
                <w:sz w:val="17"/>
              </w:rPr>
              <w:t>Entry 31, crime-fraud</w:t>
            </w:r>
          </w:p>
        </w:tc>
        <w:tc>
          <w:tcPr>
            <w:tcW w:type="dxa" w:w="4032"/>
          </w:tcPr>
          <w:p>
            <w:r/>
            <w:r>
              <w:rPr>
                <w:b w:val="0"/>
                <w:i w:val="0"/>
                <w:sz w:val="17"/>
              </w:rPr>
              <w:t>In camera review under *Zolin* (could be a separate motion if the page limit requires)</w:t>
            </w:r>
          </w:p>
        </w:tc>
      </w:tr>
      <w:tr>
        <w:tc>
          <w:tcPr>
            <w:tcW w:type="dxa" w:w="1008"/>
          </w:tcPr>
          <w:p>
            <w:r/>
            <w:r>
              <w:rPr>
                <w:b w:val="0"/>
                <w:i w:val="0"/>
                <w:sz w:val="17"/>
              </w:rPr>
              <w:t>8</w:t>
            </w:r>
          </w:p>
        </w:tc>
        <w:tc>
          <w:tcPr>
            <w:tcW w:type="dxa" w:w="4320"/>
          </w:tcPr>
          <w:p>
            <w:r/>
            <w:r>
              <w:rPr>
                <w:b w:val="0"/>
                <w:i w:val="0"/>
                <w:sz w:val="17"/>
              </w:rPr>
              <w:t>Index defects, Greystone documents, termination-letter discrepancy, natives</w:t>
            </w:r>
          </w:p>
        </w:tc>
        <w:tc>
          <w:tcPr>
            <w:tcW w:type="dxa" w:w="4032"/>
          </w:tcPr>
          <w:p>
            <w:r/>
            <w:r>
              <w:rPr>
                <w:b w:val="0"/>
                <w:i w:val="0"/>
                <w:sz w:val="17"/>
              </w:rPr>
              <w:t>Corrected, document-level index coded to the RFPs as served; native production of spreadsheets and TMS data</w:t>
            </w:r>
          </w:p>
        </w:tc>
      </w:tr>
    </w:tbl>
    <w:p>
      <w:pPr>
        <w:spacing w:after="40"/>
      </w:pPr>
    </w:p>
    <w:p>
      <w:pPr>
        <w:pStyle w:val="Heading2"/>
      </w:pPr>
      <w:r>
        <w:t>C. Third-Party and Follow-On Discovery</w:t>
      </w:r>
    </w:p>
    <w:p>
      <w:pPr>
        <w:pStyle w:val="ListBullet"/>
        <w:spacing w:after="60"/>
      </w:pPr>
      <w:r>
        <w:rPr>
          <w:b/>
          <w:i w:val="0"/>
        </w:rPr>
        <w:t>Rule 45 subpoenas</w:t>
      </w:r>
      <w:r>
        <w:rPr>
          <w:b w:val="0"/>
          <w:i w:val="0"/>
        </w:rPr>
        <w:t xml:space="preserve"> (serve promptly, since they do not depend on the motion): Pinnacle Fleet Insurance Group, Phoenix (underwriting file, Whitfield communications, endorsements, COI issuance records, 2020–2023 policies); Crestline Accounting Partners LLP, Reno (FY2020 audit workpapers, AJEs for maintenance capitalization and leases, management letters, drafts of the FY2020 statements received); National Fleet Leasing Inc. (lease history and dates); the RouteCast Pro vendor (retained data, backups, migration records); and identified subcontractor/affiliate carriers once disclosed.</w:t>
      </w:r>
    </w:p>
    <w:p>
      <w:pPr>
        <w:pStyle w:val="ListBullet"/>
        <w:spacing w:after="60"/>
      </w:pPr>
      <w:r>
        <w:rPr>
          <w:b/>
          <w:i w:val="0"/>
        </w:rPr>
        <w:t>Rule 30(b)(6) notice</w:t>
      </w:r>
      <w:r>
        <w:rPr>
          <w:b w:val="0"/>
          <w:i w:val="0"/>
        </w:rPr>
        <w:t xml:space="preserve"> (topics): fleet composition and the Fleet Capacity Report methodology; subcontractor and affiliate practices; the insurance program and the 2020 downgrade; preparation of the FY2020 unaudited financials; RouteCast/FleetBridge migration, data retention and litigation holds; ESI collection and search methodology; counterclaim damages computation.</w:t>
      </w:r>
    </w:p>
    <w:p>
      <w:pPr>
        <w:pStyle w:val="ListBullet"/>
        <w:spacing w:after="60"/>
      </w:pPr>
      <w:r>
        <w:rPr>
          <w:b/>
          <w:i w:val="0"/>
        </w:rPr>
        <w:t>Interrogatories</w:t>
      </w:r>
      <w:r>
        <w:rPr>
          <w:b w:val="0"/>
          <w:i w:val="0"/>
        </w:rPr>
        <w:t xml:space="preserve"> (25 limit): identify all subcontractors and affiliates and the trucks attributed to each on Jan. 8, 2021; identify every person who prepared or reviewed the Fleet Capacity Report, COI and FY2020 unaudited statements; state the date of each litigation hold and its recipients; describe all systems holding dispatch data.</w:t>
      </w:r>
    </w:p>
    <w:p>
      <w:pPr>
        <w:pStyle w:val="ListBullet"/>
        <w:spacing w:after="60"/>
      </w:pPr>
      <w:r>
        <w:rPr>
          <w:b/>
          <w:i w:val="0"/>
        </w:rPr>
        <w:t>Requests for admission</w:t>
      </w:r>
      <w:r>
        <w:rPr>
          <w:b w:val="0"/>
          <w:i w:val="0"/>
        </w:rPr>
        <w:t xml:space="preserve"> (30 limit): the authenticity of the Jan. 12, 2021 COI; that cargo coverage was $2M per occurrence on Jan. 12, 2021; that Meridian owned or leased fewer than 347 trucks on Jan. 8, 2021; that the FCR did not disclose subcontractor capacity.</w:t>
      </w:r>
    </w:p>
    <w:p>
      <w:pPr>
        <w:pStyle w:val="ListBullet"/>
        <w:spacing w:after="60"/>
      </w:pPr>
      <w:r>
        <w:rPr>
          <w:b/>
          <w:i w:val="0"/>
        </w:rPr>
        <w:t>Deposition priorities</w:t>
      </w:r>
      <w:r>
        <w:rPr>
          <w:b w:val="0"/>
          <w:i w:val="0"/>
        </w:rPr>
        <w:t xml:space="preserve"> (12 per side): Cho, Brisk, Alderton, Hale, Sato, Delaney (limited to non-privileged facts), Whitfield (third party), the 30(b)(6) designee, and a Crestline engagement partner. Take the depositions after the compelled production.</w:t>
      </w:r>
    </w:p>
    <w:p>
      <w:pPr>
        <w:pStyle w:val="ListBullet"/>
        <w:spacing w:after="60"/>
      </w:pPr>
      <w:r>
        <w:rPr>
          <w:b/>
          <w:i w:val="0"/>
        </w:rPr>
        <w:t>Pleadings.</w:t>
      </w:r>
      <w:r>
        <w:rPr>
          <w:b w:val="0"/>
          <w:i w:val="0"/>
        </w:rPr>
        <w:t xml:space="preserve"> If the compelled documents support it, evaluate a good-cause motion to amend (Order § 8; FRCP 16(b)(4)), for example to plead concealment with more particularity or to add individual defendants. The date these documents are produced will be central to the diligence showing.</w:t>
      </w:r>
    </w:p>
    <w:p>
      <w:pPr>
        <w:pStyle w:val="Heading2"/>
      </w:pPr>
      <w:r>
        <w:t>D. Internal Tasks</w:t>
      </w:r>
    </w:p>
    <w:p>
      <w:pPr>
        <w:pStyle w:val="ListBullet"/>
        <w:spacing w:after="60"/>
      </w:pPr>
      <w:r>
        <w:rPr>
          <w:b w:val="0"/>
          <w:i w:val="0"/>
        </w:rPr>
        <w:t>Reconcile PC's own records of the breach notices, the Aug. 22, 2023 termination notice and the Sept. 5 response against Meridian's index.</w:t>
      </w:r>
    </w:p>
    <w:p>
      <w:pPr>
        <w:pStyle w:val="ListBullet"/>
        <w:spacing w:after="60"/>
      </w:pPr>
      <w:r>
        <w:rPr>
          <w:b w:val="0"/>
          <w:i w:val="0"/>
        </w:rPr>
        <w:t>Have our forensic accounting consultant reconcile the produced registrations, leases and rosters to the 347/189 figures, and compare the FY2020 audited statements (MLC-001874) against PC's copy of the unaudited statements.</w:t>
      </w:r>
    </w:p>
    <w:p>
      <w:pPr>
        <w:pStyle w:val="ListBullet"/>
        <w:spacing w:after="60"/>
      </w:pPr>
      <w:r>
        <w:rPr>
          <w:b w:val="0"/>
          <w:i w:val="0"/>
        </w:rPr>
        <w:t>Assemble PC's own missed-pickup data for Oct. 2021 – Apr. 2022 as primary proof independent of Meridian's logs.</w:t>
      </w:r>
    </w:p>
    <w:p>
      <w:pPr>
        <w:pStyle w:val="ListBullet"/>
        <w:spacing w:after="60"/>
      </w:pPr>
      <w:r>
        <w:rPr>
          <w:b w:val="0"/>
          <w:i w:val="0"/>
        </w:rPr>
        <w:t>Confirm whether any written extension of Meridian's response deadline was granted, and which Protective Order is operative.</w:t>
      </w:r>
    </w:p>
    <w:p>
      <w:pPr>
        <w:pStyle w:val="ListBullet"/>
        <w:spacing w:after="60"/>
      </w:pPr>
      <w:r>
        <w:rPr>
          <w:b w:val="0"/>
          <w:i w:val="0"/>
        </w:rPr>
        <w:t>Confirm PC's own litigation hold and production posture, since the preservation arguments against Meridian will invite reciprocal scrutiny.</w:t>
      </w:r>
    </w:p>
    <w:p>
      <w:pPr>
        <w:pStyle w:val="Heading1"/>
      </w:pPr>
      <w:r>
        <w:t>Appendix A: Proposed Meet-and-Confer Agenda</w:t>
      </w:r>
    </w:p>
    <w:p>
      <w:pPr>
        <w:spacing w:after="80"/>
        <w:ind w:left="504" w:hanging="360"/>
      </w:pPr>
      <w:r>
        <w:rPr>
          <w:b w:val="0"/>
          <w:i w:val="0"/>
        </w:rPr>
        <w:t>1.  Meridian's restated requests: will Meridian serve amended responses to RFPs 1–27 as served, specifically RFPs 2, 3, 6, 7, 9, 10, 12, 13, 15, 18, 25, 26(e) and 27(e), by a date certain?</w:t>
      </w:r>
    </w:p>
    <w:p>
      <w:pPr>
        <w:spacing w:after="80"/>
        <w:ind w:left="504" w:hanging="360"/>
      </w:pPr>
      <w:r>
        <w:rPr>
          <w:b w:val="0"/>
          <w:i w:val="0"/>
        </w:rPr>
        <w:t>2.  Privilege log entries 12–18 and 33–40: will Meridian withdraw the claims and produce? What is the factual basis for asserting work product over Sept. 2020 insurer communications, and on what date does Meridian contend it anticipated litigation?</w:t>
      </w:r>
    </w:p>
    <w:p>
      <w:pPr>
        <w:spacing w:after="80"/>
        <w:ind w:left="504" w:hanging="360"/>
      </w:pPr>
      <w:r>
        <w:rPr>
          <w:b w:val="0"/>
          <w:i w:val="0"/>
        </w:rPr>
        <w:t>3.  Entry 31: will Meridian stipulate to in camera submission?</w:t>
      </w:r>
    </w:p>
    <w:p>
      <w:pPr>
        <w:spacing w:after="80"/>
        <w:ind w:left="504" w:hanging="360"/>
      </w:pPr>
      <w:r>
        <w:rPr>
          <w:b w:val="0"/>
          <w:i w:val="0"/>
        </w:rPr>
        <w:t>4.  Entries 6, 9, 21, 25 and 28: identification and production of the underlying and attached business documents; at-issue waiver for the damages analyses.</w:t>
      </w:r>
    </w:p>
    <w:p>
      <w:pPr>
        <w:spacing w:after="80"/>
        <w:ind w:left="504" w:hanging="360"/>
      </w:pPr>
      <w:r>
        <w:rPr>
          <w:b w:val="0"/>
          <w:i w:val="0"/>
        </w:rPr>
        <w:t>5.  RFP 5 and RFP 8: production dates, or sworn statements of diligent search.</w:t>
      </w:r>
    </w:p>
    <w:p>
      <w:pPr>
        <w:spacing w:after="80"/>
        <w:ind w:left="504" w:hanging="360"/>
      </w:pPr>
      <w:r>
        <w:rPr>
          <w:b w:val="0"/>
          <w:i w:val="0"/>
        </w:rPr>
        <w:t>6.  Custodians: search terms, date ranges, data sources (e-mail, phones, Teams/Slack/WhatsApp), and hit counts for all six custodians; production of Alderton, Cho, Hale and Delaney materials; any additional custodians (dispatch supervisors, IT, board secretary).</w:t>
      </w:r>
    </w:p>
    <w:p>
      <w:pPr>
        <w:spacing w:after="80"/>
        <w:ind w:left="504" w:hanging="360"/>
      </w:pPr>
      <w:r>
        <w:rPr>
          <w:b w:val="0"/>
          <w:i w:val="0"/>
        </w:rPr>
        <w:t>7.  Dispatch logs: answers to items (a)–(e) of our Sept. 9 letter; alternative sources (backups, vendor, ELD/telematics, e-mailed reports); verified declaration.</w:t>
      </w:r>
    </w:p>
    <w:p>
      <w:pPr>
        <w:spacing w:after="80"/>
        <w:ind w:left="504" w:hanging="360"/>
      </w:pPr>
      <w:r>
        <w:rPr>
          <w:b w:val="0"/>
          <w:i w:val="0"/>
        </w:rPr>
        <w:t>8.  Financial and insurance records: FY2020 unaudited statements as provided to PC; audited FY2022–2023; Crestline materials; GL detail (native); lease/ASC 842 documents; 2020, 2021 and 2023 policies and all endorsements; renewal COIs.</w:t>
      </w:r>
    </w:p>
    <w:p>
      <w:pPr>
        <w:spacing w:after="80"/>
        <w:ind w:left="504" w:hanging="360"/>
      </w:pPr>
      <w:r>
        <w:rPr>
          <w:b w:val="0"/>
          <w:i w:val="0"/>
        </w:rPr>
        <w:t>9.  RFP 16: withdrawal of the relevance objection in light of Counterclaim ¶¶ 45–48, 52, 59 and 65, or a stipulation that Meridian will not rely on any management or board materials it has not produced.</w:t>
      </w:r>
    </w:p>
    <w:p>
      <w:pPr>
        <w:spacing w:after="80"/>
        <w:ind w:left="504" w:hanging="360"/>
      </w:pPr>
      <w:r>
        <w:rPr>
          <w:b w:val="0"/>
          <w:i w:val="0"/>
        </w:rPr>
        <w:t>10.  Index: corrected document count (332 vs. 312); re-coding to the RFPs as served; explanation of the Greystone documents; the Aug. 22 and Sept. 5, 2023 letters and the missing breach notices; native production.</w:t>
      </w:r>
    </w:p>
    <w:p>
      <w:pPr>
        <w:spacing w:after="80"/>
        <w:ind w:left="504" w:hanging="360"/>
      </w:pPr>
      <w:r>
        <w:rPr>
          <w:b w:val="0"/>
          <w:i w:val="0"/>
        </w:rPr>
        <w:t>11.  Timing: firm supplementation dates before Oct. 1, 2024, and Meridian's position on a stipulated extension of the motion deadline.</w:t>
      </w:r>
    </w:p>
    <w:p>
      <w:pPr>
        <w:pStyle w:val="Heading1"/>
      </w:pPr>
      <w:r>
        <w:t>Appendix B: Materials Reviewed</w:t>
      </w:r>
    </w:p>
    <w:p>
      <w:pPr>
        <w:pStyle w:val="ListBullet"/>
        <w:spacing w:after="60"/>
      </w:pPr>
      <w:r>
        <w:rPr>
          <w:b w:val="0"/>
          <w:i w:val="0"/>
        </w:rPr>
        <w:t>Complaint (filed Jan. 18, 2024)</w:t>
      </w:r>
    </w:p>
    <w:p>
      <w:pPr>
        <w:pStyle w:val="ListBullet"/>
        <w:spacing w:after="60"/>
      </w:pPr>
      <w:r>
        <w:rPr>
          <w:b w:val="0"/>
          <w:i w:val="0"/>
        </w:rPr>
        <w:t>Meridian's Answer and Counterclaim (Mar. 4, 2024)</w:t>
      </w:r>
    </w:p>
    <w:p>
      <w:pPr>
        <w:pStyle w:val="ListBullet"/>
        <w:spacing w:after="60"/>
      </w:pPr>
      <w:r>
        <w:rPr>
          <w:b w:val="0"/>
          <w:i w:val="0"/>
        </w:rPr>
        <w:t>Scheduling Order (Apr. 22, 2024)</w:t>
      </w:r>
    </w:p>
    <w:p>
      <w:pPr>
        <w:pStyle w:val="ListBullet"/>
        <w:spacing w:after="60"/>
      </w:pPr>
      <w:r>
        <w:rPr>
          <w:b w:val="0"/>
          <w:i w:val="0"/>
        </w:rPr>
        <w:t>Plaintiff's First Set of RFPs, Nos. 1–27 (served May 15, 2024)</w:t>
      </w:r>
    </w:p>
    <w:p>
      <w:pPr>
        <w:pStyle w:val="ListBullet"/>
        <w:spacing w:after="60"/>
      </w:pPr>
      <w:r>
        <w:rPr>
          <w:b w:val="0"/>
          <w:i w:val="0"/>
        </w:rPr>
        <w:t>Meridian's Objections and Responses (June 28, 2024)</w:t>
      </w:r>
    </w:p>
    <w:p>
      <w:pPr>
        <w:pStyle w:val="ListBullet"/>
        <w:spacing w:after="60"/>
      </w:pPr>
      <w:r>
        <w:rPr>
          <w:b w:val="0"/>
          <w:i w:val="0"/>
        </w:rPr>
        <w:t>Meridian Production Index, MLC-000001 – MLC-004217 (Aug. 12, 2024), including summary tab</w:t>
      </w:r>
    </w:p>
    <w:p>
      <w:pPr>
        <w:pStyle w:val="ListBullet"/>
        <w:spacing w:after="60"/>
      </w:pPr>
      <w:r>
        <w:rPr>
          <w:b w:val="0"/>
          <w:i w:val="0"/>
        </w:rPr>
        <w:t>Meridian Privilege Log, PRIV-000001 – PRIV-000043 (Aug. 12, 2024), both tabs</w:t>
      </w:r>
    </w:p>
    <w:p>
      <w:pPr>
        <w:pStyle w:val="ListBullet"/>
        <w:spacing w:after="60"/>
      </w:pPr>
      <w:r>
        <w:rPr>
          <w:b w:val="0"/>
          <w:i w:val="0"/>
        </w:rPr>
        <w:t>Meet-and-confer correspondence: Nakamura letters of Aug. 19 and Sept. 9, 2024; Farouk responses of Sept. 2 and Sept. 15, 2024</w:t>
      </w:r>
    </w:p>
    <w:p>
      <w:pPr>
        <w:spacing w:after="120"/>
      </w:pPr>
      <w:r>
        <w:rPr>
          <w:b w:val="0"/>
          <w:i/>
          <w:sz w:val="18"/>
        </w:rPr>
        <w:t>Caveats: This analysis is based on the production index and privilege log descriptions; we have not reviewed the underlying produced page images for every entry. Observations about document contents (e.g., abridged monthly operations reports, tractor counts) should be confirmed against the images before they are cited in a motion. Case citations should be cite-checked before filing.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3A5F"/>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3A5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