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40"/>
        <w:jc w:val="center"/>
      </w:pPr>
      <w:r>
        <w:rPr>
          <w:rFonts w:ascii="Times New Roman" w:hAnsi="Times New Roman"/>
          <w:b/>
          <w:sz w:val="24"/>
        </w:rPr>
        <w:t>PRIVILEGED &amp; CONFIDENTIAL</w:t>
      </w:r>
    </w:p>
    <w:p>
      <w:pPr>
        <w:spacing w:line="240" w:lineRule="auto" w:after="160"/>
        <w:jc w:val="center"/>
      </w:pPr>
      <w:r>
        <w:rPr>
          <w:rFonts w:ascii="Times New Roman" w:hAnsi="Times New Roman"/>
          <w:b/>
          <w:sz w:val="20"/>
        </w:rPr>
        <w:t>ATTORNEY–CLIENT COMMUNICATION / ATTORNEY WORK PRODUCT</w:t>
      </w:r>
    </w:p>
    <w:p>
      <w:pPr>
        <w:spacing w:line="240" w:lineRule="auto" w:after="40"/>
        <w:jc w:val="center"/>
      </w:pPr>
      <w:r>
        <w:rPr>
          <w:rFonts w:ascii="Times New Roman" w:hAnsi="Times New Roman"/>
          <w:b/>
          <w:sz w:val="32"/>
        </w:rPr>
        <w:t>COMPLAINT-DRAFTING NOTES</w:t>
      </w:r>
    </w:p>
    <w:p>
      <w:pPr>
        <w:spacing w:line="240" w:lineRule="auto" w:after="160"/>
        <w:jc w:val="center"/>
      </w:pPr>
      <w:r>
        <w:rPr>
          <w:rFonts w:ascii="Times New Roman" w:hAnsi="Times New Roman"/>
          <w:b/>
          <w:sz w:val="24"/>
        </w:rPr>
        <w:t>Verdant Biotech Solutions, Inc. v. Tate and AgriNova Crop Sciences, LLC</w:t>
      </w:r>
    </w:p>
    <w:tbl>
      <w:tblPr>
        <w:tblW w:type="auto" w:w="0"/>
        <w:jc w:val="center"/>
        <w:tblLayout w:type="fixed"/>
        <w:tblLook w:firstColumn="1" w:firstRow="1" w:lastColumn="0" w:lastRow="0" w:noHBand="0" w:noVBand="1" w:val="04A0"/>
      </w:tblPr>
      <w:tblGrid>
        <w:gridCol w:w="4680"/>
        <w:gridCol w:w="4680"/>
      </w:tblGrid>
      <w:tr>
        <w:tc>
          <w:tcPr>
            <w:tcW w:type="dxa" w:w="1440"/>
            <w:shd w:fill="E8EEF5"/>
            <w:tcMar>
              <w:top w:w="35" w:type="dxa"/>
              <w:start w:w="80" w:type="dxa"/>
              <w:bottom w:w="35" w:type="dxa"/>
              <w:end w:w="80" w:type="dxa"/>
            </w:tcMar>
            <w:tcBorders>
              <w:bottom w:val="single" w:sz="4" w:color="D0D7DE"/>
            </w:tcBorders>
          </w:tcPr>
          <w:p>
            <w:pPr>
              <w:spacing w:line="240" w:lineRule="auto" w:after="0"/>
            </w:pPr>
            <w:r>
              <w:rPr>
                <w:rFonts w:ascii="Times New Roman" w:hAnsi="Times New Roman"/>
                <w:b/>
                <w:sz w:val="20"/>
              </w:rPr>
              <w:t>TO</w:t>
            </w:r>
          </w:p>
        </w:tc>
        <w:tc>
          <w:tcPr>
            <w:tcW w:type="dxa" w:w="8208"/>
            <w:tcMar>
              <w:top w:w="35" w:type="dxa"/>
              <w:start w:w="80" w:type="dxa"/>
              <w:bottom w:w="35" w:type="dxa"/>
              <w:end w:w="80" w:type="dxa"/>
            </w:tcMar>
            <w:tcBorders>
              <w:bottom w:val="single" w:sz="4" w:color="D0D7DE"/>
            </w:tcBorders>
          </w:tcPr>
          <w:p>
            <w:pPr>
              <w:spacing w:line="240" w:lineRule="auto" w:after="0"/>
            </w:pPr>
            <w:r>
              <w:rPr>
                <w:rFonts w:ascii="Times New Roman" w:hAnsi="Times New Roman"/>
                <w:sz w:val="20"/>
              </w:rPr>
              <w:t>Litigation Counsel</w:t>
            </w:r>
          </w:p>
        </w:tc>
      </w:tr>
      <w:tr>
        <w:tc>
          <w:tcPr>
            <w:tcW w:type="dxa" w:w="1440"/>
            <w:shd w:fill="E8EEF5"/>
            <w:tcMar>
              <w:top w:w="35" w:type="dxa"/>
              <w:start w:w="80" w:type="dxa"/>
              <w:bottom w:w="35" w:type="dxa"/>
              <w:end w:w="80" w:type="dxa"/>
            </w:tcMar>
            <w:tcBorders>
              <w:bottom w:val="single" w:sz="4" w:color="D0D7DE"/>
            </w:tcBorders>
          </w:tcPr>
          <w:p>
            <w:pPr>
              <w:spacing w:line="240" w:lineRule="auto" w:after="0"/>
            </w:pPr>
            <w:r>
              <w:rPr>
                <w:rFonts w:ascii="Times New Roman" w:hAnsi="Times New Roman"/>
                <w:b/>
                <w:sz w:val="20"/>
              </w:rPr>
              <w:t>FROM</w:t>
            </w:r>
          </w:p>
        </w:tc>
        <w:tc>
          <w:tcPr>
            <w:tcW w:type="dxa" w:w="8208"/>
            <w:tcMar>
              <w:top w:w="35" w:type="dxa"/>
              <w:start w:w="80" w:type="dxa"/>
              <w:bottom w:w="35" w:type="dxa"/>
              <w:end w:w="80" w:type="dxa"/>
            </w:tcMar>
            <w:tcBorders>
              <w:bottom w:val="single" w:sz="4" w:color="D0D7DE"/>
            </w:tcBorders>
          </w:tcPr>
          <w:p>
            <w:pPr>
              <w:spacing w:line="240" w:lineRule="auto" w:after="0"/>
            </w:pPr>
            <w:r>
              <w:rPr>
                <w:rFonts w:ascii="Times New Roman" w:hAnsi="Times New Roman"/>
                <w:sz w:val="20"/>
              </w:rPr>
              <w:t>Drafting Team</w:t>
            </w:r>
          </w:p>
        </w:tc>
      </w:tr>
      <w:tr>
        <w:tc>
          <w:tcPr>
            <w:tcW w:type="dxa" w:w="1440"/>
            <w:shd w:fill="E8EEF5"/>
            <w:tcMar>
              <w:top w:w="35" w:type="dxa"/>
              <w:start w:w="80" w:type="dxa"/>
              <w:bottom w:w="35" w:type="dxa"/>
              <w:end w:w="80" w:type="dxa"/>
            </w:tcMar>
            <w:tcBorders>
              <w:bottom w:val="single" w:sz="4" w:color="D0D7DE"/>
            </w:tcBorders>
          </w:tcPr>
          <w:p>
            <w:pPr>
              <w:spacing w:line="240" w:lineRule="auto" w:after="0"/>
            </w:pPr>
            <w:r>
              <w:rPr>
                <w:rFonts w:ascii="Times New Roman" w:hAnsi="Times New Roman"/>
                <w:b/>
                <w:sz w:val="20"/>
              </w:rPr>
              <w:t>DATE</w:t>
            </w:r>
          </w:p>
        </w:tc>
        <w:tc>
          <w:tcPr>
            <w:tcW w:type="dxa" w:w="8208"/>
            <w:tcMar>
              <w:top w:w="35" w:type="dxa"/>
              <w:start w:w="80" w:type="dxa"/>
              <w:bottom w:w="35" w:type="dxa"/>
              <w:end w:w="80" w:type="dxa"/>
            </w:tcMar>
            <w:tcBorders>
              <w:bottom w:val="single" w:sz="4" w:color="D0D7DE"/>
            </w:tcBorders>
          </w:tcPr>
          <w:p>
            <w:pPr>
              <w:spacing w:line="240" w:lineRule="auto" w:after="0"/>
            </w:pPr>
            <w:r>
              <w:rPr>
                <w:rFonts w:ascii="Times New Roman" w:hAnsi="Times New Roman"/>
                <w:sz w:val="20"/>
              </w:rPr>
              <w:t>April 7, 2025</w:t>
            </w:r>
          </w:p>
        </w:tc>
      </w:tr>
      <w:tr>
        <w:tc>
          <w:tcPr>
            <w:tcW w:type="dxa" w:w="1440"/>
            <w:shd w:fill="E8EEF5"/>
            <w:tcMar>
              <w:top w:w="35" w:type="dxa"/>
              <w:start w:w="80" w:type="dxa"/>
              <w:bottom w:w="35" w:type="dxa"/>
              <w:end w:w="80" w:type="dxa"/>
            </w:tcMar>
            <w:tcBorders>
              <w:bottom w:val="single" w:sz="4" w:color="D0D7DE"/>
            </w:tcBorders>
          </w:tcPr>
          <w:p>
            <w:pPr>
              <w:spacing w:line="240" w:lineRule="auto" w:after="0"/>
            </w:pPr>
            <w:r>
              <w:rPr>
                <w:rFonts w:ascii="Times New Roman" w:hAnsi="Times New Roman"/>
                <w:b/>
                <w:sz w:val="20"/>
              </w:rPr>
              <w:t>RE</w:t>
            </w:r>
          </w:p>
        </w:tc>
        <w:tc>
          <w:tcPr>
            <w:tcW w:type="dxa" w:w="8208"/>
            <w:tcMar>
              <w:top w:w="35" w:type="dxa"/>
              <w:start w:w="80" w:type="dxa"/>
              <w:bottom w:w="35" w:type="dxa"/>
              <w:end w:w="80" w:type="dxa"/>
            </w:tcMar>
            <w:tcBorders>
              <w:bottom w:val="single" w:sz="4" w:color="D0D7DE"/>
            </w:tcBorders>
          </w:tcPr>
          <w:p>
            <w:pPr>
              <w:spacing w:line="240" w:lineRule="auto" w:after="0"/>
            </w:pPr>
            <w:r>
              <w:rPr>
                <w:rFonts w:ascii="Times New Roman" w:hAnsi="Times New Roman"/>
                <w:sz w:val="20"/>
              </w:rPr>
              <w:t>Claims, pleading risks, defenses, and filing strategy</w:t>
            </w:r>
          </w:p>
        </w:tc>
      </w:tr>
    </w:tbl>
    <w:p/>
    <w:p>
      <w:pPr>
        <w:keepLines w:val="0"/>
        <w:widowControl/>
      </w:pPr>
      <w:r>
        <w:t>Purpose. These notes accompany a proposed complaint based on the supplied materials. They are for counsel’s review, not a substitute for confirming facts, governing law, and the current record before filing. Allegations involving AgriNova’s receipt/use and any agreement with Tate are necessarily inferential; counsel should complete the targeted investigation below and make the Rule 11 assessment before signing.</w:t>
      </w:r>
    </w:p>
    <w:p>
      <w:pPr>
        <w:pStyle w:val="Heading1"/>
        <w:jc w:val="left"/>
      </w:pPr>
      <w:r>
        <w:t>1. Executive assessment</w:t>
      </w:r>
    </w:p>
    <w:p>
      <w:pPr>
        <w:pStyle w:val="ListBullet"/>
        <w:spacing w:line="269" w:lineRule="auto" w:after="60"/>
        <w:ind w:left="432" w:hanging="245"/>
      </w:pPr>
      <w:r>
        <w:t>The strongest claims on the present record are DTSA and North Carolina Trade Secrets Protection Act claims against Tate, the CIAA breach claim against Tate, and a focused Employment Agreement claim based on the direct Kowalski solicitation. The forensic evidence supports unauthorized bulk acquisition, copying to personal storage, deletion, a separate executive-roadmap download, and a laptop reset. The agreements and controls provide unusually helpful facts on secrecy, notice, duty, and intent.</w:t>
      </w:r>
    </w:p>
    <w:p>
      <w:pPr>
        <w:pStyle w:val="ListBullet"/>
        <w:spacing w:line="269" w:lineRule="auto" w:after="60"/>
        <w:ind w:left="432" w:hanging="245"/>
      </w:pPr>
      <w:r>
        <w:t>The main evidentiary gap is AgriNova’s receipt, knowledge, and use. No examined personal device, USB, personal email account, or AgriNova system establishes that AgriNova received the data. The encrypted 1.2 GB attachment is uncharacterized and its recipient is unknown. BioYield’s press-release descriptions are high-level and could reflect independent development or ordinary industry language. DTSA/NCUTSA claims against AgriNova are pleadable on information and belief, but should be supported by prompt discovery and additional nonprivileged evidence.</w:t>
      </w:r>
    </w:p>
    <w:p>
      <w:pPr>
        <w:pStyle w:val="ListBullet"/>
        <w:spacing w:line="269" w:lineRule="auto" w:after="60"/>
        <w:ind w:left="432" w:hanging="245"/>
      </w:pPr>
      <w:r>
        <w:t>The strongest injunction theory is actual copying and transfer by Tate combined with a current competitor role and an unlocated USB—not inevitable disclosure based solely on employment. Request a focused order against use/disclosure and require preservation, identification, return, and neutral inspection. Do not request a blanket shutdown of BioYield or prohibit Tate from working based only on general knowledge.</w:t>
      </w:r>
    </w:p>
    <w:p>
      <w:pPr>
        <w:pStyle w:val="ListBullet"/>
        <w:spacing w:line="269" w:lineRule="auto" w:after="60"/>
        <w:ind w:left="432" w:hanging="245"/>
      </w:pPr>
      <w:r>
        <w:t>Claims concerning breach of the employee non-solicit are plausible as to Kowalski and reasonably inferable as to Okonkwo. The customer nonsolicit claim against Tate is not presently supported: Heartland reported an AgriNova product presentation, but no source shows Tate contacted or diverted Heartland or that Heartland reduced purchases. The 60-day notice breach is distinct, but it cannot have caused the October–November exfiltration because it occurred later.</w:t>
      </w:r>
    </w:p>
    <w:p>
      <w:pPr>
        <w:pStyle w:val="Heading1"/>
        <w:jc w:val="left"/>
      </w:pPr>
      <w:r>
        <w:t>2. Proposed claim-by-claim assessment</w:t>
      </w:r>
    </w:p>
    <w:p>
      <w:pPr>
        <w:pStyle w:val="Heading2"/>
        <w:jc w:val="left"/>
      </w:pPr>
      <w:r>
        <w:t>A. DTSA and North Carolina trade-secret claims (Tate; AgriNova)</w:t>
      </w:r>
    </w:p>
    <w:p>
      <w:pPr>
        <w:pStyle w:val="ListBullet"/>
        <w:spacing w:line="269" w:lineRule="auto" w:after="60"/>
        <w:ind w:left="432" w:hanging="245"/>
      </w:pPr>
      <w:r>
        <w:t>The information is identified by four concrete categories, types of component data, controlled repositories, access limits, and examples of use/value, without publishing secret contents. Preserve this granularity. Avoid describing “all TerraPrime information” as a single trade secret. Confirm the company can establish ownership and that each claimed item remained secret on the relevant date.</w:t>
      </w:r>
    </w:p>
    <w:p>
      <w:pPr>
        <w:pStyle w:val="ListBullet"/>
        <w:spacing w:line="269" w:lineRule="auto" w:after="60"/>
        <w:ind w:left="432" w:hanging="245"/>
      </w:pPr>
      <w:r>
        <w:t>The secrecy-measures record is strong: VaultSci access controls and logs; full MicroMap access restricted to 12; roadmap access restricted to seven; confidential classifications; physical and biometric safeguards; visitor NDAs; employee CIAA; annual training; encrypted monitored laptops; and a prohibition on unauthorized external media.</w:t>
      </w:r>
    </w:p>
    <w:p>
      <w:pPr>
        <w:pStyle w:val="ListBullet"/>
        <w:spacing w:line="269" w:lineRule="auto" w:after="60"/>
        <w:ind w:left="432" w:hanging="245"/>
      </w:pPr>
      <w:r>
        <w:t>The 2024 interstate/foreign commerce facts are sufficient for the DTSA predicate: TerraPrime product shipments through 38 states and licensing in Brazil and Canada. Plead this connection, but do not confuse that predicate with the distinct proof of AgriNova’s actual acquisition or use.</w:t>
      </w:r>
    </w:p>
    <w:p>
      <w:pPr>
        <w:pStyle w:val="ListBullet"/>
        <w:spacing w:line="269" w:lineRule="auto" w:after="60"/>
        <w:ind w:left="432" w:hanging="245"/>
      </w:pPr>
      <w:r>
        <w:t>Tate’s access was legitimate for job purposes, so avoid implying the login itself was unauthorized. The stronger theory is unauthorized acquisition, retention, transfer, and use/disclosure in breach of the CIAA and confidentiality duties. Allege no written authorization for personal-media export. Plead at least the statutory alternative that he disclosed or used the material without consent while knowing of the duty.</w:t>
      </w:r>
    </w:p>
    <w:p>
      <w:pPr>
        <w:pStyle w:val="ListBullet"/>
        <w:spacing w:line="269" w:lineRule="auto" w:after="60"/>
        <w:ind w:left="432" w:hanging="245"/>
      </w:pPr>
      <w:r>
        <w:t>For AgriNova, state the circumstantial basis, the scope of uncertainty, and that the details are in Defendants’ control. Do not allege as established fact that AgriNova received the encrypted email, the USB, or every file. Obtain the USB and personal-device evidence if possible; seek preservation and narrowly tailored expedited discovery, including Tate’s communications with AgriNova, source repositories, development timelines, access logs, and BioYield project records.</w:t>
      </w:r>
    </w:p>
    <w:p>
      <w:pPr>
        <w:pStyle w:val="ListBullet"/>
        <w:spacing w:line="269" w:lineRule="auto" w:after="60"/>
        <w:ind w:left="432" w:hanging="245"/>
      </w:pPr>
      <w:r>
        <w:t>The forensic report has an internal inconsistency to resolve: the corporate trade-secret summary lists 14 named formulation codenames ranging from TP-101 through TP-900, while the forensic report describes directory paths “TP-101 through TP-214.” The complaint therefore says 14 dossiers and does not reproduce a potentially inaccurate range. Confirm the VaultSci file manifest and exact identifiers before a more specific contention or trade-secret disclosure.</w:t>
      </w:r>
    </w:p>
    <w:p>
      <w:pPr>
        <w:pStyle w:val="ListBullet"/>
        <w:spacing w:line="269" w:lineRule="auto" w:after="60"/>
        <w:ind w:left="432" w:hanging="245"/>
      </w:pPr>
      <w:r>
        <w:t>The Sentinel report confirms hashes for 3,641/3,814 files transferred to USB (95.5%); 173 could not be definitively matched. Hashes for deleted files were recovered for 2,897. Plead “substantially all” and preserve these limitations; do not characterize every file transfer/deletion as hash-confirmed. The email contents and recipient are unknown.</w:t>
      </w:r>
    </w:p>
    <w:p>
      <w:pPr>
        <w:pStyle w:val="ListBullet"/>
        <w:spacing w:line="269" w:lineRule="auto" w:after="60"/>
        <w:ind w:left="432" w:hanging="245"/>
      </w:pPr>
      <w:r>
        <w:t>Patent-pending status does not itself defeat secrecy, but published application contents are not secret. Coordinate with patent counsel to segregate published/disclosed claims from confidential supplementary know-how, confirm filing/publication dates, and avoid alleging a patent claim as a trade secret after public disclosure. The complaint expressly limits its claim to still-secret information.</w:t>
      </w:r>
    </w:p>
    <w:p>
      <w:pPr>
        <w:pStyle w:val="Heading2"/>
        <w:jc w:val="left"/>
      </w:pPr>
      <w:r>
        <w:t>B. Breach of CIAA (Tate)</w:t>
      </w:r>
    </w:p>
    <w:p>
      <w:pPr>
        <w:pStyle w:val="ListBullet"/>
        <w:spacing w:line="269" w:lineRule="auto" w:after="60"/>
        <w:ind w:left="432" w:hanging="245"/>
      </w:pPr>
      <w:r>
        <w:t>This is a strong contract claim. The CIAA directly prohibits unauthorized copying/downloads/transfers, use for anyone else’s benefit, disclosure, and personal-device storage; it requires return and deletion and return of company equipment intact. The USB transfer, deletion/purge, strategic roadmap download, and laptop reset map to specific provisions.</w:t>
      </w:r>
    </w:p>
    <w:p>
      <w:pPr>
        <w:pStyle w:val="ListBullet"/>
        <w:spacing w:line="269" w:lineRule="auto" w:after="60"/>
        <w:ind w:left="432" w:hanging="245"/>
      </w:pPr>
      <w:r>
        <w:t>Use measured wording on “retention” and disclosure: the USB is outside Verdant’s control and the email content is unknown. Allege continuing possession/use on information and belief, supported by the transfer and lack of return evidence. Do not state a personal-account copy or recipient as proven.</w:t>
      </w:r>
    </w:p>
    <w:p>
      <w:pPr>
        <w:pStyle w:val="ListBullet"/>
        <w:spacing w:line="269" w:lineRule="auto" w:after="60"/>
        <w:ind w:left="432" w:hanging="245"/>
      </w:pPr>
      <w:r>
        <w:t>The CIAA’s integration/consideration and choice-of-law provisions support enforcement. Verify executed originals and any associated policy amendments. A separately documented loss-containment expense may support contract damages; avoid presenting all trade-secret loss under the CIAA as a second recovery.</w:t>
      </w:r>
    </w:p>
    <w:p>
      <w:pPr>
        <w:pStyle w:val="Heading2"/>
        <w:jc w:val="left"/>
      </w:pPr>
      <w:r>
        <w:t>C. Employment Agreement (Tate)</w:t>
      </w:r>
    </w:p>
    <w:p>
      <w:pPr>
        <w:pStyle w:val="ListBullet"/>
        <w:spacing w:line="269" w:lineRule="auto" w:after="60"/>
        <w:ind w:left="432" w:hanging="245"/>
      </w:pPr>
      <w:r>
        <w:t>Employee nonsolicitation: Kowalski’s text is a strong direct-solicitation fact; the covenant expressly covers recruiting and encouragement, not only a completed hire. Okonkwo’s recruiter message expressly says Tate “specifically recommended” him, which supports an indirect-solicitation inference. Preserve both declarations and original device records; verify complete message metadata and that the agreement’s definitions/time limits apply.</w:t>
      </w:r>
    </w:p>
    <w:p>
      <w:pPr>
        <w:pStyle w:val="ListBullet"/>
        <w:spacing w:line="269" w:lineRule="auto" w:after="60"/>
        <w:ind w:left="432" w:hanging="245"/>
      </w:pPr>
      <w:r>
        <w:t>Noncompetition: Tate’s Chief Science Officer role directing BioYield appears within the literal scope and the 18-month post-termination period (through approximately July 10, 2026). Enforceability is not assured under North Carolina law. The clause covers an extensive range of activities, product types, and the entire United States; North Carolina generally requires strict construction and does not rewrite an overbroad covenant merely because the contract requests reformation. The company’s national operations and executive role help, but the remedy should focus on specific competitive activity and be supported by evidence.</w:t>
      </w:r>
    </w:p>
    <w:p>
      <w:pPr>
        <w:pStyle w:val="ListBullet"/>
        <w:spacing w:line="269" w:lineRule="auto" w:after="60"/>
        <w:ind w:left="432" w:hanging="245"/>
      </w:pPr>
      <w:r>
        <w:t>The employee nonsolicit is also broad: it reaches all employees regardless of competitive position, and even contact initiated by the employee. The concrete allegations—direct recruitment of a senior scientist for a competing BioYield team and Tate’s specific referral of a genomics scientist—are narrower and more defensible than an abstract attempt to enforce the whole covenant.</w:t>
      </w:r>
    </w:p>
    <w:p>
      <w:pPr>
        <w:pStyle w:val="ListBullet"/>
        <w:spacing w:line="269" w:lineRule="auto" w:after="60"/>
        <w:ind w:left="432" w:hanging="245"/>
      </w:pPr>
      <w:r>
        <w:t>Customer nonsolicitation: Do not plead breach by Tate on the present record. AgriNova’s presentation to Heartland is not proof Tate solicited, contacted, serviced, or diverted Heartland. Obtain attendee lists, presentation materials, communications, distributor agreements, and purchase/sales data first.</w:t>
      </w:r>
    </w:p>
    <w:p>
      <w:pPr>
        <w:pStyle w:val="ListBullet"/>
        <w:spacing w:line="269" w:lineRule="auto" w:after="60"/>
        <w:ind w:left="432" w:hanging="245"/>
      </w:pPr>
      <w:r>
        <w:t>Notice/garden leave: The resignation dated November 18 for January 10 is 53 days, or seven short of the 60-day requirement (subject to confirming receipt and method of notice). The agreement gave Verdant discretion to invoke garden leave; it did not automatically put Tate on leave. The bulk exfiltration occurred before notice, so the missed seven days cannot have caused that conduct. Plead only the clear notice breach and nominal or proven actual damages; avoid asserting $85 million or prevention costs as causally attributable to the shortfall. Confirm any unpaid bonus or other contractual payment before seeking forfeiture/withholding.</w:t>
      </w:r>
    </w:p>
    <w:p>
      <w:pPr>
        <w:pStyle w:val="Heading2"/>
        <w:jc w:val="left"/>
      </w:pPr>
      <w:r>
        <w:t>D. AgriNova tort claims and derivative theories</w:t>
      </w:r>
    </w:p>
    <w:p>
      <w:pPr>
        <w:pStyle w:val="ListBullet"/>
        <w:spacing w:line="269" w:lineRule="auto" w:after="60"/>
        <w:ind w:left="432" w:hanging="245"/>
      </w:pPr>
      <w:r>
        <w:t>Tortious interference with contract: The underlying contracts and Tate breaches are identifiable. The vulnerable elements are AgriNova’s actual knowledge, intentional inducement, lack of justification, and causation. Hiring Tate to lead a competitor platform and using his recommendation to solicit employees are circumstantial support, not direct proof of contract knowledge or inducement. Before filing, seek or confirm offer/onboarding communications, restrictions disclosed to AgriNova, recruiting communications, and any request to transfer/use files. Plead knowledge and inducement on information and belief only with the facts actually known.</w:t>
      </w:r>
    </w:p>
    <w:p>
      <w:pPr>
        <w:pStyle w:val="ListBullet"/>
        <w:spacing w:line="269" w:lineRule="auto" w:after="60"/>
        <w:ind w:left="432" w:hanging="245"/>
      </w:pPr>
      <w:r>
        <w:t>Tortious interference with prospective economic advantage: The Heartland relationship and reasonable expectation of continued sales are supported; a product presentation is not itself wrongful. No evidence currently shows an actual diverted purchase, terminated relationship, or reduction in sales. The claim depends on proving wrongful means (e.g., trade-secret use) and actual injury, not lawful competition. Keep the alternative, narrowly framed allegation only if counsel concludes a threatened loss and existing commercial expectancy satisfy controlling law; gather current and historical Heartland sales, pipeline, communications, and the meeting presentation.</w:t>
      </w:r>
    </w:p>
    <w:p>
      <w:pPr>
        <w:pStyle w:val="ListBullet"/>
        <w:spacing w:line="269" w:lineRule="auto" w:after="60"/>
        <w:ind w:left="432" w:hanging="245"/>
      </w:pPr>
      <w:r>
        <w:t>Unjust enrichment: Do not assert against Tate as a primary theory because the CIAA and Employment Agreement govern his obligations. An alternative claim against AgriNova is possible if no contract governs its receipt/use, but may be displaced by the North Carolina Trade Secrets Protection Act to the extent it duplicates trade-secret misappropriation. Plead strictly in the alternative under Rule 8(d), only as to nonduplicative benefit not governed by statute or contract.</w:t>
      </w:r>
    </w:p>
    <w:p>
      <w:pPr>
        <w:pStyle w:val="ListBullet"/>
        <w:spacing w:line="269" w:lineRule="auto" w:after="60"/>
        <w:ind w:left="432" w:hanging="245"/>
      </w:pPr>
      <w:r>
        <w:t>Civil conspiracy: North Carolina requires an agreement, an overt act, and injury; conspiracy is not an independent tort. The agreement inference is thin and based on timing, platform similarities, hiring, and the recruiter’s attribution to Tate. It may face dismissal absent evidence of coordination before/after the transfer. Plead only as an alternative tied to independently actionable interference, not as a way around statutory displacement. Consider dropping if prefiling inquiry cannot support a reasonable inference of agreement.</w:t>
      </w:r>
    </w:p>
    <w:p>
      <w:pPr>
        <w:pStyle w:val="ListBullet"/>
        <w:spacing w:line="269" w:lineRule="auto" w:after="60"/>
        <w:ind w:left="432" w:hanging="245"/>
      </w:pPr>
      <w:r>
        <w:t>North Carolina Trade Secrets Protection Act displacement: Common-law claims premised solely on trade-secret misappropriation may be displaced. The complaint states contract-interference and conspiracy theories around independent contractual obligations and pleads unjust enrichment alternatively, but counsel should reassess preemption after identifying the precise factual basis for each. Do not add duplicate conversion, common-law misappropriation, or unfair-competition counts without a distinct nonsecret property interest or independent duty.</w:t>
      </w:r>
    </w:p>
    <w:p>
      <w:pPr>
        <w:pStyle w:val="Heading1"/>
        <w:jc w:val="left"/>
      </w:pPr>
      <w:r>
        <w:t>3. Injunctive relief and case-management strategy</w:t>
      </w:r>
    </w:p>
    <w:p>
      <w:pPr>
        <w:pStyle w:val="ListBullet"/>
        <w:spacing w:line="269" w:lineRule="auto" w:after="60"/>
        <w:ind w:left="432" w:hanging="245"/>
      </w:pPr>
      <w:r>
        <w:t>A Rule 65 application requires evidence addressing likelihood of success, irreparable harm, balance of equities, and public interest. Contract language declaring irreparable harm does not replace the Court’s equitable analysis. The unlocated USB, documented transfer, employee recruiting, and ongoing BioYield build-out support urgency; quantify why money alone cannot restore secrecy or unwind use.</w:t>
      </w:r>
    </w:p>
    <w:p>
      <w:pPr>
        <w:pStyle w:val="ListBullet"/>
        <w:spacing w:line="269" w:lineRule="auto" w:after="60"/>
        <w:ind w:left="432" w:hanging="245"/>
      </w:pPr>
      <w:r>
        <w:t>Ask for (i) no use/disclosure of specifically identified secret categories; (ii) preservation and sworn identification of all copies and storage locations; (iii) return or secure deletion after a neutral forensic image; (iv) protocol-limited inspection by a neutral examiner; (v) segregation/access controls; and (vi) restrictions on product work only to the extent the work uses or derives from the secrets. Avoid an across-the-board injunction against BioYield or Tate’s employment absent proof that a narrower order is inadequate.</w:t>
      </w:r>
    </w:p>
    <w:p>
      <w:pPr>
        <w:pStyle w:val="ListBullet"/>
        <w:spacing w:line="269" w:lineRule="auto" w:after="60"/>
        <w:ind w:left="432" w:hanging="245"/>
      </w:pPr>
      <w:r>
        <w:t>DTSA specifically bars an injunction that prevents employment merely because of information the person knows and requires consistency with applicable state law. Do not frame the relief as “inevitable disclosure.” Plead actual conduct and request a time- and information-limited order. Seek expedited discovery under Rule 26(d) only with a concrete protocol and good-cause showing.</w:t>
      </w:r>
    </w:p>
    <w:p>
      <w:pPr>
        <w:pStyle w:val="ListBullet"/>
        <w:spacing w:line="269" w:lineRule="auto" w:after="60"/>
        <w:ind w:left="432" w:hanging="245"/>
      </w:pPr>
      <w:r>
        <w:t>Consider a prompt litigation hold and preservation demands to Tate, AgriNova, and relevant custodians; identify the personal USB, ProtonMail records, LinkedIn recruiter, AgriNova source-control and lab records, and BioYield distributor presentation. Any forensic access to personal devices should be by agreement or court order under a privacy-conscious protocol.</w:t>
      </w:r>
    </w:p>
    <w:p>
      <w:pPr>
        <w:pStyle w:val="Heading1"/>
        <w:jc w:val="left"/>
      </w:pPr>
      <w:r>
        <w:t>4. Damages, remedies, and statutory notice</w:t>
      </w:r>
    </w:p>
    <w:p>
      <w:pPr>
        <w:pStyle w:val="ListBullet"/>
        <w:spacing w:line="269" w:lineRule="auto" w:after="60"/>
        <w:ind w:left="432" w:hanging="245"/>
      </w:pPr>
      <w:r>
        <w:t>The CFO workbook estimates $64.5 million in lost competitive advantage (30% of a $215 million DCF), $16.92 million in first-year distributor exposure (15% of top-ten distributor sales), and $3.6 million for three hypothetical scientist departures, totaling $85.02 million. These are projections—not established realized losses. The file itself says it is not an expert report. Do not plead the total as a fixed loss or offer it without a qualified damages analysis.</w:t>
      </w:r>
    </w:p>
    <w:p>
      <w:pPr>
        <w:pStyle w:val="ListBullet"/>
        <w:spacing w:line="269" w:lineRule="auto" w:after="60"/>
        <w:ind w:left="432" w:hanging="245"/>
      </w:pPr>
      <w:r>
        <w:t>Potential overlap is material: the $64.5 million platform erosion may already reflect product revenue loss; distributor revenue is gross sales rather than lost profit; employee replacement/institutional knowledge assumptions concern no identified departure; and $62.3 million sunk R&amp;D spend is not automatically recoverable damage. Unjust-enrichment ranges of 50–80% of research investment lack a demonstrated methodology. Treat DCF as one possible valuation input, commission an expert, and plead alternatives without double counting.</w:t>
      </w:r>
    </w:p>
    <w:p>
      <w:pPr>
        <w:pStyle w:val="ListBullet"/>
        <w:spacing w:line="269" w:lineRule="auto" w:after="60"/>
        <w:ind w:left="432" w:hanging="245"/>
      </w:pPr>
      <w:r>
        <w:t>Federal exemplary damages and attorneys’ fees against an employee under the DTSA depend on 18 U.S.C. § 1833(b) notice. Tate’s 2018 CIAA text, as supplied, contains no immunity notice. If Verdant failed to provide the required notice in this or another applicable agreement/policy, the statute bars DTSA exemplary damages and attorneys’ fees against Tate (not necessarily against AgriNova). Verify all signed agreements and incorporated policies. A post-breach notice should not be assumed to cure the omission.</w:t>
      </w:r>
    </w:p>
    <w:p>
      <w:pPr>
        <w:pStyle w:val="ListBullet"/>
        <w:spacing w:line="269" w:lineRule="auto" w:after="60"/>
        <w:ind w:left="432" w:hanging="245"/>
      </w:pPr>
      <w:r>
        <w:t>The North Carolina statute allows exemplary damages for willful and malicious misappropriation and permits attorneys’ fees in specified circumstances. Plead statutory remedies subject to proof and statutory limits. The Employment Agreement/CIAA fee provisions do not automatically overcome North Carolina’s fee rules; confirm any applicable business-contract fee statute and contractual prerequisites. Do not seek duplicate damages under DTSA and NCUTSA.</w:t>
      </w:r>
    </w:p>
    <w:p>
      <w:pPr>
        <w:pStyle w:val="Heading1"/>
        <w:jc w:val="left"/>
      </w:pPr>
      <w:r>
        <w:t>5. Defenses and other pleading risks to anticipate</w:t>
      </w:r>
    </w:p>
    <w:p>
      <w:pPr>
        <w:pStyle w:val="ListBullet"/>
        <w:spacing w:line="269" w:lineRule="auto" w:after="60"/>
        <w:ind w:left="432" w:hanging="245"/>
      </w:pPr>
      <w:r>
        <w:t>Trade-secret status: Defendants may contend the categories are too broad, publicly known, readily ascertainable, independently developed, or disclosed in patent filings/publications. Counter with a particularized secret schedule, access controls, development records, and proof of nonpublic residual know-how. Separate public science and Tate’s general skill from protectable combinations/data.</w:t>
      </w:r>
    </w:p>
    <w:p>
      <w:pPr>
        <w:pStyle w:val="ListBullet"/>
        <w:spacing w:line="269" w:lineRule="auto" w:after="60"/>
        <w:ind w:left="432" w:hanging="245"/>
      </w:pPr>
      <w:r>
        <w:t>Authorization and ordinary work: Tate had legitimate VaultSci access as VP R&amp;D. Defendants may argue the downloads served his duties or were authorized backups/work materials. Confirm access/approval protocols, prior normal download volumes, IT authorization records, and testimony establishing that the mass export and personal USB were not job-required or approved.</w:t>
      </w:r>
    </w:p>
    <w:p>
      <w:pPr>
        <w:pStyle w:val="ListBullet"/>
        <w:spacing w:line="269" w:lineRule="auto" w:after="60"/>
        <w:ind w:left="432" w:hanging="245"/>
      </w:pPr>
      <w:r>
        <w:t>No use/receipt by AgriNova; independent development: AgriNova may point to its history since 2016, existing R&amp;D, preexisting strain library/model, and lack of direct proof that it received the USB or email. Determine when BioYield was conceived, what data/experiments predated Tate, and whether source code, strain sets, formulation records, and lab notebooks show overlap. High-level press-release phrasing alone is not a strong forensic comparison.</w:t>
      </w:r>
    </w:p>
    <w:p>
      <w:pPr>
        <w:pStyle w:val="ListBullet"/>
        <w:spacing w:line="269" w:lineRule="auto" w:after="60"/>
        <w:ind w:left="432" w:hanging="245"/>
      </w:pPr>
      <w:r>
        <w:t>Contract enforceability: Tate may contest consideration, interpretation, notice calculation, and the scope or enforceability of the nationwide noncompete and employee nonsolicit. The agreements were signed at hire and North Carolina law applies, but the restrictive covenants may be invalid as overbroad; the contractual reformation language may not save them. The CIAA confidentiality and return provisions are analytically stronger.</w:t>
      </w:r>
    </w:p>
    <w:p>
      <w:pPr>
        <w:pStyle w:val="ListBullet"/>
        <w:spacing w:line="269" w:lineRule="auto" w:after="60"/>
        <w:ind w:left="432" w:hanging="245"/>
      </w:pPr>
      <w:r>
        <w:t>Privilege, expert, and spoliation: Sentinel’s report and Showalter’s referral memo are expressly attorney-client/work-product materials. Do not attach them to a public complaint or quote counsel’s legal analysis. Use underlying nonprivileged logs, declarations, a properly supported forensic declaration, and business witnesses. Confirm chain of custody, hashes, acquisition methodology, missing appendices, reset attribution, and expert admissibility. Anticipate attacks on the inability to inspect personal devices and on artifacts recovered after a factory reset.</w:t>
      </w:r>
    </w:p>
    <w:p>
      <w:pPr>
        <w:pStyle w:val="ListBullet"/>
        <w:spacing w:line="269" w:lineRule="auto" w:after="60"/>
        <w:ind w:left="432" w:hanging="245"/>
      </w:pPr>
      <w:r>
        <w:t>Limitations and remedial defenses: The supplied dates place discovery in February 2025, well within federal and state three-year periods, but document actual discovery dates and preserve the continuing-misappropriation timeline. Defendants may challenge damages as speculative, duplicative, remote, or unsupported; calculate lost profits/net margin and causation rather than relying on annual revenue or sunk costs.</w:t>
      </w:r>
    </w:p>
    <w:p>
      <w:pPr>
        <w:pStyle w:val="Heading1"/>
        <w:jc w:val="left"/>
      </w:pPr>
      <w:r>
        <w:t>6. Factual and filing checklist</w:t>
      </w:r>
    </w:p>
    <w:p>
      <w:pPr>
        <w:pStyle w:val="ListBullet"/>
        <w:spacing w:line="269" w:lineRule="auto" w:after="60"/>
        <w:ind w:left="432" w:hanging="245"/>
      </w:pPr>
      <w:r>
        <w:t>Confirm signed originals of both agreements, all exhibits, execution pages, amendments, employee handbook/acceptable-use policies, and any DTSA immunity notice or equivalent policy acknowledgment.</w:t>
      </w:r>
    </w:p>
    <w:p>
      <w:pPr>
        <w:pStyle w:val="ListBullet"/>
        <w:spacing w:line="269" w:lineRule="auto" w:after="60"/>
        <w:ind w:left="432" w:hanging="245"/>
      </w:pPr>
      <w:r>
        <w:t>Confirm exact resignation receipt date/method, 60-day count, final employment date, whether Tate accepted/negotiated AgriNova employment before January 10, any unpaid bonus, and whether Verdant ever invoked garden leave or restricted access.</w:t>
      </w:r>
    </w:p>
    <w:p>
      <w:pPr>
        <w:pStyle w:val="ListBullet"/>
        <w:spacing w:line="269" w:lineRule="auto" w:after="60"/>
        <w:ind w:left="432" w:hanging="245"/>
      </w:pPr>
      <w:r>
        <w:t>Obtain the complete VaultSci manifest, exact formulation directory/codename reconciliation, download authorization history, full logs and hash tables; verify access-control and classification facts with custodians.</w:t>
      </w:r>
    </w:p>
    <w:p>
      <w:pPr>
        <w:pStyle w:val="ListBullet"/>
        <w:spacing w:line="269" w:lineRule="auto" w:after="60"/>
        <w:ind w:left="432" w:hanging="245"/>
      </w:pPr>
      <w:r>
        <w:t>Secure the USB identity/location and preservation status; obtain personal email provider/metadata evidence and the recipient if possible. Preserve logs, laptop forensic image, chain-of-custody forms, and deletion/reset artifacts.</w:t>
      </w:r>
    </w:p>
    <w:p>
      <w:pPr>
        <w:pStyle w:val="ListBullet"/>
        <w:spacing w:line="269" w:lineRule="auto" w:after="60"/>
        <w:ind w:left="432" w:hanging="245"/>
      </w:pPr>
      <w:r>
        <w:t>Interview/obtain declarations from Kowalski, Okonkwo, Heartland contacts, IT Director Kevin Marsh, Network Security Manager Lisa Tran, CFO Renata Simmons, and R&amp;D scientists with personal knowledge. Preserve original texts, LinkedIn message metadata, and Heartland meeting materials.</w:t>
      </w:r>
    </w:p>
    <w:p>
      <w:pPr>
        <w:pStyle w:val="ListBullet"/>
        <w:spacing w:line="269" w:lineRule="auto" w:after="60"/>
        <w:ind w:left="432" w:hanging="245"/>
      </w:pPr>
      <w:r>
        <w:t>Investigate AgriNova knowledge and independent development: dates Tate first communicated with AgriNova, offer and onboarding records, restrictions disclosed, who recommended Okonkwo, BioYield source repository history, pre-Tate models/data, experiment and formulation records, staff hires, and distributor presentation materials.</w:t>
      </w:r>
    </w:p>
    <w:p>
      <w:pPr>
        <w:pStyle w:val="ListBullet"/>
        <w:spacing w:line="269" w:lineRule="auto" w:after="60"/>
        <w:ind w:left="432" w:hanging="245"/>
      </w:pPr>
      <w:r>
        <w:t>Have patent counsel identify public application content/publication timing; have a qualified damages expert test the $215 million DCF and actual lost-profit, unjust-enrichment, and reasonable-royalty methods.</w:t>
      </w:r>
    </w:p>
    <w:p>
      <w:pPr>
        <w:pStyle w:val="ListBullet"/>
        <w:spacing w:line="269" w:lineRule="auto" w:after="60"/>
        <w:ind w:left="432" w:hanging="245"/>
      </w:pPr>
      <w:r>
        <w:t>Correct the sample declaration caption: supplied Kowalski declaration says “Eastern District of North Carolina, Western Division,” which is inconsistent with Raleigh/Wake County. The proposed complaint uses the Northern Division. Confirm the correct division and current local assignment practice.</w:t>
      </w:r>
    </w:p>
    <w:p>
      <w:pPr>
        <w:pStyle w:val="ListBullet"/>
        <w:spacing w:line="269" w:lineRule="auto" w:after="60"/>
        <w:ind w:left="432" w:hanging="245"/>
      </w:pPr>
      <w:r>
        <w:t>Keep privileged materials out of the public pleading. Consider a public complaint with trade-secret categories and a protective order or sealed, particularized trade-secret disclosure at the appropriate stage.</w:t>
      </w:r>
    </w:p>
    <w:p>
      <w:pPr>
        <w:pStyle w:val="Heading1"/>
        <w:jc w:val="left"/>
      </w:pPr>
      <w:r>
        <w:t>7. Drafting assumptions and deliberate omissions</w:t>
      </w:r>
    </w:p>
    <w:p>
      <w:pPr>
        <w:keepLines w:val="0"/>
        <w:widowControl/>
      </w:pPr>
      <w:r>
        <w:t>The proposed complaint is dated April 7, 2025 to match the stated target filing date and alleges facts available through the March 2025 declarations and distributor report. It leaves the civil action number, bar number, counsel contact details, and signature for filing counsel. It does not attach privileged internal summaries, a damages workbook, or the Sentinel report.</w:t>
      </w:r>
    </w:p>
    <w:p>
      <w:pPr>
        <w:keepLines w:val="0"/>
        <w:widowControl/>
      </w:pPr>
      <w:r>
        <w:t>The draft does not plead that Tate solicited Heartland, that Heartland has diverted business, that the encrypted email contained trade secrets, that AgriNova received the USB or email, or that the notice shortfall caused the earlier data transfers. Those assertions are not established in the supplied record. The unjust-enrichment and conspiracy counts are expressly alternative and should be retained only after counsel’s statutory-preemption and Rule 11 review.</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40" w:lineRule="auto"/>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