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40"/>
        <w:jc w:val="center"/>
      </w:pPr>
      <w:r>
        <w:rPr>
          <w:rFonts w:ascii="Times New Roman" w:hAnsi="Times New Roman"/>
          <w:b/>
          <w:sz w:val="24"/>
        </w:rPr>
        <w:t>IN THE UNITED STATES DISTRICT COURT</w:t>
      </w:r>
    </w:p>
    <w:p>
      <w:pPr>
        <w:spacing w:line="240" w:lineRule="auto" w:after="40"/>
        <w:jc w:val="center"/>
      </w:pPr>
      <w:r>
        <w:rPr>
          <w:rFonts w:ascii="Times New Roman" w:hAnsi="Times New Roman"/>
          <w:b/>
          <w:sz w:val="24"/>
        </w:rPr>
        <w:t>FOR THE EASTERN DISTRICT OF NORTH CAROLINA</w:t>
      </w:r>
    </w:p>
    <w:p>
      <w:pPr>
        <w:spacing w:line="240" w:lineRule="auto" w:after="200"/>
        <w:jc w:val="center"/>
      </w:pPr>
      <w:r>
        <w:rPr>
          <w:rFonts w:ascii="Times New Roman" w:hAnsi="Times New Roman"/>
          <w:b/>
          <w:sz w:val="24"/>
        </w:rPr>
        <w:t>NORTHERN DIVISION</w:t>
      </w:r>
    </w:p>
    <w:tbl>
      <w:tblPr>
        <w:tblW w:type="auto" w:w="0"/>
        <w:jc w:val="center"/>
        <w:tblLayout w:type="fixed"/>
        <w:tblLook w:firstColumn="1" w:firstRow="1" w:lastColumn="0" w:lastRow="0" w:noHBand="0" w:noVBand="1" w:val="04A0"/>
      </w:tblPr>
      <w:tblGrid>
        <w:gridCol w:w="4968"/>
        <w:gridCol w:w="3960"/>
      </w:tblGrid>
      <w:tr>
        <w:tc>
          <w:tcPr>
            <w:tcW w:type="dxa" w:w="3960"/>
            <w:vAlign w:val="top"/>
            <w:tcMar>
              <w:top w:w="80" w:type="dxa"/>
              <w:start w:w="120" w:type="dxa"/>
              <w:bottom w:w="80" w:type="dxa"/>
              <w:end w:w="120" w:type="dxa"/>
            </w:tcMar>
            <w:tcBorders>
              <w:top w:val="single" w:sz="8" w:color="000000"/>
              <w:bottom w:val="single" w:sz="8" w:color="000000"/>
              <w:right w:val="single" w:sz="8" w:color="000000"/>
            </w:tcBorders>
          </w:tcPr>
          <w:p>
            <w:pPr>
              <w:spacing w:line="264" w:lineRule="auto" w:after="40"/>
            </w:pPr>
            <w:r>
              <w:rPr>
                <w:rFonts w:ascii="Times New Roman" w:hAnsi="Times New Roman"/>
                <w:sz w:val="21"/>
              </w:rPr>
              <w:t>VERDANT BIOTECH SOLUTIONS, INC.,</w:t>
              <w:br/>
              <w:br/>
              <w:t>Plaintiff,</w:t>
              <w:br/>
              <w:br/>
              <w:t>v.</w:t>
              <w:br/>
              <w:br/>
              <w:t>DR. MARCUS ELLISON TATE and</w:t>
              <w:br/>
              <w:t>AGRINOVA CROP SCIENCES, LLC,</w:t>
              <w:br/>
              <w:br/>
              <w:t>Defendants.</w:t>
            </w:r>
          </w:p>
        </w:tc>
        <w:tc>
          <w:tcPr>
            <w:tcW w:type="dxa" w:w="3960"/>
            <w:vAlign w:val="top"/>
            <w:tcMar>
              <w:top w:w="80" w:type="dxa"/>
              <w:start w:w="120" w:type="dxa"/>
              <w:bottom w:w="80" w:type="dxa"/>
              <w:end w:w="120" w:type="dxa"/>
            </w:tcMar>
            <w:tcBorders>
              <w:top w:val="single" w:sz="8" w:color="000000"/>
              <w:left w:val="single" w:sz="8" w:color="000000"/>
              <w:bottom w:val="single" w:sz="8" w:color="000000"/>
            </w:tcBorders>
          </w:tcPr>
          <w:p>
            <w:pPr>
              <w:spacing w:line="264" w:lineRule="auto" w:after="40"/>
            </w:pPr>
            <w:r>
              <w:rPr>
                <w:rFonts w:ascii="Times New Roman" w:hAnsi="Times New Roman"/>
                <w:sz w:val="21"/>
              </w:rPr>
              <w:t>Civil Action No. __________</w:t>
              <w:br/>
              <w:br/>
              <w:t>COMPLAINT FOR:</w:t>
              <w:br/>
              <w:br/>
              <w:t>1. Trade Secret Misappropriation (DTSA)</w:t>
              <w:br/>
              <w:t>2. Trade Secret Misappropriation (NCUTSA)</w:t>
              <w:br/>
              <w:t>3. Breach of Confidentiality and Invention Assignment Agreement</w:t>
              <w:br/>
              <w:t>4. Breach of Employment Agreement</w:t>
              <w:br/>
              <w:t>5. Tortious Interference with Contract</w:t>
              <w:br/>
              <w:t>6. Tortious Interference with Prospective Economic Advantage</w:t>
              <w:br/>
              <w:t>7. Unjust Enrichment (Alternative)</w:t>
              <w:br/>
              <w:t>8. Civil Conspiracy</w:t>
              <w:br/>
              <w:br/>
              <w:t>JURY TRIAL DEMANDED</w:t>
            </w:r>
          </w:p>
        </w:tc>
      </w:tr>
    </w:tbl>
    <w:p/>
    <w:p>
      <w:pPr>
        <w:spacing w:line="240" w:lineRule="auto" w:after="80"/>
        <w:jc w:val="center"/>
      </w:pPr>
      <w:r>
        <w:rPr>
          <w:rFonts w:ascii="Times New Roman" w:hAnsi="Times New Roman"/>
          <w:b/>
          <w:sz w:val="28"/>
        </w:rPr>
        <w:t>COMPLAINT</w:t>
      </w:r>
    </w:p>
    <w:p>
      <w:pPr>
        <w:keepLines w:val="0"/>
        <w:widowControl/>
      </w:pPr>
      <w:r>
        <w:t>Plaintiff Verdant Biotech Solutions, Inc. (“Verdant”), by and through undersigned counsel, alleges against Defendants Dr. Marcus Ellison Tate (“Tate”) and AgriNova Crop Sciences, LLC (“AgriNova”) as follows. Allegations based on information and belief are so stated and are based on the circumstances alleged, including the timing and volume of Tate’s transfers, his subsequent employment by AgriNova, AgriNova’s announced BioYield platform and accelerated launch timetable, and AgriNova’s recruiting activity expressly attributed to Tate.</w:t>
      </w:r>
    </w:p>
    <w:p>
      <w:pPr>
        <w:pStyle w:val="Heading1"/>
        <w:jc w:val="center"/>
      </w:pPr>
      <w:r>
        <w:t>NATURE OF THE ACTION</w:t>
      </w:r>
    </w:p>
    <w:p>
      <w:pPr>
        <w:widowControl/>
        <w:spacing w:line="432" w:lineRule="auto" w:after="0"/>
        <w:ind w:left="605" w:hanging="605"/>
      </w:pPr>
      <w:r>
        <w:rPr>
          <w:b w:val="0"/>
        </w:rPr>
        <w:t>1.</w:t>
        <w:tab/>
      </w:r>
      <w:r>
        <w:t>This action arises from the unauthorized copying and removal of Verdant’s confidential TerraPrime research and development information by its former Vice President of Research &amp; Development, Tate, and the subsequent announcement and development by Tate’s new employer, direct competitor AgriNova, of a closely related soil-microbiome platform under the name BioYield.</w:t>
      </w:r>
    </w:p>
    <w:p>
      <w:pPr>
        <w:widowControl/>
        <w:spacing w:line="432" w:lineRule="auto" w:after="0"/>
        <w:ind w:left="605" w:hanging="605"/>
      </w:pPr>
      <w:r>
        <w:rPr>
          <w:b w:val="0"/>
        </w:rPr>
        <w:t>2.</w:t>
        <w:tab/>
      </w:r>
      <w:r>
        <w:t>In a compressed period in October and November 2024, Tate downloaded thousands of files from Verdant’s access-controlled TerraPrime repository, transferred substantially all of that data to an unauthorized personal USB device, sent a separate large encrypted attachment to an unknown external recipient, deleted the local files and emptied the Recycle Bin, downloaded a further executive-only strategic roadmap, and later returned his company laptop after resetting it to factory settings.</w:t>
      </w:r>
    </w:p>
    <w:p>
      <w:pPr>
        <w:widowControl/>
        <w:spacing w:line="432" w:lineRule="auto" w:after="0"/>
        <w:ind w:left="605" w:hanging="605"/>
      </w:pPr>
      <w:r>
        <w:rPr>
          <w:b w:val="0"/>
        </w:rPr>
        <w:t>3.</w:t>
        <w:tab/>
      </w:r>
      <w:r>
        <w:t>The copied files included Verdant’s characterized microbial strain library, MicroMap 3.0 source code and model materials, 14 patent-pending formulation dossiers, and strategic product and market plans. Tate had signed agreements prohibiting unauthorized copying, use, and disclosure and requiring return of company materials.</w:t>
      </w:r>
    </w:p>
    <w:p>
      <w:pPr>
        <w:widowControl/>
        <w:spacing w:line="432" w:lineRule="auto" w:after="0"/>
        <w:ind w:left="605" w:hanging="605"/>
      </w:pPr>
      <w:r>
        <w:rPr>
          <w:b w:val="0"/>
        </w:rPr>
        <w:t>4.</w:t>
        <w:tab/>
      </w:r>
      <w:r>
        <w:t>Tate then joined AgriNova as Chief Science Officer. AgriNova announced BioYield as an AI-driven soil-microbiome platform using strain selection and synergy modeling, with an accelerated plan to market products by the fourth quarter of 2025. On information and belief, AgriNova obtained, used, or is using some or all of Verdant’s trade secrets in developing or accelerating BioYield.</w:t>
      </w:r>
    </w:p>
    <w:p>
      <w:pPr>
        <w:widowControl/>
        <w:spacing w:line="432" w:lineRule="auto" w:after="0"/>
        <w:ind w:left="605" w:hanging="605"/>
      </w:pPr>
      <w:r>
        <w:rPr>
          <w:b w:val="0"/>
        </w:rPr>
        <w:t>5.</w:t>
        <w:tab/>
      </w:r>
      <w:r>
        <w:t>Verdant seeks to stop any continuing use or disclosure, secure and return or forensically preserve all copies, and recover damages and other relief allowed by law. Verdant does not seek to prevent Tate from using general skill, experience, or publicly available information, or to bar employment merely because of information in his unaided memory.</w:t>
      </w:r>
    </w:p>
    <w:p>
      <w:pPr>
        <w:pStyle w:val="Heading1"/>
        <w:jc w:val="center"/>
      </w:pPr>
      <w:r>
        <w:t>THE PARTIES</w:t>
      </w:r>
    </w:p>
    <w:p>
      <w:pPr>
        <w:widowControl/>
        <w:spacing w:line="432" w:lineRule="auto" w:after="0"/>
        <w:ind w:left="605" w:hanging="605"/>
      </w:pPr>
      <w:r>
        <w:rPr>
          <w:b w:val="0"/>
        </w:rPr>
        <w:t>6.</w:t>
        <w:tab/>
      </w:r>
      <w:r>
        <w:t>Plaintiff Verdant is a Delaware corporation with its principal place of business at 4510 Meridian Research Drive, Suite 300, Research Triangle Park, North Carolina 27709. Verdant develops, manufactures, and commercializes microbial formulations and agricultural biotechnology products, including products developed through its TerraPrime platform.</w:t>
      </w:r>
    </w:p>
    <w:p>
      <w:pPr>
        <w:widowControl/>
        <w:spacing w:line="432" w:lineRule="auto" w:after="0"/>
        <w:ind w:left="605" w:hanging="605"/>
      </w:pPr>
      <w:r>
        <w:rPr>
          <w:b w:val="0"/>
        </w:rPr>
        <w:t>7.</w:t>
        <w:tab/>
      </w:r>
      <w:r>
        <w:t>Defendant Tate is an individual residing at 1822 Foxglove Lane, Chapel Hill, North Carolina 27517. Tate served as Verdant’s Vice President, Research &amp; Development from March 15, 2018 until his employment ended on January 10, 2025. He now serves as AgriNova’s Chief Science Officer.</w:t>
      </w:r>
    </w:p>
    <w:p>
      <w:pPr>
        <w:widowControl/>
        <w:spacing w:line="432" w:lineRule="auto" w:after="0"/>
        <w:ind w:left="605" w:hanging="605"/>
      </w:pPr>
      <w:r>
        <w:rPr>
          <w:b w:val="0"/>
        </w:rPr>
        <w:t>8.</w:t>
        <w:tab/>
      </w:r>
      <w:r>
        <w:t>Defendant AgriNova is a North Carolina limited liability company with its principal office at 780 Sycamore Innovation Parkway, Suite 1200, Raleigh, North Carolina 27601. AgriNova competes with Verdant in agricultural biotechnology and soil-health products. AgriNova announced Tate’s appointment as Chief Science Officer and its BioYield platform on February 3, 2025.</w:t>
      </w:r>
    </w:p>
    <w:p>
      <w:pPr>
        <w:pStyle w:val="Heading1"/>
        <w:jc w:val="center"/>
      </w:pPr>
      <w:r>
        <w:t>JURISDICTION AND VENUE</w:t>
      </w:r>
    </w:p>
    <w:p>
      <w:pPr>
        <w:widowControl/>
        <w:spacing w:line="432" w:lineRule="auto" w:after="0"/>
        <w:ind w:left="605" w:hanging="605"/>
      </w:pPr>
      <w:r>
        <w:rPr>
          <w:b w:val="0"/>
        </w:rPr>
        <w:t>9.</w:t>
        <w:tab/>
      </w:r>
      <w:r>
        <w:t>This Court has subject-matter jurisdiction over the DTSA claim under 18 U.S.C. § 1836(c) and 28 U.S.C. § 1331. The Court has supplemental jurisdiction over the related state-law claims under 28 U.S.C. § 1367 because they form part of the same case or controversy.</w:t>
      </w:r>
    </w:p>
    <w:p>
      <w:pPr>
        <w:widowControl/>
        <w:spacing w:line="432" w:lineRule="auto" w:after="0"/>
        <w:ind w:left="605" w:hanging="605"/>
      </w:pPr>
      <w:r>
        <w:rPr>
          <w:b w:val="0"/>
        </w:rPr>
        <w:t>10.</w:t>
        <w:tab/>
      </w:r>
      <w:r>
        <w:t>This Court has personal jurisdiction over Tate because he resides in North Carolina and the conduct at issue occurred in substantial part in this State. The Court has personal jurisdiction over AgriNova because it is organized under North Carolina law, maintains its principal office in Raleigh, and conducts the challenged business activity in North Carolina.</w:t>
      </w:r>
    </w:p>
    <w:p>
      <w:pPr>
        <w:widowControl/>
        <w:spacing w:line="432" w:lineRule="auto" w:after="0"/>
        <w:ind w:left="605" w:hanging="605"/>
      </w:pPr>
      <w:r>
        <w:rPr>
          <w:b w:val="0"/>
        </w:rPr>
        <w:t>11.</w:t>
        <w:tab/>
      </w:r>
      <w:r>
        <w:t>Venue is proper in this District under 28 U.S.C. § 1391(b)(1) and (b)(2). Both Defendants reside in North Carolina for venue purposes, and a substantial part of the events or omissions giving rise to the claims occurred in this District, including conduct at Verdant’s Research Triangle Park headquarters and AgriNova’s Raleigh headquarters.</w:t>
      </w:r>
    </w:p>
    <w:p>
      <w:pPr>
        <w:widowControl/>
        <w:spacing w:line="432" w:lineRule="auto" w:after="0"/>
        <w:ind w:left="605" w:hanging="605"/>
      </w:pPr>
      <w:r>
        <w:rPr>
          <w:b w:val="0"/>
        </w:rPr>
        <w:t>12.</w:t>
        <w:tab/>
      </w:r>
      <w:r>
        <w:t>Tate’s Employment Agreement and Confidentiality and Invention Assignment Agreement select the federal or state courts located in Wake County, North Carolina, for covered disputes. This Court sits in the appropriate division for the Raleigh/Wake County forum. The forum provisions bind Tate; venue as to AgriNova is independently proper under § 1391.</w:t>
      </w:r>
    </w:p>
    <w:p>
      <w:pPr>
        <w:pStyle w:val="Heading1"/>
        <w:jc w:val="center"/>
      </w:pPr>
      <w:r>
        <w:t>FACTUAL ALLEGATIONS</w:t>
      </w:r>
    </w:p>
    <w:p>
      <w:pPr>
        <w:pStyle w:val="Heading2"/>
        <w:jc w:val="left"/>
      </w:pPr>
      <w:r>
        <w:t>A. Verdant’s TerraPrime platform and the trade secrets</w:t>
      </w:r>
    </w:p>
    <w:p>
      <w:pPr>
        <w:widowControl/>
        <w:spacing w:line="432" w:lineRule="auto" w:after="0"/>
        <w:ind w:left="605" w:hanging="605"/>
      </w:pPr>
      <w:r>
        <w:rPr>
          <w:b w:val="0"/>
        </w:rPr>
        <w:t>13.</w:t>
        <w:tab/>
      </w:r>
      <w:r>
        <w:t>Verdant’s TerraPrime platform is its flagship research and development program for identifying and formulating microbial combinations designed to improve soil health, nutrient uptake, and crop performance. Verdant invested approximately $62.3 million in the platform from fiscal years 2018 through 2024, including personnel, laboratory and equipment, computational genomics, and multi-state field trials.</w:t>
      </w:r>
    </w:p>
    <w:p>
      <w:pPr>
        <w:widowControl/>
        <w:spacing w:line="432" w:lineRule="auto" w:after="0"/>
        <w:ind w:left="605" w:hanging="605"/>
      </w:pPr>
      <w:r>
        <w:rPr>
          <w:b w:val="0"/>
        </w:rPr>
        <w:t>14.</w:t>
        <w:tab/>
      </w:r>
      <w:r>
        <w:t>TerraPrime’s value rests in substantial part on nonpublic technical and business information developed through years of collection, testing, modeling, and commercial planning. The trade secrets at issue include the following compilations and information, each identified by subject and type without revealing its secret contents:</w:t>
      </w:r>
    </w:p>
    <w:p>
      <w:pPr>
        <w:widowControl/>
        <w:spacing w:line="432" w:lineRule="auto" w:after="0"/>
        <w:ind w:left="605" w:hanging="605"/>
      </w:pPr>
      <w:r>
        <w:rPr>
          <w:b w:val="0"/>
        </w:rPr>
        <w:t>15.</w:t>
        <w:tab/>
      </w:r>
      <w:r>
        <w:t>(a) The proprietary microbial strain library: records for approximately 4,217 characterized strains, including genomic sequence data, taxonomy, phenotypic characterization, soil-compatibility profiles, synergy indices, field-trial performance, and associated proprietary annotations.</w:t>
      </w:r>
    </w:p>
    <w:p>
      <w:pPr>
        <w:widowControl/>
        <w:spacing w:line="432" w:lineRule="auto" w:after="0"/>
        <w:ind w:left="605" w:hanging="605"/>
      </w:pPr>
      <w:r>
        <w:rPr>
          <w:b w:val="0"/>
        </w:rPr>
        <w:t>16.</w:t>
        <w:tab/>
      </w:r>
      <w:r>
        <w:t>(b) MicroMap 3.0: Verdant’s nonpublic bioinformatic model for predicting strain synergies in target soil and crop environments, including source code, algorithms, model parameters, proprietary training datasets derived from Verdant’s strain library, and field-validation data.</w:t>
      </w:r>
    </w:p>
    <w:p>
      <w:pPr>
        <w:widowControl/>
        <w:spacing w:line="432" w:lineRule="auto" w:after="0"/>
        <w:ind w:left="605" w:hanging="605"/>
      </w:pPr>
      <w:r>
        <w:rPr>
          <w:b w:val="0"/>
        </w:rPr>
        <w:t>17.</w:t>
        <w:tab/>
      </w:r>
      <w:r>
        <w:t>(c) Fourteen patent-pending formulation dossiers: nonpublic formulation and supporting know-how for Verdant’s internally designated TerraPrime formulations, including strain combinations, concentration ratios, carrier and stabilizer compositions, application protocols, greenhouse and field results, and regulatory pre-submission materials. The formulation details and supplementary know-how are not publicly disclosed merely because patent applications have been filed.</w:t>
      </w:r>
    </w:p>
    <w:p>
      <w:pPr>
        <w:widowControl/>
        <w:spacing w:line="432" w:lineRule="auto" w:after="0"/>
        <w:ind w:left="605" w:hanging="605"/>
      </w:pPr>
      <w:r>
        <w:rPr>
          <w:b w:val="0"/>
        </w:rPr>
        <w:t>18.</w:t>
        <w:tab/>
      </w:r>
      <w:r>
        <w:t>(d) TerraPrime’s strategic pipeline and launch roadmap: nonpublic product-development milestones, anticipated regulatory submissions and launch timing, target crop markets and geographies, pricing and revenue projections, competitive assessments, and partnership and licensing strategies through 2029, including the 47-page “TerraPrime Strategic Pipeline &amp; Launch Roadmap 2025–2029.”</w:t>
      </w:r>
    </w:p>
    <w:p>
      <w:pPr>
        <w:widowControl/>
        <w:spacing w:line="432" w:lineRule="auto" w:after="0"/>
        <w:ind w:left="605" w:hanging="605"/>
      </w:pPr>
      <w:r>
        <w:rPr>
          <w:b w:val="0"/>
        </w:rPr>
        <w:t>19.</w:t>
        <w:tab/>
      </w:r>
      <w:r>
        <w:t>Each category derives actual or potential independent economic value from not being generally known or readily ascertainable by others who could obtain economic value from its disclosure or use. The strain collection and characterization, predictive model, formulation and testing work, and roadmap would allow a competitor to avoid substantial research costs, shorten development time, target Verdant’s market opportunities, and compete more effectively.</w:t>
      </w:r>
    </w:p>
    <w:p>
      <w:pPr>
        <w:widowControl/>
        <w:spacing w:line="432" w:lineRule="auto" w:after="0"/>
        <w:ind w:left="605" w:hanging="605"/>
      </w:pPr>
      <w:r>
        <w:rPr>
          <w:b w:val="0"/>
        </w:rPr>
        <w:t>20.</w:t>
        <w:tab/>
      </w:r>
      <w:r>
        <w:t>Verdant took reasonable measures to preserve secrecy. It stored TerraPrime digital materials in VaultSci, an internal document system with role-based access and download logs; restricted full MicroMap access to 12 designated employees and access to the executive roadmap to seven senior personnel; classified formulation and model materials as R&amp;D-restricted and the roadmap as executive-only; limited physical access to R&amp;D facilities and biometric access to cryogenic storage; required employee confidentiality and invention-assignment agreements; restricted unauthorized external storage; encrypted and monitored company laptops; and provided annual trade-secret training. Tate completed that training on September 12, 2024.</w:t>
      </w:r>
    </w:p>
    <w:p>
      <w:pPr>
        <w:widowControl/>
        <w:spacing w:line="432" w:lineRule="auto" w:after="0"/>
        <w:ind w:left="605" w:hanging="605"/>
      </w:pPr>
      <w:r>
        <w:rPr>
          <w:b w:val="0"/>
        </w:rPr>
        <w:t>21.</w:t>
        <w:tab/>
      </w:r>
      <w:r>
        <w:t>Verdant had not published or disclosed the MicroMap algorithms and source code, the strain library, the formulation dossiers, or the executive roadmap to the public. Verdant’s outside patent counsel handles the formulation filings. The trade-secret claim is limited to information that remained secret and protectable notwithstanding any patent filing or other public disclosure.</w:t>
      </w:r>
    </w:p>
    <w:p>
      <w:pPr>
        <w:pStyle w:val="Heading2"/>
        <w:jc w:val="left"/>
      </w:pPr>
      <w:r>
        <w:t>B. Tate’s duties and access</w:t>
      </w:r>
    </w:p>
    <w:p>
      <w:pPr>
        <w:widowControl/>
        <w:spacing w:line="432" w:lineRule="auto" w:after="0"/>
        <w:ind w:left="605" w:hanging="605"/>
      </w:pPr>
      <w:r>
        <w:rPr>
          <w:b w:val="0"/>
        </w:rPr>
        <w:t>22.</w:t>
        <w:tab/>
      </w:r>
      <w:r>
        <w:t>Verdant hired Tate as Vice President, Research &amp; Development on March 15, 2018. In that position he oversaw the TerraPrime pipeline and had access to its most sensitive technical and strategic materials, including MicroMap, the strain library, formulation dossiers, and executive planning documents.</w:t>
      </w:r>
    </w:p>
    <w:p>
      <w:pPr>
        <w:widowControl/>
        <w:spacing w:line="432" w:lineRule="auto" w:after="0"/>
        <w:ind w:left="605" w:hanging="605"/>
      </w:pPr>
      <w:r>
        <w:rPr>
          <w:b w:val="0"/>
        </w:rPr>
        <w:t>23.</w:t>
        <w:tab/>
      </w:r>
      <w:r>
        <w:t>At hire, Tate executed a Confidentiality and Invention Assignment Agreement (“CIAA”) and an Employment Agreement. The CIAA prohibited disclosure or use of confidential information outside authorized duties; prohibited unauthorized copying, downloading, transfer, or removal; required return and deletion of company materials and copies; required return of company equipment in its existing state; and provided that trade-secret obligations survive employment.</w:t>
      </w:r>
    </w:p>
    <w:p>
      <w:pPr>
        <w:widowControl/>
        <w:spacing w:line="432" w:lineRule="auto" w:after="0"/>
        <w:ind w:left="605" w:hanging="605"/>
      </w:pPr>
      <w:r>
        <w:rPr>
          <w:b w:val="0"/>
        </w:rPr>
        <w:t>24.</w:t>
        <w:tab/>
      </w:r>
      <w:r>
        <w:t>The Employment Agreement required Tate to devote his professional efforts to Verdant, imposed post-employment noncompetition and employee/customer nonsolicitation covenants, required at least 60 calendar days’ written notice of resignation, and prohibited alteration or deletion of company data before returning company equipment. The agreements are governed by North Carolina law.</w:t>
      </w:r>
    </w:p>
    <w:p>
      <w:pPr>
        <w:widowControl/>
        <w:spacing w:line="432" w:lineRule="auto" w:after="0"/>
        <w:ind w:left="605" w:hanging="605"/>
      </w:pPr>
      <w:r>
        <w:rPr>
          <w:b w:val="0"/>
        </w:rPr>
        <w:t>25.</w:t>
        <w:tab/>
      </w:r>
      <w:r>
        <w:t>No written authorization was given for Tate to copy the bulk TerraPrime files to personal storage or send them to an external recipient. No IT authorization was given for the personal USB device described below.</w:t>
      </w:r>
    </w:p>
    <w:p>
      <w:pPr>
        <w:pStyle w:val="Heading2"/>
        <w:jc w:val="left"/>
      </w:pPr>
      <w:r>
        <w:t>C. Mass download, transfer, concealment, and separate roadmap download</w:t>
      </w:r>
    </w:p>
    <w:p>
      <w:pPr>
        <w:widowControl/>
        <w:spacing w:line="432" w:lineRule="auto" w:after="0"/>
        <w:ind w:left="605" w:hanging="605"/>
      </w:pPr>
      <w:r>
        <w:rPr>
          <w:b w:val="0"/>
        </w:rPr>
        <w:t>26.</w:t>
        <w:tab/>
      </w:r>
      <w:r>
        <w:t>On October 27, 2024, while still employed by Verdant, Tate’s VaultSci account accessed and downloaded 3,814 files totaling approximately 24.6 gigabytes from the TerraPrime project directory. The activity was the largest single-day download recorded in VaultSci’s history and substantially exceeded any comparable R&amp;D download during the preceding two years.</w:t>
      </w:r>
    </w:p>
    <w:p>
      <w:pPr>
        <w:widowControl/>
        <w:spacing w:line="432" w:lineRule="auto" w:after="0"/>
        <w:ind w:left="605" w:hanging="605"/>
      </w:pPr>
      <w:r>
        <w:rPr>
          <w:b w:val="0"/>
        </w:rPr>
        <w:t>27.</w:t>
        <w:tab/>
      </w:r>
      <w:r>
        <w:t>The downloaded files included approximately 847 MicroMap source-code, model, and training-data files; approximately 1,206 strain-library files; approximately 387 files from 14 formulation dossiers; approximately 198 strategic and business-planning files; and additional R&amp;D working files. The material was classified as confidential or highly confidential.</w:t>
      </w:r>
    </w:p>
    <w:p>
      <w:pPr>
        <w:widowControl/>
        <w:spacing w:line="432" w:lineRule="auto" w:after="0"/>
        <w:ind w:left="605" w:hanging="605"/>
      </w:pPr>
      <w:r>
        <w:rPr>
          <w:b w:val="0"/>
        </w:rPr>
        <w:t>28.</w:t>
        <w:tab/>
      </w:r>
      <w:r>
        <w:t>On November 2, 2024, a personal SanDisk Extreme Pro USB storage device, serial number SDP-82741-EXT, was connected to Tate’s company laptop without IT authorization. Approximately 24.6 gigabytes were transferred. Forensic comparison matched 3,641 of the 3,814 October 27 files to material transferred to the USB device; the remaining file artifacts were incomplete, but the transfer volume was consistent with substantially all of the October 27 download. The USB device was outside Verdant’s custody and control.</w:t>
      </w:r>
    </w:p>
    <w:p>
      <w:pPr>
        <w:widowControl/>
        <w:spacing w:line="432" w:lineRule="auto" w:after="0"/>
        <w:ind w:left="605" w:hanging="605"/>
      </w:pPr>
      <w:r>
        <w:rPr>
          <w:b w:val="0"/>
        </w:rPr>
        <w:t>29.</w:t>
        <w:tab/>
      </w:r>
      <w:r>
        <w:t>On November 8, 2024, while the laptop was connected to Verdant’s office network, an encrypted message was sent from Tate’s personal ProtonMail account with an attachment of approximately 1.2 gigabytes to an external recipient whose identity and address could not be determined. The attachment’s contents could not be recovered or decrypted. Verdant does not allege that the attachment’s contents or recipient have been definitively identified; the event is relevant as circumstantial evidence of external transfer and intent.</w:t>
      </w:r>
    </w:p>
    <w:p>
      <w:pPr>
        <w:widowControl/>
        <w:spacing w:line="432" w:lineRule="auto" w:after="0"/>
        <w:ind w:left="605" w:hanging="605"/>
      </w:pPr>
      <w:r>
        <w:rPr>
          <w:b w:val="0"/>
        </w:rPr>
        <w:t>30.</w:t>
        <w:tab/>
      </w:r>
      <w:r>
        <w:t>On November 14, 2024, the 3,814 files were deleted from the laptop’s local TerraPrime export folder and the Recycle Bin was purged. Forensic artifacts identified the deleted files as the same October 27 download; file hashes were recoverable for 2,897 files. Deletion followed the transfer to the personal USB device.</w:t>
      </w:r>
    </w:p>
    <w:p>
      <w:pPr>
        <w:widowControl/>
        <w:spacing w:line="432" w:lineRule="auto" w:after="0"/>
        <w:ind w:left="605" w:hanging="605"/>
      </w:pPr>
      <w:r>
        <w:rPr>
          <w:b w:val="0"/>
        </w:rPr>
        <w:t>31.</w:t>
        <w:tab/>
      </w:r>
      <w:r>
        <w:t>On November 15, 2024, Tate separately downloaded from VaultSci the 47-page TerraPrime Strategic Pipeline &amp; Launch Roadmap 2025–2029, marked “HIGHLY CONFIDENTIAL — EXECUTIVE DISTRIBUTION ONLY.” That file was not among the October 27 bulk download and was accessible to only seven senior Verdant executives.</w:t>
      </w:r>
    </w:p>
    <w:p>
      <w:pPr>
        <w:widowControl/>
        <w:spacing w:line="432" w:lineRule="auto" w:after="0"/>
        <w:ind w:left="605" w:hanging="605"/>
      </w:pPr>
      <w:r>
        <w:rPr>
          <w:b w:val="0"/>
        </w:rPr>
        <w:t>32.</w:t>
        <w:tab/>
      </w:r>
      <w:r>
        <w:t>On November 18, 2024, Tate submitted a resignation stating that his employment would end January 10, 2025. The notice period was 53 calendar days, seven days short of the 60-day period required by the Employment Agreement. The October and November copying and transfer activity occurred before Tate gave notice.</w:t>
      </w:r>
    </w:p>
    <w:p>
      <w:pPr>
        <w:widowControl/>
        <w:spacing w:line="432" w:lineRule="auto" w:after="0"/>
        <w:ind w:left="605" w:hanging="605"/>
      </w:pPr>
      <w:r>
        <w:rPr>
          <w:b w:val="0"/>
        </w:rPr>
        <w:t>33.</w:t>
        <w:tab/>
      </w:r>
      <w:r>
        <w:t>On January 9, 2025, the night before his last day, Tate initiated a “Reset this PC—Remove everything” factory reset of his Verdant-issued laptop. He returned the laptop on January 10 in the reset state, contrary to his contractual obligation to return equipment with its data intact. The reset destroyed local information and materially impaired Verdant’s ability to determine the location and disposition of copies, although forensic artifacts remained recoverable.</w:t>
      </w:r>
    </w:p>
    <w:p>
      <w:pPr>
        <w:widowControl/>
        <w:spacing w:line="432" w:lineRule="auto" w:after="0"/>
        <w:ind w:left="605" w:hanging="605"/>
      </w:pPr>
      <w:r>
        <w:rPr>
          <w:b w:val="0"/>
        </w:rPr>
        <w:t>34.</w:t>
        <w:tab/>
      </w:r>
      <w:r>
        <w:t>Tate’s conduct was not reasonably necessary to perform his authorized Verdant duties. It involved an unusually large, comprehensive export; transfer to personal media without authorization; deletion and purging; a separate executive-only roadmap download; and a device reset immediately before return. It breached Tate’s confidentiality, non-use, non-copying, and return obligations and was inconsistent with Verdant’s security policies.</w:t>
      </w:r>
    </w:p>
    <w:p>
      <w:pPr>
        <w:pStyle w:val="Heading2"/>
        <w:jc w:val="left"/>
      </w:pPr>
      <w:r>
        <w:t>D. Tate’s AgriNova role, BioYield, and post-employment conduct</w:t>
      </w:r>
    </w:p>
    <w:p>
      <w:pPr>
        <w:widowControl/>
        <w:spacing w:line="432" w:lineRule="auto" w:after="0"/>
        <w:ind w:left="605" w:hanging="605"/>
      </w:pPr>
      <w:r>
        <w:rPr>
          <w:b w:val="0"/>
        </w:rPr>
        <w:t>35.</w:t>
        <w:tab/>
      </w:r>
      <w:r>
        <w:t>On or about December 22, 2024, while still employed by Verdant, Tate’s LinkedIn profile identified him as AgriNova’s incoming Chief Science Officer with a February 2025 start date. AgriNova publicly announced on February 3, 2025 that Tate had become its Chief Science Officer and would lead its expanded research division and the full BioYield development pipeline.</w:t>
      </w:r>
    </w:p>
    <w:p>
      <w:pPr>
        <w:widowControl/>
        <w:spacing w:line="432" w:lineRule="auto" w:after="0"/>
        <w:ind w:left="605" w:hanging="605"/>
      </w:pPr>
      <w:r>
        <w:rPr>
          <w:b w:val="0"/>
        </w:rPr>
        <w:t>36.</w:t>
        <w:tab/>
      </w:r>
      <w:r>
        <w:t>AgriNova described BioYield as a soil-microbiome enhancement platform built around a proprietary library of characterized microbial strains, AI-driven strain selection, and synergy modeling. It stated that its initial products would target soybeans, corn, and wheat and that it expected products to reach market by the fourth quarter of 2025. The language and announced development timetable are consistent with material elements of TerraPrime and with use of a substantial preexisting platform, rather than merely the ordinary use of Tate’s general scientific knowledge.</w:t>
      </w:r>
    </w:p>
    <w:p>
      <w:pPr>
        <w:widowControl/>
        <w:spacing w:line="432" w:lineRule="auto" w:after="0"/>
        <w:ind w:left="605" w:hanging="605"/>
      </w:pPr>
      <w:r>
        <w:rPr>
          <w:b w:val="0"/>
        </w:rPr>
        <w:t>37.</w:t>
        <w:tab/>
      </w:r>
      <w:r>
        <w:t>On information and belief, AgriNova has received, acquired, used, or is using one or more of the trade-secret categories Tate copied or removed, or has used them to accelerate BioYield development. This inference is supported by Tate’s role and access at Verdant; his transfer of substantially all the TerraPrime export to personal media; the large encrypted external transmission; his subsequent senior position directing BioYield; BioYield’s described strain library and synergy-prediction functions; its overlap with TerraPrime’s initial crop targets; and the accelerated announced launch schedule. The precise path, recipient, and extent of AgriNova’s access are within Defendants’ possession and require discovery.</w:t>
      </w:r>
    </w:p>
    <w:p>
      <w:pPr>
        <w:widowControl/>
        <w:spacing w:line="432" w:lineRule="auto" w:after="0"/>
        <w:ind w:left="605" w:hanging="605"/>
      </w:pPr>
      <w:r>
        <w:rPr>
          <w:b w:val="0"/>
        </w:rPr>
        <w:t>38.</w:t>
        <w:tab/>
      </w:r>
      <w:r>
        <w:t>AgriNova knew or had reason to know that Tate’s former position gave him access to highly valuable competitor information and that he owed continuing duties not to disclose or use it. On information and belief, AgriNova knew or had reason to know that the materials or information it received or used were acquired under circumstances giving rise to a duty to maintain secrecy or limit use, or by improper means.</w:t>
      </w:r>
    </w:p>
    <w:p>
      <w:pPr>
        <w:widowControl/>
        <w:spacing w:line="432" w:lineRule="auto" w:after="0"/>
        <w:ind w:left="605" w:hanging="605"/>
      </w:pPr>
      <w:r>
        <w:rPr>
          <w:b w:val="0"/>
        </w:rPr>
        <w:t>39.</w:t>
        <w:tab/>
      </w:r>
      <w:r>
        <w:t>On February 20, 2025, Tate texted Verdant Senior Research Scientist Dr. Anya Kowalski: “Hey Anya, are you happy at Verdant? Things are moving fast here at AgriNova. We’re building something incredible. I’d love to chat about what we’re putting together—looking for top talent. Coffee sometime?” Kowalski understood the text as an effort to recruit her to AgriNova. She did not respond or meet with Tate and promptly reported the text to Verdant.</w:t>
      </w:r>
    </w:p>
    <w:p>
      <w:pPr>
        <w:widowControl/>
        <w:spacing w:line="432" w:lineRule="auto" w:after="0"/>
        <w:ind w:left="605" w:hanging="605"/>
      </w:pPr>
      <w:r>
        <w:rPr>
          <w:b w:val="0"/>
        </w:rPr>
        <w:t>40.</w:t>
        <w:tab/>
      </w:r>
      <w:r>
        <w:t>On February 28, 2025, an AgriNova recruiter sent Verdant Principal Scientist Dr. James Okonkwo a LinkedIn message stating: “Dr. Okonkwo, Dr. Marcus Tate has specifically recommended you for a senior genomics role on our new BioYield team. Would you be open to a confidential conversation?” Okonkwo did not respond. On information and belief, Tate identified Okonkwo to AgriNova and thereby indirectly solicited or recruited him for the BioYield team.</w:t>
      </w:r>
    </w:p>
    <w:p>
      <w:pPr>
        <w:widowControl/>
        <w:spacing w:line="432" w:lineRule="auto" w:after="0"/>
        <w:ind w:left="605" w:hanging="605"/>
      </w:pPr>
      <w:r>
        <w:rPr>
          <w:b w:val="0"/>
        </w:rPr>
        <w:t>41.</w:t>
        <w:tab/>
      </w:r>
      <w:r>
        <w:t>Kowalski and Okonkwo are senior R&amp;D scientists with specialized expertise and access to TerraPrime information. Tate had worked closely with both. His direct approach to Kowalski and the recruiter’s express attribution of the Okonkwo recommendation to Tate support a reasonable inference of ongoing efforts to recruit Verdant employees in violation of the Employment Agreement.</w:t>
      </w:r>
    </w:p>
    <w:p>
      <w:pPr>
        <w:widowControl/>
        <w:spacing w:line="432" w:lineRule="auto" w:after="0"/>
        <w:ind w:left="605" w:hanging="605"/>
      </w:pPr>
      <w:r>
        <w:rPr>
          <w:b w:val="0"/>
        </w:rPr>
        <w:t>42.</w:t>
        <w:tab/>
      </w:r>
      <w:r>
        <w:t>On March 12, 2025, Verdant’s distributor Heartland Agricultural Supply Co., an Iowa corporation and a longstanding Verdant distributor, reported that AgriNova presented BioYield at a distributor meeting. Heartland described BioYield’s mechanism of action, strain-combination approach, and target crop applications as “remarkably similar” to TerraPrime formulations. Heartland accounted for approximately $23.4 million in Verdant sales in fiscal year 2024. Verdant alleges this event as evidence of commercialization and threatened competitive diversion; it does not allege, absent further evidence, that Tate personally solicited Heartland or that Heartland has terminated or reduced purchases.</w:t>
      </w:r>
    </w:p>
    <w:p>
      <w:pPr>
        <w:pStyle w:val="Heading2"/>
        <w:jc w:val="left"/>
      </w:pPr>
      <w:r>
        <w:t>E. Injury and need for relief</w:t>
      </w:r>
    </w:p>
    <w:p>
      <w:pPr>
        <w:widowControl/>
        <w:spacing w:line="432" w:lineRule="auto" w:after="0"/>
        <w:ind w:left="605" w:hanging="605"/>
      </w:pPr>
      <w:r>
        <w:rPr>
          <w:b w:val="0"/>
        </w:rPr>
        <w:t>43.</w:t>
        <w:tab/>
      </w:r>
      <w:r>
        <w:t>Verdant’s TerraPrime products are sold and distributed in 38 states, and Verdant licenses TerraPrime technology internationally in Brazil and Canada. The trade secrets at issue relate to products and services used in or intended for use in interstate and foreign commerce.</w:t>
      </w:r>
    </w:p>
    <w:p>
      <w:pPr>
        <w:widowControl/>
        <w:spacing w:line="432" w:lineRule="auto" w:after="0"/>
        <w:ind w:left="605" w:hanging="605"/>
      </w:pPr>
      <w:r>
        <w:rPr>
          <w:b w:val="0"/>
        </w:rPr>
        <w:t>44.</w:t>
        <w:tab/>
      </w:r>
      <w:r>
        <w:t>The unauthorized acquisition, retention, or use of these secrets threatens to erode the secrecy and competitive value of years of research, shorten AgriNova’s development cycle, impair Verdant’s expected product and licensing opportunities, and divert customers and distributors. The location of the USB device and any copies is unknown to Verdant. AgriNova’s BioYield platform remains under development and the announced launch is prospective.</w:t>
      </w:r>
    </w:p>
    <w:p>
      <w:pPr>
        <w:widowControl/>
        <w:spacing w:line="432" w:lineRule="auto" w:after="0"/>
        <w:ind w:left="605" w:hanging="605"/>
      </w:pPr>
      <w:r>
        <w:rPr>
          <w:b w:val="0"/>
        </w:rPr>
        <w:t>45.</w:t>
        <w:tab/>
      </w:r>
      <w:r>
        <w:t>Verdant’s preliminary internal analysis estimates substantial potential economic harm, including lost competitive advantage, customer or distributor diversion, and employee recruitment costs. The estimates are not a final expert damages calculation, may overlap, and are subject to proof. Verdant seeks no duplicative recovery and will prove its actual loss, Defendants’ unjust enrichment, or a reasonable royalty, as applicable.</w:t>
      </w:r>
    </w:p>
    <w:p>
      <w:pPr>
        <w:widowControl/>
        <w:spacing w:line="432" w:lineRule="auto" w:after="0"/>
        <w:ind w:left="605" w:hanging="605"/>
      </w:pPr>
      <w:r>
        <w:rPr>
          <w:b w:val="0"/>
        </w:rPr>
        <w:t>46.</w:t>
        <w:tab/>
      </w:r>
      <w:r>
        <w:t>Unless restrained, Defendants’ continued possession, use, disclosure, or integration of the trade secrets risks further loss of secrecy and competitive advantage. An order narrowly prohibiting use or disclosure, requiring preservation and return or secure neutral inspection of copies, and preventing further dissemination can protect the secrets without barring employment based solely on Tate’s general knowledge or imposing an unreasonable restraint on competition.</w:t>
      </w:r>
    </w:p>
    <w:p>
      <w:pPr>
        <w:pStyle w:val="Heading1"/>
        <w:jc w:val="center"/>
      </w:pPr>
      <w:r>
        <w:t>COUNT I — MISAPPROPRIATION OF TRADE SECRETS (DEFEND TRADE SECRETS ACT)</w:t>
      </w:r>
    </w:p>
    <w:p>
      <w:pPr>
        <w:spacing w:line="240" w:lineRule="auto" w:after="80"/>
        <w:jc w:val="center"/>
      </w:pPr>
      <w:r>
        <w:rPr>
          <w:i/>
        </w:rPr>
        <w:t>(18 U.S.C. §§ 1836(b), 1839) — Against Tate and AgriNova</w:t>
      </w:r>
    </w:p>
    <w:p>
      <w:pPr>
        <w:widowControl/>
        <w:spacing w:line="432" w:lineRule="auto" w:after="0"/>
        <w:ind w:left="605" w:hanging="605"/>
      </w:pPr>
      <w:r>
        <w:rPr>
          <w:b w:val="0"/>
        </w:rPr>
        <w:t>47.</w:t>
        <w:tab/>
      </w:r>
      <w:r>
        <w:t>Verdant repeats and realleges paragraphs 1 through 46 as if fully set forth herein.</w:t>
      </w:r>
    </w:p>
    <w:p>
      <w:pPr>
        <w:widowControl/>
        <w:spacing w:line="432" w:lineRule="auto" w:after="0"/>
        <w:ind w:left="605" w:hanging="605"/>
      </w:pPr>
      <w:r>
        <w:rPr>
          <w:b w:val="0"/>
        </w:rPr>
        <w:t>48.</w:t>
        <w:tab/>
      </w:r>
      <w:r>
        <w:t>Verdant owns the trade secrets described above, including the strain library, MicroMap 3.0, the formulation dossiers, and the strategic pipeline and roadmap. These secrets derive independent economic value from not being generally known or readily ascertainable and were subject to reasonable measures to maintain their secrecy.</w:t>
      </w:r>
    </w:p>
    <w:p>
      <w:pPr>
        <w:widowControl/>
        <w:spacing w:line="432" w:lineRule="auto" w:after="0"/>
        <w:ind w:left="605" w:hanging="605"/>
      </w:pPr>
      <w:r>
        <w:rPr>
          <w:b w:val="0"/>
        </w:rPr>
        <w:t>49.</w:t>
        <w:tab/>
      </w:r>
      <w:r>
        <w:t>The secrets relate to products and services used in, or intended for use in, interstate and foreign commerce, including agricultural products distributed in 38 states and technology licensed internationally.</w:t>
      </w:r>
    </w:p>
    <w:p>
      <w:pPr>
        <w:widowControl/>
        <w:spacing w:line="432" w:lineRule="auto" w:after="0"/>
        <w:ind w:left="605" w:hanging="605"/>
      </w:pPr>
      <w:r>
        <w:rPr>
          <w:b w:val="0"/>
        </w:rPr>
        <w:t>50.</w:t>
        <w:tab/>
      </w:r>
      <w:r>
        <w:t>Tate acquired, copied, transferred, retained, and/or disclosed the trade secrets without Verdant’s consent and through improper means, including conduct in breach of his CIAA and duties of confidence, unauthorized copying and transfer to personal storage, external transmission, concealment by deletion, and destruction of company-device data. At minimum, Tate used or disclosed the secrets without consent while knowing they were acquired under circumstances imposing a duty to maintain secrecy and limit use.</w:t>
      </w:r>
    </w:p>
    <w:p>
      <w:pPr>
        <w:widowControl/>
        <w:spacing w:line="432" w:lineRule="auto" w:after="0"/>
        <w:ind w:left="605" w:hanging="605"/>
      </w:pPr>
      <w:r>
        <w:rPr>
          <w:b w:val="0"/>
        </w:rPr>
        <w:t>51.</w:t>
        <w:tab/>
      </w:r>
      <w:r>
        <w:t>On information and belief, AgriNova acquired, received, disclosed, or used the trade secrets without Verdant’s consent, knowing or having reason to know that the information was derived from a person who had acquired it by improper means or owed a duty to maintain secrecy or limit use. The facts supporting that inference are set out above; the details are peculiarly within Defendants’ control.</w:t>
      </w:r>
    </w:p>
    <w:p>
      <w:pPr>
        <w:widowControl/>
        <w:spacing w:line="432" w:lineRule="auto" w:after="0"/>
        <w:ind w:left="605" w:hanging="605"/>
      </w:pPr>
      <w:r>
        <w:rPr>
          <w:b w:val="0"/>
        </w:rPr>
        <w:t>52.</w:t>
        <w:tab/>
      </w:r>
      <w:r>
        <w:t>The misappropriation was willful and malicious as to Tate. His systematic bulk export, unauthorized personal-device transfer, deletion and Recycle Bin purge, separate executive-roadmap download, and pre-return factory reset support an inference that he acted with knowledge of Verdant’s rights and intent to conceal. AgriNova’s state of mind and the extent of its use will be established in discovery.</w:t>
      </w:r>
    </w:p>
    <w:p>
      <w:pPr>
        <w:widowControl/>
        <w:spacing w:line="432" w:lineRule="auto" w:after="0"/>
        <w:ind w:left="605" w:hanging="605"/>
      </w:pPr>
      <w:r>
        <w:rPr>
          <w:b w:val="0"/>
        </w:rPr>
        <w:t>53.</w:t>
        <w:tab/>
      </w:r>
      <w:r>
        <w:t>Verdant has suffered and will continue to suffer actual loss and threatened loss. Defendants have been unjustly enriched, including by any research time, expense, or market opportunity avoided through use of the secrets. To the extent appropriate, Verdant seeks a reasonable royalty in lieu of or as an alternative to other monetary relief, without duplication.</w:t>
      </w:r>
    </w:p>
    <w:p>
      <w:pPr>
        <w:widowControl/>
        <w:spacing w:line="432" w:lineRule="auto" w:after="0"/>
        <w:ind w:left="605" w:hanging="605"/>
      </w:pPr>
      <w:r>
        <w:rPr>
          <w:b w:val="0"/>
        </w:rPr>
        <w:t>54.</w:t>
        <w:tab/>
      </w:r>
      <w:r>
        <w:t>Verdant is entitled to injunctive relief under 18 U.S.C. § 1836(b)(3)(A), damages for actual loss and unjust enrichment under § 1836(b)(3)(B), or a reasonable royalty where appropriate, together with exemplary damages and fees to the extent authorized by § 1836(b)(3) and available under applicable law.</w:t>
      </w:r>
    </w:p>
    <w:p>
      <w:pPr>
        <w:pStyle w:val="Heading1"/>
        <w:jc w:val="center"/>
      </w:pPr>
      <w:r>
        <w:t>COUNT II — MISAPPROPRIATION OF TRADE SECRETS (NORTH CAROLINA TRADE SECRETS PROTECTION ACT)</w:t>
      </w:r>
    </w:p>
    <w:p>
      <w:pPr>
        <w:spacing w:line="240" w:lineRule="auto" w:after="80"/>
        <w:jc w:val="center"/>
      </w:pPr>
      <w:r>
        <w:rPr>
          <w:i/>
        </w:rPr>
        <w:t>(N.C. Gen. Stat. §§ 66-152 to 66-157) — Against Tate and AgriNova</w:t>
      </w:r>
    </w:p>
    <w:p>
      <w:pPr>
        <w:widowControl/>
        <w:spacing w:line="432" w:lineRule="auto" w:after="0"/>
        <w:ind w:left="605" w:hanging="605"/>
      </w:pPr>
      <w:r>
        <w:rPr>
          <w:b w:val="0"/>
        </w:rPr>
        <w:t>55.</w:t>
        <w:tab/>
      </w:r>
      <w:r>
        <w:t>Verdant repeats and realleges paragraphs 1 through 54 as if fully set forth herein.</w:t>
      </w:r>
    </w:p>
    <w:p>
      <w:pPr>
        <w:widowControl/>
        <w:spacing w:line="432" w:lineRule="auto" w:after="0"/>
        <w:ind w:left="605" w:hanging="605"/>
      </w:pPr>
      <w:r>
        <w:rPr>
          <w:b w:val="0"/>
        </w:rPr>
        <w:t>56.</w:t>
        <w:tab/>
      </w:r>
      <w:r>
        <w:t>The information described above is a “trade secret” within N.C. Gen. Stat. § 66-152(3): it has actual or potential commercial value from not being generally known or readily ascertainable by persons who can obtain economic value from its disclosure or use, and Verdant made reasonable efforts to maintain its secrecy.</w:t>
      </w:r>
    </w:p>
    <w:p>
      <w:pPr>
        <w:widowControl/>
        <w:spacing w:line="432" w:lineRule="auto" w:after="0"/>
        <w:ind w:left="605" w:hanging="605"/>
      </w:pPr>
      <w:r>
        <w:rPr>
          <w:b w:val="0"/>
        </w:rPr>
        <w:t>57.</w:t>
        <w:tab/>
      </w:r>
      <w:r>
        <w:t>Tate misappropriated the trade secrets within the meaning of N.C. Gen. Stat. § 66-152(1), including by acquiring and transferring them through improper means and by disclosing or using them without consent in breach of a duty to maintain secrecy and limit use.</w:t>
      </w:r>
    </w:p>
    <w:p>
      <w:pPr>
        <w:widowControl/>
        <w:spacing w:line="432" w:lineRule="auto" w:after="0"/>
        <w:ind w:left="605" w:hanging="605"/>
      </w:pPr>
      <w:r>
        <w:rPr>
          <w:b w:val="0"/>
        </w:rPr>
        <w:t>58.</w:t>
        <w:tab/>
      </w:r>
      <w:r>
        <w:t>On information and belief, AgriNova acquired, disclosed, or used the trade secrets without consent, knowing or having reason to know that Tate acquired them through improper means or under circumstances imposing a duty to maintain secrecy or limit use.</w:t>
      </w:r>
    </w:p>
    <w:p>
      <w:pPr>
        <w:widowControl/>
        <w:spacing w:line="432" w:lineRule="auto" w:after="0"/>
        <w:ind w:left="605" w:hanging="605"/>
      </w:pPr>
      <w:r>
        <w:rPr>
          <w:b w:val="0"/>
        </w:rPr>
        <w:t>59.</w:t>
        <w:tab/>
      </w:r>
      <w:r>
        <w:t>Tate’s acts were willful and malicious. Defendants’ conduct has caused and threatens actual loss and unjust enrichment, in amounts to be determined. Verdant seeks injunctive relief under § 66-154, damages and, where appropriate, a reasonable royalty under § 66-154, exemplary damages for willful and malicious misappropriation and attorneys’ fees as authorized by statute, without double recovery.</w:t>
      </w:r>
    </w:p>
    <w:p>
      <w:pPr>
        <w:pStyle w:val="Heading1"/>
        <w:jc w:val="center"/>
      </w:pPr>
      <w:r>
        <w:t>COUNT III — BREACH OF CONFIDENTIALITY AND INVENTION ASSIGNMENT AGREEMENT</w:t>
      </w:r>
    </w:p>
    <w:p>
      <w:pPr>
        <w:spacing w:line="240" w:lineRule="auto" w:after="80"/>
        <w:jc w:val="center"/>
      </w:pPr>
      <w:r>
        <w:rPr>
          <w:i/>
        </w:rPr>
        <w:t>Against Tate</w:t>
      </w:r>
    </w:p>
    <w:p>
      <w:pPr>
        <w:widowControl/>
        <w:spacing w:line="432" w:lineRule="auto" w:after="0"/>
        <w:ind w:left="605" w:hanging="605"/>
      </w:pPr>
      <w:r>
        <w:rPr>
          <w:b w:val="0"/>
        </w:rPr>
        <w:t>60.</w:t>
        <w:tab/>
      </w:r>
      <w:r>
        <w:t>Verdant repeats and realleges paragraphs 1 through 59 as if fully set forth herein.</w:t>
      </w:r>
    </w:p>
    <w:p>
      <w:pPr>
        <w:widowControl/>
        <w:spacing w:line="432" w:lineRule="auto" w:after="0"/>
        <w:ind w:left="605" w:hanging="605"/>
      </w:pPr>
      <w:r>
        <w:rPr>
          <w:b w:val="0"/>
        </w:rPr>
        <w:t>61.</w:t>
        <w:tab/>
      </w:r>
      <w:r>
        <w:t>The CIAA is a valid and enforceable agreement supported by Tate’s employment, compensation, and access to confidential information. Verdant performed its obligations or its performance was excused.</w:t>
      </w:r>
    </w:p>
    <w:p>
      <w:pPr>
        <w:widowControl/>
        <w:spacing w:line="432" w:lineRule="auto" w:after="0"/>
        <w:ind w:left="605" w:hanging="605"/>
      </w:pPr>
      <w:r>
        <w:rPr>
          <w:b w:val="0"/>
        </w:rPr>
        <w:t>62.</w:t>
        <w:tab/>
      </w:r>
      <w:r>
        <w:t>Tate breached the CIAA by, among other things, copying and downloading confidential materials without written authorization; transferring them to an unauthorized personal USB device; sending a large encrypted attachment to an unknown external recipient; retaining or allowing copies outside Verdant’s systems; deleting and concealing downloaded files; failing to return or preserve materials; and resetting his company laptop before return rather than returning it with data intact.</w:t>
      </w:r>
    </w:p>
    <w:p>
      <w:pPr>
        <w:widowControl/>
        <w:spacing w:line="432" w:lineRule="auto" w:after="0"/>
        <w:ind w:left="605" w:hanging="605"/>
      </w:pPr>
      <w:r>
        <w:rPr>
          <w:b w:val="0"/>
        </w:rPr>
        <w:t>63.</w:t>
        <w:tab/>
      </w:r>
      <w:r>
        <w:t>Tate’s unauthorized use or disclosure of the copied material for the benefit of AgriNova, and any continuing possession or use, further breach the CIAA. On information and belief, Tate has not returned or securely destroyed every copy placed outside Verdant’s control.</w:t>
      </w:r>
    </w:p>
    <w:p>
      <w:pPr>
        <w:widowControl/>
        <w:spacing w:line="432" w:lineRule="auto" w:after="0"/>
        <w:ind w:left="605" w:hanging="605"/>
      </w:pPr>
      <w:r>
        <w:rPr>
          <w:b w:val="0"/>
        </w:rPr>
        <w:t>64.</w:t>
        <w:tab/>
      </w:r>
      <w:r>
        <w:t>The breaches have caused and threaten damages, including costs to investigate and contain the incident, loss or impairment of confidential and competitive value, and consequential losses to the extent reasonably foreseeable and proved. The CIAA authorizes equitable relief and cumulative remedies. Verdant seeks contract damages, appropriate injunctive relief, and fees or costs only to the extent recoverable under applicable law.</w:t>
      </w:r>
    </w:p>
    <w:p>
      <w:pPr>
        <w:pStyle w:val="Heading1"/>
        <w:jc w:val="center"/>
      </w:pPr>
      <w:r>
        <w:t>COUNT IV — BREACH OF EMPLOYMENT AGREEMENT</w:t>
      </w:r>
    </w:p>
    <w:p>
      <w:pPr>
        <w:spacing w:line="240" w:lineRule="auto" w:after="80"/>
        <w:jc w:val="center"/>
      </w:pPr>
      <w:r>
        <w:rPr>
          <w:i/>
        </w:rPr>
        <w:t>Against Tate</w:t>
      </w:r>
    </w:p>
    <w:p>
      <w:pPr>
        <w:widowControl/>
        <w:spacing w:line="432" w:lineRule="auto" w:after="0"/>
        <w:ind w:left="605" w:hanging="605"/>
      </w:pPr>
      <w:r>
        <w:rPr>
          <w:b w:val="0"/>
        </w:rPr>
        <w:t>65.</w:t>
        <w:tab/>
      </w:r>
      <w:r>
        <w:t>Verdant repeats and realleges paragraphs 1 through 64 as if fully set forth herein.</w:t>
      </w:r>
    </w:p>
    <w:p>
      <w:pPr>
        <w:widowControl/>
        <w:spacing w:line="432" w:lineRule="auto" w:after="0"/>
        <w:ind w:left="605" w:hanging="605"/>
      </w:pPr>
      <w:r>
        <w:rPr>
          <w:b w:val="0"/>
        </w:rPr>
        <w:t>66.</w:t>
        <w:tab/>
      </w:r>
      <w:r>
        <w:t>The Employment Agreement is a valid and enforceable contract supported by consideration. Verdant performed its obligations or its performance was excused.</w:t>
      </w:r>
    </w:p>
    <w:p>
      <w:pPr>
        <w:widowControl/>
        <w:spacing w:line="432" w:lineRule="auto" w:after="0"/>
        <w:ind w:left="605" w:hanging="605"/>
      </w:pPr>
      <w:r>
        <w:rPr>
          <w:b w:val="0"/>
        </w:rPr>
        <w:t>67.</w:t>
        <w:tab/>
      </w:r>
      <w:r>
        <w:t>Tate breached the 60-day notice provision by giving notice on November 18, 2024 for an effective departure on January 10, 2025, a 53-day interval. The short notice was a contractual breach. Verdant seeks nominal damages and any actual, non-speculative damages proved to have been caused by that breach; it does not contend that the seven-day shortfall caused the October–November exfiltration, which preceded notice.</w:t>
      </w:r>
    </w:p>
    <w:p>
      <w:pPr>
        <w:widowControl/>
        <w:spacing w:line="432" w:lineRule="auto" w:after="0"/>
        <w:ind w:left="605" w:hanging="605"/>
      </w:pPr>
      <w:r>
        <w:rPr>
          <w:b w:val="0"/>
        </w:rPr>
        <w:t>68.</w:t>
        <w:tab/>
      </w:r>
      <w:r>
        <w:t>Tate breached the post-employment noncompetition covenant by serving as AgriNova’s Chief Science Officer and leading the BioYield research and development pipeline during the 18-month restricted period, in a business competing with Verdant in the development of microbial and soil-enhancement agricultural products in the United States.</w:t>
      </w:r>
    </w:p>
    <w:p>
      <w:pPr>
        <w:widowControl/>
        <w:spacing w:line="432" w:lineRule="auto" w:after="0"/>
        <w:ind w:left="605" w:hanging="605"/>
      </w:pPr>
      <w:r>
        <w:rPr>
          <w:b w:val="0"/>
        </w:rPr>
        <w:t>69.</w:t>
        <w:tab/>
      </w:r>
      <w:r>
        <w:t>Tate breached the employee nonsolicitation covenant by directly attempting to recruit Kowalski on February 20, 2025. On information and belief, Tate also breached it indirectly by specifically recommending Okonkwo to AgriNova for a senior BioYield role, resulting in the February 28 recruiter outreach. The covenant’s duration and application to the specific recruiting conduct alleged are within its stated 24-month period.</w:t>
      </w:r>
    </w:p>
    <w:p>
      <w:pPr>
        <w:widowControl/>
        <w:spacing w:line="432" w:lineRule="auto" w:after="0"/>
        <w:ind w:left="605" w:hanging="605"/>
      </w:pPr>
      <w:r>
        <w:rPr>
          <w:b w:val="0"/>
        </w:rPr>
        <w:t>70.</w:t>
        <w:tab/>
      </w:r>
      <w:r>
        <w:t>Tate’s breaches have caused or threaten damages, including injury to workforce stability, confidential relationships, and competitive interests. Verdant seeks an injunction enforcing only those covenants that the Court finds enforceable and reasonable under North Carolina law, as well as contract damages and other relief permitted by law. Verdant does not seek to recover speculative damages for the notice shortfall.</w:t>
      </w:r>
    </w:p>
    <w:p>
      <w:pPr>
        <w:pStyle w:val="Heading1"/>
        <w:jc w:val="center"/>
      </w:pPr>
      <w:r>
        <w:t>COUNT V — TORTIOUS INTERFERENCE WITH CONTRACTUAL RELATIONS</w:t>
      </w:r>
    </w:p>
    <w:p>
      <w:pPr>
        <w:spacing w:line="240" w:lineRule="auto" w:after="80"/>
        <w:jc w:val="center"/>
      </w:pPr>
      <w:r>
        <w:rPr>
          <w:i/>
        </w:rPr>
        <w:t>North Carolina common law — Against AgriNova</w:t>
      </w:r>
    </w:p>
    <w:p>
      <w:pPr>
        <w:widowControl/>
        <w:spacing w:line="432" w:lineRule="auto" w:after="0"/>
        <w:ind w:left="605" w:hanging="605"/>
      </w:pPr>
      <w:r>
        <w:rPr>
          <w:b w:val="0"/>
        </w:rPr>
        <w:t>71.</w:t>
        <w:tab/>
      </w:r>
      <w:r>
        <w:t>Verdant repeats and realleges paragraphs 1 through 70 as if fully set forth herein.</w:t>
      </w:r>
    </w:p>
    <w:p>
      <w:pPr>
        <w:widowControl/>
        <w:spacing w:line="432" w:lineRule="auto" w:after="0"/>
        <w:ind w:left="605" w:hanging="605"/>
      </w:pPr>
      <w:r>
        <w:rPr>
          <w:b w:val="0"/>
        </w:rPr>
        <w:t>72.</w:t>
        <w:tab/>
      </w:r>
      <w:r>
        <w:t>Verdant and Tate were parties to valid written agreements, including the CIAA and Employment Agreement, imposing confidentiality, non-use, return-of-materials, and post-employment employee nonsolicitation obligations. Those agreements gave Verdant enforceable contractual rights against Tate.</w:t>
      </w:r>
    </w:p>
    <w:p>
      <w:pPr>
        <w:widowControl/>
        <w:spacing w:line="432" w:lineRule="auto" w:after="0"/>
        <w:ind w:left="605" w:hanging="605"/>
      </w:pPr>
      <w:r>
        <w:rPr>
          <w:b w:val="0"/>
        </w:rPr>
        <w:t>73.</w:t>
        <w:tab/>
      </w:r>
      <w:r>
        <w:t>AgriNova knew or, on information and belief, had knowledge of Tate’s contractual duties, including from its recruitment and appointment of a senior executive who had led a direct competitor’s R&amp;D program, his role directing a closely related platform, and its recruitment communications expressly attributing an employee recommendation to him. The facts concerning communications between AgriNova and Tate are within Defendants’ control.</w:t>
      </w:r>
    </w:p>
    <w:p>
      <w:pPr>
        <w:widowControl/>
        <w:spacing w:line="432" w:lineRule="auto" w:after="0"/>
        <w:ind w:left="605" w:hanging="605"/>
      </w:pPr>
      <w:r>
        <w:rPr>
          <w:b w:val="0"/>
        </w:rPr>
        <w:t>74.</w:t>
        <w:tab/>
      </w:r>
      <w:r>
        <w:t>Without justification, AgriNova intentionally induced, procured, or facilitated Tate’s breaches by hiring him to lead BioYield while accepting or using information he was obligated to protect, and by acting on or facilitating his specific recommendation of Verdant employees for BioYield positions. On information and belief, AgriNova knew or should have known the conduct would cause Tate to violate his agreements.</w:t>
      </w:r>
    </w:p>
    <w:p>
      <w:pPr>
        <w:widowControl/>
        <w:spacing w:line="432" w:lineRule="auto" w:after="0"/>
        <w:ind w:left="605" w:hanging="605"/>
      </w:pPr>
      <w:r>
        <w:rPr>
          <w:b w:val="0"/>
        </w:rPr>
        <w:t>75.</w:t>
        <w:tab/>
      </w:r>
      <w:r>
        <w:t>AgriNova’s conduct caused and threatens actual injury to Verdant, including loss of contractual protections, increased risk to trade secrets and employee relationships, and resulting economic harm. The claim is based on interference with contractual duties independent of any tort claim for trade-secret misappropriation, and Verdant seeks damages and equitable relief to the extent allowed by law.</w:t>
      </w:r>
    </w:p>
    <w:p>
      <w:pPr>
        <w:pStyle w:val="Heading1"/>
        <w:jc w:val="center"/>
      </w:pPr>
      <w:r>
        <w:t>COUNT VI — TORTIOUS INTERFERENCE WITH PROSPECTIVE ECONOMIC ADVANTAGE</w:t>
      </w:r>
    </w:p>
    <w:p>
      <w:pPr>
        <w:spacing w:line="240" w:lineRule="auto" w:after="80"/>
        <w:jc w:val="center"/>
      </w:pPr>
      <w:r>
        <w:rPr>
          <w:i/>
        </w:rPr>
        <w:t>North Carolina common law — Against AgriNova</w:t>
      </w:r>
    </w:p>
    <w:p>
      <w:pPr>
        <w:widowControl/>
        <w:spacing w:line="432" w:lineRule="auto" w:after="0"/>
        <w:ind w:left="605" w:hanging="605"/>
      </w:pPr>
      <w:r>
        <w:rPr>
          <w:b w:val="0"/>
        </w:rPr>
        <w:t>76.</w:t>
        <w:tab/>
      </w:r>
      <w:r>
        <w:t>Verdant repeats and realleges paragraphs 1 through 75 as if fully set forth herein.</w:t>
      </w:r>
    </w:p>
    <w:p>
      <w:pPr>
        <w:widowControl/>
        <w:spacing w:line="432" w:lineRule="auto" w:after="0"/>
        <w:ind w:left="605" w:hanging="605"/>
      </w:pPr>
      <w:r>
        <w:rPr>
          <w:b w:val="0"/>
        </w:rPr>
        <w:t>77.</w:t>
        <w:tab/>
      </w:r>
      <w:r>
        <w:t>Verdant had valid business relationships and a reasonable expectation of continued sales and commercial dealings with its distributors and customers, including longstanding distributor Heartland, through whom Verdant recorded approximately $23.4 million in fiscal-year 2024 sales, and with other distributors through which TerraPrime products are sold.</w:t>
      </w:r>
    </w:p>
    <w:p>
      <w:pPr>
        <w:widowControl/>
        <w:spacing w:line="432" w:lineRule="auto" w:after="0"/>
        <w:ind w:left="605" w:hanging="605"/>
      </w:pPr>
      <w:r>
        <w:rPr>
          <w:b w:val="0"/>
        </w:rPr>
        <w:t>78.</w:t>
        <w:tab/>
      </w:r>
      <w:r>
        <w:t>AgriNova knew of Verdant’s distributor relationships and intentionally marketed BioYield to distributors, including presenting BioYield to Heartland. On information and belief, AgriNova used or relied on the misappropriated trade secrets in doing so and sought to divert business from Verdant.</w:t>
      </w:r>
    </w:p>
    <w:p>
      <w:pPr>
        <w:widowControl/>
        <w:spacing w:line="432" w:lineRule="auto" w:after="0"/>
        <w:ind w:left="605" w:hanging="605"/>
      </w:pPr>
      <w:r>
        <w:rPr>
          <w:b w:val="0"/>
        </w:rPr>
        <w:t>79.</w:t>
        <w:tab/>
      </w:r>
      <w:r>
        <w:t>AgriNova’s conduct was without justification to the extent it used misappropriated trade secrets or other wrongful means to obtain an unfair head start and divert prospective purchases. Verdant does not contend that ordinary competition or a lawful product presentation, standing alone, is wrongful.</w:t>
      </w:r>
    </w:p>
    <w:p>
      <w:pPr>
        <w:widowControl/>
        <w:spacing w:line="432" w:lineRule="auto" w:after="0"/>
        <w:ind w:left="605" w:hanging="605"/>
      </w:pPr>
      <w:r>
        <w:rPr>
          <w:b w:val="0"/>
        </w:rPr>
        <w:t>80.</w:t>
        <w:tab/>
      </w:r>
      <w:r>
        <w:t>AgriNova’s conduct has caused or threatens loss of prospective sales and commercial opportunities. The amount and existence of any completed diversion remain under investigation; Verdant seeks only those damages it can prove, together with appropriate equitable relief, and no duplicative recovery.</w:t>
      </w:r>
    </w:p>
    <w:p>
      <w:pPr>
        <w:pStyle w:val="Heading1"/>
        <w:jc w:val="center"/>
      </w:pPr>
      <w:r>
        <w:t>COUNT VII — UNJUST ENRICHMENT (PLEADED IN THE ALTERNATIVE)</w:t>
      </w:r>
    </w:p>
    <w:p>
      <w:pPr>
        <w:spacing w:line="240" w:lineRule="auto" w:after="80"/>
        <w:jc w:val="center"/>
      </w:pPr>
      <w:r>
        <w:rPr>
          <w:i/>
        </w:rPr>
        <w:t>North Carolina common law — Against AgriNova only</w:t>
      </w:r>
    </w:p>
    <w:p>
      <w:pPr>
        <w:widowControl/>
        <w:spacing w:line="432" w:lineRule="auto" w:after="0"/>
        <w:ind w:left="605" w:hanging="605"/>
      </w:pPr>
      <w:r>
        <w:rPr>
          <w:b w:val="0"/>
        </w:rPr>
        <w:t>81.</w:t>
        <w:tab/>
      </w:r>
      <w:r>
        <w:t>Verdant repeats and realleges paragraphs 1 through 80 as if fully set forth herein.</w:t>
      </w:r>
    </w:p>
    <w:p>
      <w:pPr>
        <w:widowControl/>
        <w:spacing w:line="432" w:lineRule="auto" w:after="0"/>
        <w:ind w:left="605" w:hanging="605"/>
      </w:pPr>
      <w:r>
        <w:rPr>
          <w:b w:val="0"/>
        </w:rPr>
        <w:t>82.</w:t>
        <w:tab/>
      </w:r>
      <w:r>
        <w:t>To the extent no express contract governs AgriNova’s receipt or use of Verdant’s trade secrets, AgriNova knowingly received a benefit from those secrets, including access to valuable technical, formulation, and strategic information and any corresponding reduction in research time or expense.</w:t>
      </w:r>
    </w:p>
    <w:p>
      <w:pPr>
        <w:widowControl/>
        <w:spacing w:line="432" w:lineRule="auto" w:after="0"/>
        <w:ind w:left="605" w:hanging="605"/>
      </w:pPr>
      <w:r>
        <w:rPr>
          <w:b w:val="0"/>
        </w:rPr>
        <w:t>83.</w:t>
        <w:tab/>
      </w:r>
      <w:r>
        <w:t>AgriNova knew of the benefit and circumstances making its retention without payment inequitable, including Tate’s source and duties, the confidential nature of the information, and the alleged unauthorized copying and transfer.</w:t>
      </w:r>
    </w:p>
    <w:p>
      <w:pPr>
        <w:widowControl/>
        <w:spacing w:line="432" w:lineRule="auto" w:after="0"/>
        <w:ind w:left="605" w:hanging="605"/>
      </w:pPr>
      <w:r>
        <w:rPr>
          <w:b w:val="0"/>
        </w:rPr>
        <w:t>84.</w:t>
        <w:tab/>
      </w:r>
      <w:r>
        <w:t>It would be unjust and inequitable for AgriNova to retain any benefit obtained from Verdant’s information without compensation. This claim is pleaded in the alternative under Rule 8(d), only to the extent not displaced by statute or governed by an express contract, and only for relief not duplicative of the statutory trade-secret remedies.</w:t>
      </w:r>
    </w:p>
    <w:p>
      <w:pPr>
        <w:pStyle w:val="Heading1"/>
        <w:jc w:val="center"/>
      </w:pPr>
      <w:r>
        <w:t>COUNT VIII — CIVIL CONSPIRACY</w:t>
      </w:r>
    </w:p>
    <w:p>
      <w:pPr>
        <w:spacing w:line="240" w:lineRule="auto" w:after="80"/>
        <w:jc w:val="center"/>
      </w:pPr>
      <w:r>
        <w:rPr>
          <w:i/>
        </w:rPr>
        <w:t>North Carolina common law — Against Tate and AgriNova</w:t>
      </w:r>
    </w:p>
    <w:p>
      <w:pPr>
        <w:widowControl/>
        <w:spacing w:line="432" w:lineRule="auto" w:after="0"/>
        <w:ind w:left="605" w:hanging="605"/>
      </w:pPr>
      <w:r>
        <w:rPr>
          <w:b w:val="0"/>
        </w:rPr>
        <w:t>85.</w:t>
        <w:tab/>
      </w:r>
      <w:r>
        <w:t>Verdant repeats and realleges paragraphs 1 through 84 as if fully set forth herein.</w:t>
      </w:r>
    </w:p>
    <w:p>
      <w:pPr>
        <w:widowControl/>
        <w:spacing w:line="432" w:lineRule="auto" w:after="0"/>
        <w:ind w:left="605" w:hanging="605"/>
      </w:pPr>
      <w:r>
        <w:rPr>
          <w:b w:val="0"/>
        </w:rPr>
        <w:t>86.</w:t>
        <w:tab/>
      </w:r>
      <w:r>
        <w:t>On information and belief, Tate and AgriNova formed an agreement or understanding to pursue BioYield using Tate’s access to Verdant’s confidential information and to recruit Verdant scientists in violation of Tate’s contractual obligations. The inference is supported by the breadth and timing of the export; Tate’s ensuing position directing BioYield; the platform’s announced functionality and accelerated schedule; and the recruiter’s express statement that Tate specifically recommended Okonkwo.</w:t>
      </w:r>
    </w:p>
    <w:p>
      <w:pPr>
        <w:widowControl/>
        <w:spacing w:line="432" w:lineRule="auto" w:after="0"/>
        <w:ind w:left="605" w:hanging="605"/>
      </w:pPr>
      <w:r>
        <w:rPr>
          <w:b w:val="0"/>
        </w:rPr>
        <w:t>87.</w:t>
        <w:tab/>
      </w:r>
      <w:r>
        <w:t>In furtherance of the agreement, Tate copied and transferred Verdant files, deleted local copies, downloaded the executive roadmap, and later recruited Kowalski and recommended Okonkwo; AgriNova hired Tate to lead BioYield and its recruiter contacted Okonkwo based on Tate’s stated recommendation. These are overt acts in furtherance of the alleged scheme.</w:t>
      </w:r>
    </w:p>
    <w:p>
      <w:pPr>
        <w:widowControl/>
        <w:spacing w:line="432" w:lineRule="auto" w:after="0"/>
        <w:ind w:left="605" w:hanging="605"/>
      </w:pPr>
      <w:r>
        <w:rPr>
          <w:b w:val="0"/>
        </w:rPr>
        <w:t>88.</w:t>
        <w:tab/>
      </w:r>
      <w:r>
        <w:t>The conspiracy caused or threatens injury to Verdant. To the extent required, the underlying unlawful acts include tortious interference with contractual relations and other independently actionable conduct. This count is pleaded in the alternative and is not intended to evade any statutory displacement of common-law trade-secret claims. Verdant seeks damages and equitable relief, without duplication.</w:t>
      </w:r>
    </w:p>
    <w:p>
      <w:pPr>
        <w:pStyle w:val="Heading1"/>
        <w:jc w:val="center"/>
      </w:pPr>
      <w:r>
        <w:t>PRAYER FOR RELIEF</w:t>
      </w:r>
    </w:p>
    <w:p>
      <w:pPr>
        <w:keepLines w:val="0"/>
        <w:widowControl/>
      </w:pPr>
      <w:r>
        <w:t>WHEREFORE, Plaintiff respectfully requests that the Court:</w:t>
      </w:r>
    </w:p>
    <w:p>
      <w:pPr>
        <w:spacing w:line="432" w:lineRule="auto"/>
        <w:ind w:left="648" w:hanging="360"/>
      </w:pPr>
      <w:r>
        <w:t>A.</w:t>
        <w:tab/>
        <w:t>Enter judgment for Verdant and against Tate and AgriNova on the claims proved at trial;</w:t>
      </w:r>
    </w:p>
    <w:p>
      <w:pPr>
        <w:spacing w:line="432" w:lineRule="auto"/>
        <w:ind w:left="648" w:hanging="360"/>
      </w:pPr>
      <w:r>
        <w:t>B.</w:t>
        <w:tab/>
        <w:t>Issue narrowly tailored temporary, preliminary, and permanent relief prohibiting Defendants and those acting in concert with them from using or disclosing Verdant’s trade secrets or confidential materials, and requiring preservation, identification, and return or secure neutral forensic inspection of copies and devices containing them;</w:t>
      </w:r>
    </w:p>
    <w:p>
      <w:pPr>
        <w:spacing w:line="432" w:lineRule="auto"/>
        <w:ind w:left="648" w:hanging="360"/>
      </w:pPr>
      <w:r>
        <w:t>C.</w:t>
        <w:tab/>
        <w:t>Enjoin any continued development, testing, or commercialization only to the extent it is shown to use or derive from Verdant’s trade secrets, without imposing a restraint based merely on Tate’s general knowledge or preventing lawful competition;</w:t>
      </w:r>
    </w:p>
    <w:p>
      <w:pPr>
        <w:spacing w:line="432" w:lineRule="auto"/>
        <w:ind w:left="648" w:hanging="360"/>
      </w:pPr>
      <w:r>
        <w:t>D.</w:t>
        <w:tab/>
        <w:t>Award actual damages, unjust enrichment to the extent permitted, or a reasonable royalty, as applicable, together with any statutory exemplary damages for willful and malicious misappropriation and statutory attorneys’ fees where authorized and available;</w:t>
      </w:r>
    </w:p>
    <w:p>
      <w:pPr>
        <w:spacing w:line="432" w:lineRule="auto"/>
        <w:ind w:left="648" w:hanging="360"/>
      </w:pPr>
      <w:r>
        <w:t>E.</w:t>
        <w:tab/>
        <w:t>Award contract damages, including nominal damages where appropriate, and contract-based fees or costs only to the extent authorized by contract and applicable law;</w:t>
      </w:r>
    </w:p>
    <w:p>
      <w:pPr>
        <w:spacing w:line="432" w:lineRule="auto"/>
        <w:ind w:left="648" w:hanging="360"/>
      </w:pPr>
      <w:r>
        <w:t>F.</w:t>
        <w:tab/>
        <w:t>Award allowable costs, prejudgment and post-judgment interest, and such other relief as the Court deems just and proper.</w:t>
      </w:r>
    </w:p>
    <w:p>
      <w:pPr>
        <w:pStyle w:val="Heading1"/>
        <w:jc w:val="center"/>
      </w:pPr>
      <w:r>
        <w:t>JURY DEMAND</w:t>
      </w:r>
    </w:p>
    <w:p>
      <w:pPr>
        <w:keepLines w:val="0"/>
        <w:widowControl/>
      </w:pPr>
      <w:r>
        <w:t>Pursuant to Federal Rule of Civil Procedure 38, Verdant demands a trial by jury on all issues so triable.</w:t>
      </w:r>
    </w:p>
    <w:p/>
    <w:p>
      <w:pPr>
        <w:keepLines w:val="0"/>
        <w:widowControl/>
      </w:pPr>
      <w:r>
        <w:t>Dated: April 7, 2025</w:t>
      </w:r>
    </w:p>
    <w:p>
      <w:pPr>
        <w:keepLines w:val="0"/>
        <w:widowControl/>
      </w:pPr>
      <w:r>
        <w:t>Respectfully submitted,</w:t>
      </w:r>
    </w:p>
    <w:p/>
    <w:p>
      <w:pPr>
        <w:keepLines w:val="0"/>
        <w:widowControl/>
      </w:pPr>
      <w:r>
        <w:t>[Signature block to be completed by filing counsel]</w:t>
      </w:r>
    </w:p>
    <w:p>
      <w:pPr>
        <w:keepLines w:val="0"/>
        <w:widowControl/>
      </w:pPr>
      <w:r>
        <w:t>[Attorney Name] (N.C. State Bar No. ______)</w:t>
      </w:r>
    </w:p>
    <w:p>
      <w:pPr>
        <w:keepLines w:val="0"/>
        <w:widowControl/>
      </w:pPr>
      <w:r>
        <w:t>Hargrove, Whitfield &amp; Solis LLP</w:t>
      </w:r>
    </w:p>
    <w:p>
      <w:pPr>
        <w:keepLines w:val="0"/>
        <w:widowControl/>
      </w:pPr>
      <w:r>
        <w:t>200 Fayetteville Street, Suite 2800</w:t>
      </w:r>
    </w:p>
    <w:p>
      <w:pPr>
        <w:keepLines w:val="0"/>
        <w:widowControl/>
      </w:pPr>
      <w:r>
        <w:t>Raleigh, North Carolina 27601</w:t>
      </w:r>
    </w:p>
    <w:p>
      <w:pPr>
        <w:keepLines w:val="0"/>
        <w:widowControl/>
      </w:pPr>
      <w:r>
        <w:t>Telephone: [to be supplied]  |  Email: [to be supplied]</w:t>
      </w:r>
    </w:p>
    <w:p>
      <w:pPr>
        <w:keepLines w:val="0"/>
        <w:widowControl/>
      </w:pPr>
      <w:r>
        <w:t>Counsel for Plaintiff Verdant Biotech Solutions, Inc.</w:t>
      </w: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6"/>
      </w:rPr>
      <w:t>DRAFT — FOR COUNSEL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3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40" w:lineRule="auto"/>
      <w:outlineLvl w:val="0"/>
    </w:pPr>
    <w:rPr>
      <w:rFonts w:asciiTheme="majorHAnsi" w:eastAsiaTheme="majorEastAsia" w:hAnsiTheme="majorHAnsi" w:cstheme="majorBidi" w:ascii="Times New Roman" w:hAnsi="Times New Roman" w:eastAsia="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40" w:after="80" w:line="240" w:lineRule="auto"/>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Theme="majorHAnsi" w:eastAsiaTheme="majorEastAsia" w:hAnsiTheme="majorHAnsi" w:cstheme="majorBidi"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