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WHITAKER &amp; HOLM LLP</w:t>
      </w:r>
    </w:p>
    <w:p>
      <w:pPr>
        <w:spacing w:after="120"/>
        <w:jc w:val="center"/>
      </w:pPr>
      <w:r>
        <w:rPr>
          <w:b w:val="0"/>
          <w:i w:val="0"/>
        </w:rPr>
        <w:t>120 S. LaSalle Street, Suite 3200, Chicago, IL 60603</w:t>
      </w:r>
    </w:p>
    <w:p>
      <w:pPr>
        <w:spacing w:after="120"/>
        <w:jc w:val="center"/>
      </w:pPr>
      <w:r>
        <w:rPr>
          <w:b/>
          <w:i w:val="0"/>
        </w:rPr>
        <w:t>CONFLICT CHECK MEMORANDUM</w:t>
      </w:r>
    </w:p>
    <w:p>
      <w:pPr>
        <w:spacing w:after="120"/>
        <w:jc w:val="center"/>
      </w:pPr>
      <w:r>
        <w:rPr>
          <w:b/>
          <w:i w:val="0"/>
        </w:rPr>
        <w:t>PRIVILEGED &amp; CONFIDENTIAL — ATTORNEY WORK PRODUCT — DO NOT DISTRIBUTE OUTSIDE THE CONFLICTS-REVIEW CHAIN</w:t>
      </w:r>
    </w:p>
    <w:tbl>
      <w:tblPr>
        <w:tblStyle w:val="TableGrid"/>
        <w:tblW w:type="auto" w:w="0"/>
        <w:tblLook w:firstColumn="1" w:firstRow="1" w:lastColumn="0" w:lastRow="0" w:noHBand="0" w:noVBand="1" w:val="04A0"/>
      </w:tblPr>
      <w:tblGrid>
        <w:gridCol w:w="4680"/>
        <w:gridCol w:w="4680"/>
      </w:tblGrid>
      <w:tr>
        <w:tc>
          <w:tcPr>
            <w:tcW w:type="dxa" w:w="1728"/>
          </w:tcPr>
          <w:p>
            <w:r>
              <w:rPr>
                <w:sz w:val="19"/>
              </w:rPr>
            </w:r>
            <w:r>
              <w:rPr>
                <w:b w:val="0"/>
                <w:i w:val="0"/>
                <w:sz w:val="19"/>
              </w:rPr>
              <w:t>TO:</w:t>
            </w:r>
          </w:p>
        </w:tc>
        <w:tc>
          <w:tcPr>
            <w:tcW w:type="dxa" w:w="7632"/>
          </w:tcPr>
          <w:p>
            <w:r>
              <w:rPr>
                <w:sz w:val="19"/>
              </w:rPr>
            </w:r>
            <w:r>
              <w:rPr>
                <w:b w:val="0"/>
                <w:i w:val="0"/>
                <w:sz w:val="19"/>
              </w:rPr>
              <w:t>Derek Pruitt, General Counsel; Ethics Committee</w:t>
            </w:r>
          </w:p>
        </w:tc>
      </w:tr>
      <w:tr>
        <w:tc>
          <w:tcPr>
            <w:tcW w:type="dxa" w:w="1728"/>
          </w:tcPr>
          <w:p>
            <w:r>
              <w:rPr>
                <w:sz w:val="19"/>
              </w:rPr>
            </w:r>
            <w:r>
              <w:rPr>
                <w:b w:val="0"/>
                <w:i w:val="0"/>
                <w:sz w:val="19"/>
              </w:rPr>
              <w:t>FROM:</w:t>
            </w:r>
          </w:p>
        </w:tc>
        <w:tc>
          <w:tcPr>
            <w:tcW w:type="dxa" w:w="7632"/>
          </w:tcPr>
          <w:p>
            <w:r>
              <w:rPr>
                <w:sz w:val="19"/>
              </w:rPr>
            </w:r>
            <w:r>
              <w:rPr>
                <w:b w:val="0"/>
                <w:i w:val="0"/>
                <w:sz w:val="19"/>
              </w:rPr>
              <w:t>Office of General Counsel — Conflicts Review [preparer to insert name]</w:t>
            </w:r>
          </w:p>
        </w:tc>
      </w:tr>
      <w:tr>
        <w:tc>
          <w:tcPr>
            <w:tcW w:type="dxa" w:w="1728"/>
          </w:tcPr>
          <w:p>
            <w:r>
              <w:rPr>
                <w:sz w:val="19"/>
              </w:rPr>
            </w:r>
            <w:r>
              <w:rPr>
                <w:b w:val="0"/>
                <w:i w:val="0"/>
                <w:sz w:val="19"/>
              </w:rPr>
              <w:t>CC:</w:t>
            </w:r>
          </w:p>
        </w:tc>
        <w:tc>
          <w:tcPr>
            <w:tcW w:type="dxa" w:w="7632"/>
          </w:tcPr>
          <w:p>
            <w:r>
              <w:rPr>
                <w:sz w:val="19"/>
              </w:rPr>
            </w:r>
            <w:r>
              <w:rPr>
                <w:b w:val="0"/>
                <w:i w:val="0"/>
                <w:sz w:val="19"/>
              </w:rPr>
              <w:t>None. Do not circulate to the proposed engagement team; several members are the subject of this analysis.</w:t>
            </w:r>
          </w:p>
        </w:tc>
      </w:tr>
      <w:tr>
        <w:tc>
          <w:tcPr>
            <w:tcW w:type="dxa" w:w="1728"/>
          </w:tcPr>
          <w:p>
            <w:r>
              <w:rPr>
                <w:sz w:val="19"/>
              </w:rPr>
            </w:r>
            <w:r>
              <w:rPr>
                <w:b w:val="0"/>
                <w:i w:val="0"/>
                <w:sz w:val="19"/>
              </w:rPr>
              <w:t>DATE:</w:t>
            </w:r>
          </w:p>
        </w:tc>
        <w:tc>
          <w:tcPr>
            <w:tcW w:type="dxa" w:w="7632"/>
          </w:tcPr>
          <w:p>
            <w:r>
              <w:rPr>
                <w:sz w:val="19"/>
              </w:rPr>
            </w:r>
            <w:r>
              <w:rPr>
                <w:b w:val="0"/>
                <w:i w:val="0"/>
                <w:sz w:val="19"/>
              </w:rPr>
              <w:t>November 21, 2024</w:t>
            </w:r>
          </w:p>
        </w:tc>
      </w:tr>
      <w:tr>
        <w:tc>
          <w:tcPr>
            <w:tcW w:type="dxa" w:w="1728"/>
          </w:tcPr>
          <w:p>
            <w:r>
              <w:rPr>
                <w:sz w:val="19"/>
              </w:rPr>
            </w:r>
            <w:r>
              <w:rPr>
                <w:b w:val="0"/>
                <w:i w:val="0"/>
                <w:sz w:val="19"/>
              </w:rPr>
              <w:t>RE:</w:t>
            </w:r>
          </w:p>
        </w:tc>
        <w:tc>
          <w:tcPr>
            <w:tcW w:type="dxa" w:w="7632"/>
          </w:tcPr>
          <w:p>
            <w:r>
              <w:rPr>
                <w:sz w:val="19"/>
              </w:rPr>
            </w:r>
            <w:r>
              <w:rPr>
                <w:b w:val="0"/>
                <w:i w:val="0"/>
                <w:sz w:val="19"/>
              </w:rPr>
              <w:t>Proposed engagement: Verano Industries, Inc. v. TriPoint Dynamics LLC, Dr. Samuel Kline and Rebecca Torres (N.D. Ill.). Conflict clearance review. ConflictTracker Report CT-2024-11-18-0042</w:t>
            </w:r>
          </w:p>
        </w:tc>
      </w:tr>
      <w:tr>
        <w:tc>
          <w:tcPr>
            <w:tcW w:type="dxa" w:w="1728"/>
          </w:tcPr>
          <w:p>
            <w:r>
              <w:rPr>
                <w:sz w:val="19"/>
              </w:rPr>
            </w:r>
            <w:r>
              <w:rPr>
                <w:b w:val="0"/>
                <w:i w:val="0"/>
                <w:sz w:val="19"/>
              </w:rPr>
              <w:t>DEADLINE:</w:t>
            </w:r>
          </w:p>
        </w:tc>
        <w:tc>
          <w:tcPr>
            <w:tcW w:type="dxa" w:w="7632"/>
          </w:tcPr>
          <w:p>
            <w:r>
              <w:rPr>
                <w:sz w:val="19"/>
              </w:rPr>
            </w:r>
            <w:r>
              <w:rPr>
                <w:b w:val="0"/>
                <w:i w:val="0"/>
                <w:sz w:val="19"/>
              </w:rPr>
              <w:t>Clearance decision due November 22, 2024. Client's target filing date (complaint and TRO) is December 16, 2024</w:t>
            </w:r>
          </w:p>
        </w:tc>
      </w:tr>
    </w:tbl>
    <w:p/>
    <w:p>
      <w:pPr>
        <w:pStyle w:val="Heading1"/>
      </w:pPr>
      <w:r>
        <w:t>I. Executive Summary and Bottom-Line Recommendation</w:t>
      </w:r>
    </w:p>
    <w:p>
      <w:pPr>
        <w:spacing w:after="120"/>
      </w:pPr>
      <w:r>
        <w:rPr>
          <w:b w:val="0"/>
          <w:i w:val="0"/>
        </w:rPr>
        <w:t>Verano Industries, Inc. ("Verano") wants to retain the Firm to sue TriPoint Dynamics LLC ("TriPoint") and two former Verano engineers, Dr. Samuel Kline and Rebecca Torres. The claims are trade-secret misappropriation (ITSA and DTSA), breach of fiduciary duty, and tortious interference. Verano seeks about $42 million in damages plus a TRO and preliminary injunction over its Project Helix piezoelectric sensor platform.</w:t>
      </w:r>
    </w:p>
    <w:p>
      <w:pPr>
        <w:spacing w:after="120"/>
      </w:pPr>
      <w:r>
        <w:rPr>
          <w:b w:val="0"/>
          <w:i w:val="0"/>
        </w:rPr>
        <w:t xml:space="preserve">ConflictTracker returned five hits: two HIGH and three POTENTIAL. The automated search does not check annual attorney disclosures, HR hiring records, family-member employment, or trade-association roles. We therefore also reviewed those records by hand. That review found </w:t>
      </w:r>
      <w:r>
        <w:rPr>
          <w:b/>
          <w:i w:val="0"/>
        </w:rPr>
        <w:t>two significant conflicts that ConflictTracker did not flag and the intake form did not report</w:t>
      </w:r>
      <w:r>
        <w:rPr>
          <w:b w:val="0"/>
          <w:i w:val="0"/>
        </w:rPr>
        <w:t>:</w:t>
      </w:r>
    </w:p>
    <w:p>
      <w:pPr>
        <w:pStyle w:val="ListBullet"/>
        <w:spacing w:after="60"/>
      </w:pPr>
      <w:r>
        <w:rPr>
          <w:b/>
          <w:i w:val="0"/>
        </w:rPr>
        <w:t>Lisa Chow's spouse was a paid consultant to TriPoint.</w:t>
      </w:r>
      <w:r>
        <w:rPr>
          <w:b w:val="0"/>
          <w:i w:val="0"/>
        </w:rPr>
        <w:t xml:space="preserve"> Dr. Brian Chow was paid $95,000 by TriPoint for sensor-coating technology consulting from April 2022 to September 2023. Chow is the proposed Co-Lead. She disclosed this in March 2024, but it was never entered into ConflictTracker.</w:t>
      </w:r>
    </w:p>
    <w:p>
      <w:pPr>
        <w:pStyle w:val="ListBullet"/>
        <w:spacing w:after="60"/>
      </w:pPr>
      <w:r>
        <w:rPr>
          <w:b/>
          <w:i w:val="0"/>
        </w:rPr>
        <w:t>Caleb Strand's sister is an IP paralegal at TriPoint and they live together.</w:t>
      </w:r>
      <w:r>
        <w:rPr>
          <w:b w:val="0"/>
          <w:i w:val="0"/>
        </w:rPr>
        <w:t xml:space="preserve"> Morgan Strand works in TriPoint's Intellectual Property Department, handling patent filings and technical documentation. Caleb Strand is a proposed Associate. HR received this disclosure in June 2023, but it was never forwarded to the General Counsel or entered into ConflictTracker.</w:t>
      </w:r>
    </w:p>
    <w:p>
      <w:pPr>
        <w:spacing w:after="120"/>
      </w:pPr>
      <w:r>
        <w:rPr>
          <w:b/>
          <w:i w:val="0"/>
        </w:rPr>
        <w:t>Recommendation: CLEARED WITH CONDITIONS — NOT YET CLEARED.</w:t>
      </w:r>
      <w:r>
        <w:rPr>
          <w:b w:val="0"/>
          <w:i w:val="0"/>
        </w:rPr>
        <w:t xml:space="preserve"> The Firm should not accept the engagement, and should not receive further confidential information from Verano, until the Tier 1 conditions in Part VI are met. In summary:</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D9E2F3"/>
          </w:tcPr>
          <w:p>
            <w:r>
              <w:rPr>
                <w:sz w:val="19"/>
              </w:rPr>
            </w:r>
            <w:r>
              <w:rPr>
                <w:b/>
                <w:i w:val="0"/>
                <w:sz w:val="19"/>
              </w:rPr>
              <w:t>#</w:t>
            </w:r>
          </w:p>
        </w:tc>
        <w:tc>
          <w:tcPr>
            <w:tcW w:type="dxa" w:w="2880"/>
            <w:shd w:val="clear" w:color="auto" w:fill="D9E2F3"/>
          </w:tcPr>
          <w:p>
            <w:r>
              <w:rPr>
                <w:sz w:val="19"/>
              </w:rPr>
            </w:r>
            <w:r>
              <w:rPr>
                <w:b/>
                <w:i w:val="0"/>
                <w:sz w:val="19"/>
              </w:rPr>
              <w:t>Issue</w:t>
            </w:r>
          </w:p>
        </w:tc>
        <w:tc>
          <w:tcPr>
            <w:tcW w:type="dxa" w:w="1440"/>
            <w:shd w:val="clear" w:color="auto" w:fill="D9E2F3"/>
          </w:tcPr>
          <w:p>
            <w:r>
              <w:rPr>
                <w:sz w:val="19"/>
              </w:rPr>
            </w:r>
            <w:r>
              <w:rPr>
                <w:b/>
                <w:i w:val="0"/>
                <w:sz w:val="19"/>
              </w:rPr>
              <w:t>Risk</w:t>
            </w:r>
          </w:p>
        </w:tc>
        <w:tc>
          <w:tcPr>
            <w:tcW w:type="dxa" w:w="4608"/>
            <w:shd w:val="clear" w:color="auto" w:fill="D9E2F3"/>
          </w:tcPr>
          <w:p>
            <w:r>
              <w:rPr>
                <w:sz w:val="19"/>
              </w:rPr>
            </w:r>
            <w:r>
              <w:rPr>
                <w:b/>
                <w:i w:val="0"/>
                <w:sz w:val="19"/>
              </w:rPr>
              <w:t>Required Disposition</w:t>
            </w:r>
          </w:p>
        </w:tc>
      </w:tr>
      <w:tr>
        <w:tc>
          <w:tcPr>
            <w:tcW w:type="dxa" w:w="432"/>
          </w:tcPr>
          <w:p>
            <w:r>
              <w:rPr>
                <w:sz w:val="19"/>
              </w:rPr>
            </w:r>
            <w:r>
              <w:rPr>
                <w:b w:val="0"/>
                <w:i w:val="0"/>
                <w:sz w:val="19"/>
              </w:rPr>
              <w:t>1</w:t>
            </w:r>
          </w:p>
        </w:tc>
        <w:tc>
          <w:tcPr>
            <w:tcW w:type="dxa" w:w="2880"/>
          </w:tcPr>
          <w:p>
            <w:r>
              <w:rPr>
                <w:sz w:val="19"/>
              </w:rPr>
            </w:r>
            <w:r>
              <w:rPr>
                <w:b w:val="0"/>
                <w:i w:val="0"/>
                <w:sz w:val="19"/>
              </w:rPr>
              <w:t>Marcus Reilly: former counsel to TriPoint (as Trident), with confidential information about TriPoint's engineering division</w:t>
            </w:r>
          </w:p>
        </w:tc>
        <w:tc>
          <w:tcPr>
            <w:tcW w:type="dxa" w:w="1440"/>
          </w:tcPr>
          <w:p>
            <w:r>
              <w:rPr>
                <w:sz w:val="19"/>
              </w:rPr>
            </w:r>
            <w:r>
              <w:rPr>
                <w:b w:val="0"/>
                <w:i w:val="0"/>
                <w:sz w:val="19"/>
              </w:rPr>
              <w:t>HIGH</w:t>
            </w:r>
          </w:p>
        </w:tc>
        <w:tc>
          <w:tcPr>
            <w:tcW w:type="dxa" w:w="4608"/>
          </w:tcPr>
          <w:p>
            <w:r>
              <w:rPr>
                <w:sz w:val="19"/>
              </w:rPr>
            </w:r>
            <w:r>
              <w:rPr>
                <w:b w:val="0"/>
                <w:i w:val="0"/>
                <w:sz w:val="19"/>
              </w:rPr>
              <w:t>Reilly is personally disqualified (Rule 1.9(a)). He must be removed as Lead, screened immediately, and receive no part of the fee. Written notice must go to TriPoint (Rule 1.10(e)).</w:t>
            </w:r>
          </w:p>
        </w:tc>
      </w:tr>
      <w:tr>
        <w:tc>
          <w:tcPr>
            <w:tcW w:type="dxa" w:w="432"/>
          </w:tcPr>
          <w:p>
            <w:r>
              <w:rPr>
                <w:sz w:val="19"/>
              </w:rPr>
            </w:r>
            <w:r>
              <w:rPr>
                <w:b w:val="0"/>
                <w:i w:val="0"/>
                <w:sz w:val="19"/>
              </w:rPr>
              <w:t>2</w:t>
            </w:r>
          </w:p>
        </w:tc>
        <w:tc>
          <w:tcPr>
            <w:tcW w:type="dxa" w:w="2880"/>
          </w:tcPr>
          <w:p>
            <w:r>
              <w:rPr>
                <w:sz w:val="19"/>
              </w:rPr>
            </w:r>
            <w:r>
              <w:rPr>
                <w:b w:val="0"/>
                <w:i w:val="0"/>
                <w:sz w:val="19"/>
              </w:rPr>
              <w:t>Ridgeline Capital Partners LP: current client that owns 72% of TriPoint</w:t>
            </w:r>
          </w:p>
        </w:tc>
        <w:tc>
          <w:tcPr>
            <w:tcW w:type="dxa" w:w="1440"/>
          </w:tcPr>
          <w:p>
            <w:r>
              <w:rPr>
                <w:sz w:val="19"/>
              </w:rPr>
            </w:r>
            <w:r>
              <w:rPr>
                <w:b w:val="0"/>
                <w:i w:val="0"/>
                <w:sz w:val="19"/>
              </w:rPr>
              <w:t>HIGH</w:t>
            </w:r>
          </w:p>
        </w:tc>
        <w:tc>
          <w:tcPr>
            <w:tcW w:type="dxa" w:w="4608"/>
          </w:tcPr>
          <w:p>
            <w:r>
              <w:rPr>
                <w:sz w:val="19"/>
              </w:rPr>
            </w:r>
            <w:r>
              <w:rPr>
                <w:b w:val="0"/>
                <w:i w:val="0"/>
                <w:sz w:val="19"/>
              </w:rPr>
              <w:t>Clearance cannot be given until we confirm which Ridgeline fund holds TriPoint and whether the Firm holds material Ridgeline or TriPoint confidential information. We recommend getting Ridgeline's express informed written consent. Section 7.4 notice is required in any case. Ethical wall between the Ottinger team and the litigation team. Verano must give informed consent to the resulting limits on the representation.</w:t>
            </w:r>
          </w:p>
        </w:tc>
      </w:tr>
      <w:tr>
        <w:tc>
          <w:tcPr>
            <w:tcW w:type="dxa" w:w="432"/>
          </w:tcPr>
          <w:p>
            <w:r>
              <w:rPr>
                <w:sz w:val="19"/>
              </w:rPr>
            </w:r>
            <w:r>
              <w:rPr>
                <w:b w:val="0"/>
                <w:i w:val="0"/>
                <w:sz w:val="19"/>
              </w:rPr>
              <w:t>3</w:t>
            </w:r>
          </w:p>
        </w:tc>
        <w:tc>
          <w:tcPr>
            <w:tcW w:type="dxa" w:w="2880"/>
          </w:tcPr>
          <w:p>
            <w:r>
              <w:rPr>
                <w:sz w:val="19"/>
              </w:rPr>
            </w:r>
            <w:r>
              <w:rPr>
                <w:b w:val="0"/>
                <w:i w:val="0"/>
                <w:sz w:val="19"/>
              </w:rPr>
              <w:t>Lisa Chow: spouse consulted for TriPoint on sensor technology</w:t>
            </w:r>
          </w:p>
        </w:tc>
        <w:tc>
          <w:tcPr>
            <w:tcW w:type="dxa" w:w="1440"/>
          </w:tcPr>
          <w:p>
            <w:r>
              <w:rPr>
                <w:sz w:val="19"/>
              </w:rPr>
            </w:r>
            <w:r>
              <w:rPr>
                <w:b w:val="0"/>
                <w:i w:val="0"/>
                <w:sz w:val="19"/>
              </w:rPr>
              <w:t>HIGH (not flagged by system)</w:t>
            </w:r>
          </w:p>
        </w:tc>
        <w:tc>
          <w:tcPr>
            <w:tcW w:type="dxa" w:w="4608"/>
          </w:tcPr>
          <w:p>
            <w:r>
              <w:rPr>
                <w:sz w:val="19"/>
              </w:rPr>
            </w:r>
            <w:r>
              <w:rPr>
                <w:b w:val="0"/>
                <w:i w:val="0"/>
                <w:sz w:val="19"/>
              </w:rPr>
              <w:t>Remove Chow from the team and screen her. She can be reconsidered only after a documented inquiry and, if warranted, informed consent from Verano (Rule 1.7(b)).</w:t>
            </w:r>
          </w:p>
        </w:tc>
      </w:tr>
      <w:tr>
        <w:tc>
          <w:tcPr>
            <w:tcW w:type="dxa" w:w="432"/>
          </w:tcPr>
          <w:p>
            <w:r>
              <w:rPr>
                <w:sz w:val="19"/>
              </w:rPr>
            </w:r>
            <w:r>
              <w:rPr>
                <w:b w:val="0"/>
                <w:i w:val="0"/>
                <w:sz w:val="19"/>
              </w:rPr>
              <w:t>4</w:t>
            </w:r>
          </w:p>
        </w:tc>
        <w:tc>
          <w:tcPr>
            <w:tcW w:type="dxa" w:w="2880"/>
          </w:tcPr>
          <w:p>
            <w:r>
              <w:rPr>
                <w:sz w:val="19"/>
              </w:rPr>
            </w:r>
            <w:r>
              <w:rPr>
                <w:b w:val="0"/>
                <w:i w:val="0"/>
                <w:sz w:val="19"/>
              </w:rPr>
              <w:t>Caleb Strand: sister is a TriPoint IP paralegal and shares his home</w:t>
            </w:r>
          </w:p>
        </w:tc>
        <w:tc>
          <w:tcPr>
            <w:tcW w:type="dxa" w:w="1440"/>
          </w:tcPr>
          <w:p>
            <w:r>
              <w:rPr>
                <w:sz w:val="19"/>
              </w:rPr>
            </w:r>
            <w:r>
              <w:rPr>
                <w:b w:val="0"/>
                <w:i w:val="0"/>
                <w:sz w:val="19"/>
              </w:rPr>
              <w:t>HIGH (not flagged by system)</w:t>
            </w:r>
          </w:p>
        </w:tc>
        <w:tc>
          <w:tcPr>
            <w:tcW w:type="dxa" w:w="4608"/>
          </w:tcPr>
          <w:p>
            <w:r>
              <w:rPr>
                <w:sz w:val="19"/>
              </w:rPr>
            </w:r>
            <w:r>
              <w:rPr>
                <w:b w:val="0"/>
                <w:i w:val="0"/>
                <w:sz w:val="19"/>
              </w:rPr>
              <w:t>Remove Strand from the team and apply a full screen, including physical and electronic access restrictions.</w:t>
            </w:r>
          </w:p>
        </w:tc>
      </w:tr>
      <w:tr>
        <w:tc>
          <w:tcPr>
            <w:tcW w:type="dxa" w:w="432"/>
          </w:tcPr>
          <w:p>
            <w:r>
              <w:rPr>
                <w:sz w:val="19"/>
              </w:rPr>
            </w:r>
            <w:r>
              <w:rPr>
                <w:b w:val="0"/>
                <w:i w:val="0"/>
                <w:sz w:val="19"/>
              </w:rPr>
              <w:t>5</w:t>
            </w:r>
          </w:p>
        </w:tc>
        <w:tc>
          <w:tcPr>
            <w:tcW w:type="dxa" w:w="2880"/>
          </w:tcPr>
          <w:p>
            <w:r>
              <w:rPr>
                <w:sz w:val="19"/>
              </w:rPr>
            </w:r>
            <w:r>
              <w:rPr>
                <w:b w:val="0"/>
                <w:i w:val="0"/>
                <w:sz w:val="19"/>
              </w:rPr>
              <w:t>Jordan Voss: MSIA board seat; both parties are MSIA members</w:t>
            </w:r>
          </w:p>
        </w:tc>
        <w:tc>
          <w:tcPr>
            <w:tcW w:type="dxa" w:w="1440"/>
          </w:tcPr>
          <w:p>
            <w:r>
              <w:rPr>
                <w:sz w:val="19"/>
              </w:rPr>
            </w:r>
            <w:r>
              <w:rPr>
                <w:b w:val="0"/>
                <w:i w:val="0"/>
                <w:sz w:val="19"/>
              </w:rPr>
              <w:t>LOW</w:t>
            </w:r>
          </w:p>
        </w:tc>
        <w:tc>
          <w:tcPr>
            <w:tcW w:type="dxa" w:w="4608"/>
          </w:tcPr>
          <w:p>
            <w:r>
              <w:rPr>
                <w:sz w:val="19"/>
              </w:rPr>
            </w:r>
            <w:r>
              <w:rPr>
                <w:b w:val="0"/>
                <w:i w:val="0"/>
                <w:sz w:val="19"/>
              </w:rPr>
              <w:t>May stay on the team if he recuses from MSIA board business involving the dispute and signs an acknowledgment.</w:t>
            </w:r>
          </w:p>
        </w:tc>
      </w:tr>
      <w:tr>
        <w:tc>
          <w:tcPr>
            <w:tcW w:type="dxa" w:w="432"/>
          </w:tcPr>
          <w:p>
            <w:r>
              <w:rPr>
                <w:sz w:val="19"/>
              </w:rPr>
            </w:r>
            <w:r>
              <w:rPr>
                <w:b w:val="0"/>
                <w:i w:val="0"/>
                <w:sz w:val="19"/>
              </w:rPr>
              <w:t>6</w:t>
            </w:r>
          </w:p>
        </w:tc>
        <w:tc>
          <w:tcPr>
            <w:tcW w:type="dxa" w:w="2880"/>
          </w:tcPr>
          <w:p>
            <w:r>
              <w:rPr>
                <w:sz w:val="19"/>
              </w:rPr>
            </w:r>
            <w:r>
              <w:rPr>
                <w:b w:val="0"/>
                <w:i w:val="0"/>
                <w:sz w:val="19"/>
              </w:rPr>
              <w:t>Kowalczyk Family Trust (WH-2019-0201)</w:t>
            </w:r>
          </w:p>
        </w:tc>
        <w:tc>
          <w:tcPr>
            <w:tcW w:type="dxa" w:w="1440"/>
          </w:tcPr>
          <w:p>
            <w:r>
              <w:rPr>
                <w:sz w:val="19"/>
              </w:rPr>
            </w:r>
            <w:r>
              <w:rPr>
                <w:b w:val="0"/>
                <w:i w:val="0"/>
                <w:sz w:val="19"/>
              </w:rPr>
              <w:t>LOW–MODERATE (fact-dependent)</w:t>
            </w:r>
          </w:p>
        </w:tc>
        <w:tc>
          <w:tcPr>
            <w:tcW w:type="dxa" w:w="4608"/>
          </w:tcPr>
          <w:p>
            <w:r>
              <w:rPr>
                <w:sz w:val="19"/>
              </w:rPr>
            </w:r>
            <w:r>
              <w:rPr>
                <w:b w:val="0"/>
                <w:i w:val="0"/>
                <w:sz w:val="19"/>
              </w:rPr>
              <w:t>Review the file and interview Sandra K. Whitaker to confirm David Kowalczyk was never a client or prospective client. Wall off the file.</w:t>
            </w:r>
          </w:p>
        </w:tc>
      </w:tr>
      <w:tr>
        <w:tc>
          <w:tcPr>
            <w:tcW w:type="dxa" w:w="432"/>
          </w:tcPr>
          <w:p>
            <w:r>
              <w:rPr>
                <w:sz w:val="19"/>
              </w:rPr>
            </w:r>
            <w:r>
              <w:rPr>
                <w:b w:val="0"/>
                <w:i w:val="0"/>
                <w:sz w:val="19"/>
              </w:rPr>
              <w:t>7</w:t>
            </w:r>
          </w:p>
        </w:tc>
        <w:tc>
          <w:tcPr>
            <w:tcW w:type="dxa" w:w="2880"/>
          </w:tcPr>
          <w:p>
            <w:r>
              <w:rPr>
                <w:sz w:val="19"/>
              </w:rPr>
            </w:r>
            <w:r>
              <w:rPr>
                <w:b w:val="0"/>
                <w:i w:val="0"/>
                <w:sz w:val="19"/>
              </w:rPr>
              <w:t>April 2022 Verano declination: reason not documented</w:t>
            </w:r>
          </w:p>
        </w:tc>
        <w:tc>
          <w:tcPr>
            <w:tcW w:type="dxa" w:w="1440"/>
          </w:tcPr>
          <w:p>
            <w:r>
              <w:rPr>
                <w:sz w:val="19"/>
              </w:rPr>
            </w:r>
            <w:r>
              <w:rPr>
                <w:b w:val="0"/>
                <w:i w:val="0"/>
                <w:sz w:val="19"/>
              </w:rPr>
              <w:t>POTENTIAL</w:t>
            </w:r>
          </w:p>
        </w:tc>
        <w:tc>
          <w:tcPr>
            <w:tcW w:type="dxa" w:w="4608"/>
          </w:tcPr>
          <w:p>
            <w:r>
              <w:rPr>
                <w:sz w:val="19"/>
              </w:rPr>
            </w:r>
            <w:r>
              <w:rPr>
                <w:b w:val="0"/>
                <w:i w:val="0"/>
                <w:sz w:val="19"/>
              </w:rPr>
              <w:t>Find out why the Firm declined. Confirm the reason does not still apply.</w:t>
            </w:r>
          </w:p>
        </w:tc>
      </w:tr>
      <w:tr>
        <w:tc>
          <w:tcPr>
            <w:tcW w:type="dxa" w:w="432"/>
          </w:tcPr>
          <w:p>
            <w:r>
              <w:rPr>
                <w:sz w:val="19"/>
              </w:rPr>
            </w:r>
            <w:r>
              <w:rPr>
                <w:b w:val="0"/>
                <w:i w:val="0"/>
                <w:sz w:val="19"/>
              </w:rPr>
              <w:t>8</w:t>
            </w:r>
          </w:p>
        </w:tc>
        <w:tc>
          <w:tcPr>
            <w:tcW w:type="dxa" w:w="2880"/>
          </w:tcPr>
          <w:p>
            <w:r>
              <w:rPr>
                <w:sz w:val="19"/>
              </w:rPr>
            </w:r>
            <w:r>
              <w:rPr>
                <w:b w:val="0"/>
                <w:i w:val="0"/>
                <w:sz w:val="19"/>
              </w:rPr>
              <w:t>Hollcroft Ventures (WH-2020-0412): former client and former Verano subsidiary</w:t>
            </w:r>
          </w:p>
        </w:tc>
        <w:tc>
          <w:tcPr>
            <w:tcW w:type="dxa" w:w="1440"/>
          </w:tcPr>
          <w:p>
            <w:r>
              <w:rPr>
                <w:sz w:val="19"/>
              </w:rPr>
            </w:r>
            <w:r>
              <w:rPr>
                <w:b w:val="0"/>
                <w:i w:val="0"/>
                <w:sz w:val="19"/>
              </w:rPr>
              <w:t>LOW</w:t>
            </w:r>
          </w:p>
        </w:tc>
        <w:tc>
          <w:tcPr>
            <w:tcW w:type="dxa" w:w="4608"/>
          </w:tcPr>
          <w:p>
            <w:r>
              <w:rPr>
                <w:sz w:val="19"/>
              </w:rPr>
            </w:r>
            <w:r>
              <w:rPr>
                <w:b w:val="0"/>
                <w:i w:val="0"/>
                <w:sz w:val="19"/>
              </w:rPr>
              <w:t>No adversity. Hollcroft confidential information may not be used (Rule 1.9(c)). Verano cannot waive Hollcroft's rights. Confirm Hollcroft has no interest in Project Helix.</w:t>
            </w:r>
          </w:p>
        </w:tc>
      </w:tr>
    </w:tbl>
    <w:p/>
    <w:p>
      <w:pPr>
        <w:spacing w:after="120"/>
      </w:pPr>
      <w:r>
        <w:rPr>
          <w:b w:val="0"/>
          <w:i w:val="0"/>
        </w:rPr>
        <w:t xml:space="preserve">If all conditions are met, </w:t>
      </w:r>
      <w:r>
        <w:rPr>
          <w:b/>
          <w:i w:val="0"/>
        </w:rPr>
        <w:t>both proposed lead partners will have been removed</w:t>
      </w:r>
      <w:r>
        <w:rPr>
          <w:b w:val="0"/>
          <w:i w:val="0"/>
        </w:rPr>
        <w:t>. The Firm will need a new, conflict-free Litigation partner as Lead, confirmed by a supplemental ConflictTracker search and disclosure review. Given the December 16 target, this should be arranged at once.</w:t>
      </w:r>
    </w:p>
    <w:p>
      <w:pPr>
        <w:pStyle w:val="Heading1"/>
      </w:pPr>
      <w:r>
        <w:t>II. Background</w:t>
      </w:r>
    </w:p>
    <w:p>
      <w:pPr>
        <w:pStyle w:val="Heading2"/>
      </w:pPr>
      <w:r>
        <w:t>A. The Proposed Engagement</w:t>
      </w:r>
    </w:p>
    <w:tbl>
      <w:tblPr>
        <w:tblStyle w:val="TableGrid"/>
        <w:tblW w:type="auto" w:w="0"/>
        <w:tblLook w:firstColumn="1" w:firstRow="1" w:lastColumn="0" w:lastRow="0" w:noHBand="0" w:noVBand="1" w:val="04A0"/>
      </w:tblPr>
      <w:tblGrid>
        <w:gridCol w:w="4680"/>
        <w:gridCol w:w="4680"/>
      </w:tblGrid>
      <w:tr>
        <w:tc>
          <w:tcPr>
            <w:tcW w:type="dxa" w:w="2016"/>
            <w:shd w:val="clear" w:color="auto" w:fill="D9E2F3"/>
          </w:tcPr>
          <w:p>
            <w:r>
              <w:rPr>
                <w:sz w:val="19"/>
              </w:rPr>
            </w:r>
            <w:r>
              <w:rPr>
                <w:b/>
                <w:i w:val="0"/>
                <w:sz w:val="19"/>
              </w:rPr>
              <w:t>Item</w:t>
            </w:r>
          </w:p>
        </w:tc>
        <w:tc>
          <w:tcPr>
            <w:tcW w:type="dxa" w:w="7344"/>
            <w:shd w:val="clear" w:color="auto" w:fill="D9E2F3"/>
          </w:tcPr>
          <w:p>
            <w:r>
              <w:rPr>
                <w:sz w:val="19"/>
              </w:rPr>
            </w:r>
            <w:r>
              <w:rPr>
                <w:b/>
                <w:i w:val="0"/>
                <w:sz w:val="19"/>
              </w:rPr>
              <w:t>Detail</w:t>
            </w:r>
          </w:p>
        </w:tc>
      </w:tr>
      <w:tr>
        <w:tc>
          <w:tcPr>
            <w:tcW w:type="dxa" w:w="2016"/>
          </w:tcPr>
          <w:p>
            <w:r>
              <w:rPr>
                <w:sz w:val="19"/>
              </w:rPr>
            </w:r>
            <w:r>
              <w:rPr>
                <w:b w:val="0"/>
                <w:i w:val="0"/>
                <w:sz w:val="19"/>
              </w:rPr>
              <w:t>Proposed client</w:t>
            </w:r>
          </w:p>
        </w:tc>
        <w:tc>
          <w:tcPr>
            <w:tcW w:type="dxa" w:w="7344"/>
          </w:tcPr>
          <w:p>
            <w:r>
              <w:rPr>
                <w:sz w:val="19"/>
              </w:rPr>
            </w:r>
            <w:r>
              <w:rPr>
                <w:b w:val="0"/>
                <w:i w:val="0"/>
                <w:sz w:val="19"/>
              </w:rPr>
              <w:t>Verano Industries, Inc. (Delaware), 2200 Lake Shore Drive, Suite 1400, Chicago, IL. CEO Thomas Verano; GC Angela Ruiz-Morrison. Precision sensor components for aerospace/defense; about $385M revenue.</w:t>
            </w:r>
          </w:p>
        </w:tc>
      </w:tr>
      <w:tr>
        <w:tc>
          <w:tcPr>
            <w:tcW w:type="dxa" w:w="2016"/>
          </w:tcPr>
          <w:p>
            <w:r>
              <w:rPr>
                <w:sz w:val="19"/>
              </w:rPr>
            </w:r>
            <w:r>
              <w:rPr>
                <w:b w:val="0"/>
                <w:i w:val="0"/>
                <w:sz w:val="19"/>
              </w:rPr>
              <w:t>Adverse parties</w:t>
            </w:r>
          </w:p>
        </w:tc>
        <w:tc>
          <w:tcPr>
            <w:tcW w:type="dxa" w:w="7344"/>
          </w:tcPr>
          <w:p>
            <w:r>
              <w:rPr>
                <w:sz w:val="19"/>
              </w:rPr>
            </w:r>
            <w:r>
              <w:rPr>
                <w:b w:val="0"/>
                <w:i w:val="0"/>
                <w:sz w:val="19"/>
              </w:rPr>
              <w:t>TriPoint Dynamics LLC (Illinois; f/k/a Trident Sensor Solutions LLC until March 2017), Schaumburg, IL. CEO David Kowalczyk; GC Nathan Siddoway. 72% owned by Ridgeline Capital Partners LP since March 2021. Anticipated individual defendants: Dr. Samuel Kline and Rebecca Torres, who left Verano June 15, 2024 and joined TriPoint July 1, 2024.</w:t>
            </w:r>
          </w:p>
        </w:tc>
      </w:tr>
      <w:tr>
        <w:tc>
          <w:tcPr>
            <w:tcW w:type="dxa" w:w="2016"/>
          </w:tcPr>
          <w:p>
            <w:r>
              <w:rPr>
                <w:sz w:val="19"/>
              </w:rPr>
            </w:r>
            <w:r>
              <w:rPr>
                <w:b w:val="0"/>
                <w:i w:val="0"/>
                <w:sz w:val="19"/>
              </w:rPr>
              <w:t>Claims</w:t>
            </w:r>
          </w:p>
        </w:tc>
        <w:tc>
          <w:tcPr>
            <w:tcW w:type="dxa" w:w="7344"/>
          </w:tcPr>
          <w:p>
            <w:r>
              <w:rPr>
                <w:sz w:val="19"/>
              </w:rPr>
            </w:r>
            <w:r>
              <w:rPr>
                <w:b w:val="0"/>
                <w:i w:val="0"/>
                <w:sz w:val="19"/>
              </w:rPr>
              <w:t>(1) Misappropriation under ITSA (765 ILCS 1065) and DTSA (18 U.S.C. § 1836); (2) breach of fiduciary duty (Kline, Torres); (3) tortious interference with non-compete and non-solicitation covenants (TriPoint).</w:t>
            </w:r>
          </w:p>
        </w:tc>
      </w:tr>
      <w:tr>
        <w:tc>
          <w:tcPr>
            <w:tcW w:type="dxa" w:w="2016"/>
          </w:tcPr>
          <w:p>
            <w:r>
              <w:rPr>
                <w:sz w:val="19"/>
              </w:rPr>
            </w:r>
            <w:r>
              <w:rPr>
                <w:b w:val="0"/>
                <w:i w:val="0"/>
                <w:sz w:val="19"/>
              </w:rPr>
              <w:t>Relief / forum</w:t>
            </w:r>
          </w:p>
        </w:tc>
        <w:tc>
          <w:tcPr>
            <w:tcW w:type="dxa" w:w="7344"/>
          </w:tcPr>
          <w:p>
            <w:r>
              <w:rPr>
                <w:sz w:val="19"/>
              </w:rPr>
            </w:r>
            <w:r>
              <w:rPr>
                <w:b w:val="0"/>
                <w:i w:val="0"/>
                <w:sz w:val="19"/>
              </w:rPr>
              <w:t>About $42M in damages; TRO and preliminary injunction. N.D. Ill.</w:t>
            </w:r>
          </w:p>
        </w:tc>
      </w:tr>
      <w:tr>
        <w:tc>
          <w:tcPr>
            <w:tcW w:type="dxa" w:w="2016"/>
          </w:tcPr>
          <w:p>
            <w:r>
              <w:rPr>
                <w:sz w:val="19"/>
              </w:rPr>
            </w:r>
            <w:r>
              <w:rPr>
                <w:b w:val="0"/>
                <w:i w:val="0"/>
                <w:sz w:val="19"/>
              </w:rPr>
              <w:t>Proposed staffing</w:t>
            </w:r>
          </w:p>
        </w:tc>
        <w:tc>
          <w:tcPr>
            <w:tcW w:type="dxa" w:w="7344"/>
          </w:tcPr>
          <w:p>
            <w:r>
              <w:rPr>
                <w:sz w:val="19"/>
              </w:rPr>
            </w:r>
            <w:r>
              <w:rPr>
                <w:b w:val="0"/>
                <w:i w:val="0"/>
                <w:sz w:val="19"/>
              </w:rPr>
              <w:t>Marcus Reilly (Lead Partner); Lisa Chow (Co-Lead Partner); Jordan Voss (Senior Associate); Priya Nambiar (Associate); Caleb Strand (Associate).</w:t>
            </w:r>
          </w:p>
        </w:tc>
      </w:tr>
      <w:tr>
        <w:tc>
          <w:tcPr>
            <w:tcW w:type="dxa" w:w="2016"/>
          </w:tcPr>
          <w:p>
            <w:r>
              <w:rPr>
                <w:sz w:val="19"/>
              </w:rPr>
            </w:r>
            <w:r>
              <w:rPr>
                <w:b w:val="0"/>
                <w:i w:val="0"/>
                <w:sz w:val="19"/>
              </w:rPr>
              <w:t>Fees</w:t>
            </w:r>
          </w:p>
        </w:tc>
        <w:tc>
          <w:tcPr>
            <w:tcW w:type="dxa" w:w="7344"/>
          </w:tcPr>
          <w:p>
            <w:r>
              <w:rPr>
                <w:sz w:val="19"/>
              </w:rPr>
            </w:r>
            <w:r>
              <w:rPr>
                <w:b w:val="0"/>
                <w:i w:val="0"/>
                <w:sz w:val="19"/>
              </w:rPr>
              <w:t>Hybrid: $475/hour blended for the first $500,000 in fees; 25% contingency on recovery above $10M; $6M cap. Client's budget estimate is $3.2M ($2.8M fees plus $0.4M costs).</w:t>
            </w:r>
          </w:p>
        </w:tc>
      </w:tr>
      <w:tr>
        <w:tc>
          <w:tcPr>
            <w:tcW w:type="dxa" w:w="2016"/>
          </w:tcPr>
          <w:p>
            <w:r>
              <w:rPr>
                <w:sz w:val="19"/>
              </w:rPr>
            </w:r>
            <w:r>
              <w:rPr>
                <w:b w:val="0"/>
                <w:i w:val="0"/>
                <w:sz w:val="19"/>
              </w:rPr>
              <w:t>Timing</w:t>
            </w:r>
          </w:p>
        </w:tc>
        <w:tc>
          <w:tcPr>
            <w:tcW w:type="dxa" w:w="7344"/>
          </w:tcPr>
          <w:p>
            <w:r>
              <w:rPr>
                <w:sz w:val="19"/>
              </w:rPr>
            </w:r>
            <w:r>
              <w:rPr>
                <w:b w:val="0"/>
                <w:i w:val="0"/>
                <w:sz w:val="19"/>
              </w:rPr>
              <w:t>Clearance requested by Nov. 22, 2024. Filing target Dec. 16, 2024. Client reports TriPoint may announce a product in Q1 2025.</w:t>
            </w:r>
          </w:p>
        </w:tc>
      </w:tr>
    </w:tbl>
    <w:p/>
    <w:p>
      <w:pPr>
        <w:pStyle w:val="Heading2"/>
      </w:pPr>
      <w:r>
        <w:t>B. Materials Reviewed</w:t>
      </w:r>
    </w:p>
    <w:p>
      <w:pPr>
        <w:pStyle w:val="ListBullet"/>
        <w:spacing w:after="60"/>
      </w:pPr>
      <w:r>
        <w:rPr>
          <w:b w:val="0"/>
          <w:i w:val="0"/>
        </w:rPr>
        <w:t>New Matter Intake Form NMI-2024 (J. Voss, Nov. 18, 2024)</w:t>
      </w:r>
    </w:p>
    <w:p>
      <w:pPr>
        <w:pStyle w:val="ListBullet"/>
        <w:spacing w:after="60"/>
      </w:pPr>
      <w:r>
        <w:rPr>
          <w:b w:val="0"/>
          <w:i w:val="0"/>
        </w:rPr>
        <w:t>ConflictTracker Search Results Report CT-2024-11-18-0042 (Nov. 18, 2024)</w:t>
      </w:r>
    </w:p>
    <w:p>
      <w:pPr>
        <w:pStyle w:val="ListBullet"/>
        <w:spacing w:after="60"/>
      </w:pPr>
      <w:r>
        <w:rPr>
          <w:b w:val="0"/>
          <w:i w:val="0"/>
        </w:rPr>
        <w:t>Email from A. Ruiz-Morrison to D. Pruitt, "Proposed Litigation Engagement — Conflict Clearance Inquiry" (Nov. 18, 2024)</w:t>
      </w:r>
    </w:p>
    <w:p>
      <w:pPr>
        <w:pStyle w:val="ListBullet"/>
        <w:spacing w:after="60"/>
      </w:pPr>
      <w:r>
        <w:rPr>
          <w:b w:val="0"/>
          <w:i w:val="0"/>
        </w:rPr>
        <w:t>Ridgeline Capital Partners LP engagement letter, Matter WH-2023-0088 (Jan. 15, 2023)</w:t>
      </w:r>
    </w:p>
    <w:p>
      <w:pPr>
        <w:pStyle w:val="ListBullet"/>
        <w:spacing w:after="60"/>
      </w:pPr>
      <w:r>
        <w:rPr>
          <w:b w:val="0"/>
          <w:i w:val="0"/>
        </w:rPr>
        <w:t>Lateral Hire Conflict Disclosure Form, Marcus Reilly (Sept. 12, 2016; reviewed Sept. 15, 2016)</w:t>
      </w:r>
    </w:p>
    <w:p>
      <w:pPr>
        <w:pStyle w:val="ListBullet"/>
        <w:spacing w:after="60"/>
      </w:pPr>
      <w:r>
        <w:rPr>
          <w:b w:val="0"/>
          <w:i w:val="0"/>
        </w:rPr>
        <w:t>Annual Conflict Disclosure Questionnaire, Lisa Chow (Form WH-ACD-2024, Mar. 1, 2024)</w:t>
      </w:r>
    </w:p>
    <w:p>
      <w:pPr>
        <w:pStyle w:val="ListBullet"/>
        <w:spacing w:after="60"/>
      </w:pPr>
      <w:r>
        <w:rPr>
          <w:b w:val="0"/>
          <w:i w:val="0"/>
        </w:rPr>
        <w:t>Annual Conflict Disclosure Questionnaire, Jordan Voss (FY2024, Mar. 1, 2024)</w:t>
      </w:r>
    </w:p>
    <w:p>
      <w:pPr>
        <w:pStyle w:val="ListBullet"/>
        <w:spacing w:after="60"/>
      </w:pPr>
      <w:r>
        <w:rPr>
          <w:b w:val="0"/>
          <w:i w:val="0"/>
        </w:rPr>
        <w:t>New Hire Conflict and Relationship Disclosure Questionnaire, Caleb M. Strand (Form WH-HR-201, June 1, 2023)</w:t>
      </w:r>
    </w:p>
    <w:p>
      <w:pPr>
        <w:spacing w:after="120"/>
      </w:pPr>
      <w:r>
        <w:rPr>
          <w:b w:val="0"/>
          <w:i/>
        </w:rPr>
        <w:t>We have not yet reviewed the following: the Kowalczyk Family Trust file (WH-2019-0201); the Hollcroft file (WH-2020-0412); the Ridgeline working file and any information showing which fund holds TriPoint; the 2022 Verano declined-engagement file; a disclosure questionnaire for Priya Nambiar; or any record of what Marcus Reilly discussed with Ms. Ruiz-Morrison. The conditions in Part VI cover each of these.</w:t>
      </w:r>
    </w:p>
    <w:p>
      <w:pPr>
        <w:pStyle w:val="Heading2"/>
      </w:pPr>
      <w:r>
        <w:t>C. Governing Standards</w:t>
      </w:r>
    </w:p>
    <w:p>
      <w:pPr>
        <w:spacing w:after="120"/>
      </w:pPr>
      <w:r>
        <w:rPr>
          <w:b w:val="0"/>
          <w:i w:val="0"/>
        </w:rPr>
        <w:t>The Illinois Rules of Professional Conduct of 2010 apply, principally:</w:t>
      </w:r>
    </w:p>
    <w:p>
      <w:pPr>
        <w:pStyle w:val="ListBullet"/>
        <w:spacing w:after="60"/>
      </w:pPr>
      <w:r>
        <w:rPr>
          <w:b/>
          <w:i w:val="0"/>
        </w:rPr>
        <w:t>Rule 1.7:</w:t>
      </w:r>
      <w:r>
        <w:rPr>
          <w:b w:val="0"/>
          <w:i w:val="0"/>
        </w:rPr>
        <w:t xml:space="preserve"> concurrent conflicts, covering both direct adversity and the material-limitation risk from duties to others or the lawyer's personal interests. Consent requires a reasonable belief that competent and diligent representation is possible, and informed consent from each affected client.</w:t>
      </w:r>
    </w:p>
    <w:p>
      <w:pPr>
        <w:pStyle w:val="ListBullet"/>
        <w:spacing w:after="60"/>
      </w:pPr>
      <w:r>
        <w:rPr>
          <w:b/>
          <w:i w:val="0"/>
        </w:rPr>
        <w:t>Rule 1.9:</w:t>
      </w:r>
      <w:r>
        <w:rPr>
          <w:b w:val="0"/>
          <w:i w:val="0"/>
        </w:rPr>
        <w:t xml:space="preserve"> duties to former clients. A lawyer may not act against a former client in a substantially related matter. A lawyer may not use or reveal the former client's information.</w:t>
      </w:r>
    </w:p>
    <w:p>
      <w:pPr>
        <w:pStyle w:val="ListBullet"/>
        <w:spacing w:after="60"/>
      </w:pPr>
      <w:r>
        <w:rPr>
          <w:b/>
          <w:i w:val="0"/>
        </w:rPr>
        <w:t>Rule 1.10:</w:t>
      </w:r>
      <w:r>
        <w:rPr>
          <w:b w:val="0"/>
          <w:i w:val="0"/>
        </w:rPr>
        <w:t xml:space="preserve"> imputation. Under Rule 1.10(a), personal-interest conflicts that do not create a significant risk of limiting the representation are not imputed. Under Rule 1.10(e), a lateral's Rule 1.9 conflict is not imputed if the lawyer is timely screened, receives no part of the fee, and the former client gets prompt written notice.</w:t>
      </w:r>
    </w:p>
    <w:p>
      <w:pPr>
        <w:pStyle w:val="ListBullet"/>
        <w:spacing w:after="60"/>
      </w:pPr>
      <w:r>
        <w:rPr>
          <w:b/>
          <w:i w:val="0"/>
        </w:rPr>
        <w:t>Rule 1.18:</w:t>
      </w:r>
      <w:r>
        <w:rPr>
          <w:b w:val="0"/>
          <w:i w:val="0"/>
        </w:rPr>
        <w:t xml:space="preserve"> duties to prospective clients.</w:t>
      </w:r>
    </w:p>
    <w:p>
      <w:pPr>
        <w:pStyle w:val="ListBullet"/>
        <w:spacing w:after="60"/>
      </w:pPr>
      <w:r>
        <w:rPr>
          <w:b/>
          <w:i w:val="0"/>
        </w:rPr>
        <w:t>Rule 1.6:</w:t>
      </w:r>
      <w:r>
        <w:rPr>
          <w:b w:val="0"/>
          <w:i w:val="0"/>
        </w:rPr>
        <w:t xml:space="preserve"> confidentiality.</w:t>
      </w:r>
    </w:p>
    <w:p>
      <w:pPr>
        <w:pStyle w:val="ListBullet"/>
        <w:spacing w:after="60"/>
      </w:pPr>
      <w:r>
        <w:rPr>
          <w:b/>
          <w:i w:val="0"/>
        </w:rPr>
        <w:t>Rule 1.5(c):</w:t>
      </w:r>
      <w:r>
        <w:rPr>
          <w:b w:val="0"/>
          <w:i w:val="0"/>
        </w:rPr>
        <w:t xml:space="preserve"> contingent-fee agreements must be in a writing signed by the client.</w:t>
      </w:r>
    </w:p>
    <w:p>
      <w:pPr>
        <w:pStyle w:val="ListBullet"/>
        <w:spacing w:after="60"/>
      </w:pPr>
      <w:r>
        <w:rPr>
          <w:b/>
          <w:i w:val="0"/>
        </w:rPr>
        <w:t>Rules 5.1 and 5.3:</w:t>
      </w:r>
      <w:r>
        <w:rPr>
          <w:b w:val="0"/>
          <w:i w:val="0"/>
        </w:rPr>
        <w:t xml:space="preserve"> supervisory duties, including over non-lawyer staff and screening practices.</w:t>
      </w:r>
    </w:p>
    <w:p>
      <w:pPr>
        <w:pStyle w:val="Heading1"/>
      </w:pPr>
      <w:r>
        <w:t>III. Analysis of ConflictTracker Hits</w:t>
      </w:r>
    </w:p>
    <w:p>
      <w:pPr>
        <w:pStyle w:val="Heading2"/>
      </w:pPr>
      <w:r>
        <w:t>A. Hit 3 — Marcus Reilly's Prior Representation of TriPoint (Trident Sensor Solutions LLC) — HIGH</w:t>
      </w:r>
    </w:p>
    <w:p>
      <w:pPr>
        <w:spacing w:after="120"/>
      </w:pPr>
      <w:r>
        <w:rPr>
          <w:b/>
          <w:i w:val="0"/>
        </w:rPr>
        <w:t>Facts.</w:t>
      </w:r>
      <w:r>
        <w:rPr>
          <w:b w:val="0"/>
          <w:i w:val="0"/>
        </w:rPr>
        <w:t xml:space="preserve"> At Castellan Merritt LLP (2012–2016), Reilly was lead counsel for Trident in two matters:</w:t>
      </w:r>
    </w:p>
    <w:p>
      <w:pPr>
        <w:pStyle w:val="ListBullet"/>
        <w:spacing w:after="60"/>
      </w:pPr>
      <w:r>
        <w:rPr>
          <w:b w:val="0"/>
          <w:i w:val="0"/>
        </w:rPr>
        <w:t>EEOC Charge No. 440-2013-01782, an age-discrimination defense resolved in 2014</w:t>
      </w:r>
    </w:p>
    <w:p>
      <w:pPr>
        <w:pStyle w:val="ListBullet"/>
        <w:spacing w:after="60"/>
      </w:pPr>
      <w:r>
        <w:rPr>
          <w:b w:val="0"/>
          <w:i w:val="0"/>
        </w:rPr>
        <w:t>Cook County Case No. 2015 L 004218, a wrongful-termination defense resolved in 2016</w:t>
      </w:r>
    </w:p>
    <w:p>
      <w:pPr>
        <w:spacing w:after="120"/>
      </w:pPr>
      <w:r>
        <w:rPr>
          <w:b w:val="0"/>
          <w:i w:val="0"/>
        </w:rPr>
        <w:t>He also personally advised Trident's then-CEO on restructuring the engineering division. His 2016 lateral disclosure lists what he had access to:</w:t>
      </w:r>
    </w:p>
    <w:p>
      <w:pPr>
        <w:pStyle w:val="ListBullet"/>
        <w:spacing w:after="60"/>
      </w:pPr>
      <w:r>
        <w:rPr>
          <w:b w:val="0"/>
          <w:i w:val="0"/>
        </w:rPr>
        <w:t>personnel files and performance reviews for engineering-division employees</w:t>
      </w:r>
    </w:p>
    <w:p>
      <w:pPr>
        <w:pStyle w:val="ListBullet"/>
        <w:spacing w:after="60"/>
      </w:pPr>
      <w:r>
        <w:rPr>
          <w:b w:val="0"/>
          <w:i w:val="0"/>
        </w:rPr>
        <w:t>organizational charts and reporting structures</w:t>
      </w:r>
    </w:p>
    <w:p>
      <w:pPr>
        <w:pStyle w:val="ListBullet"/>
        <w:spacing w:after="60"/>
      </w:pPr>
      <w:r>
        <w:rPr>
          <w:b w:val="0"/>
          <w:i w:val="0"/>
        </w:rPr>
        <w:t xml:space="preserve">compensation data, salary bands and </w:t>
      </w:r>
      <w:r>
        <w:rPr>
          <w:b/>
          <w:i w:val="0"/>
        </w:rPr>
        <w:t>retention incentives</w:t>
      </w:r>
    </w:p>
    <w:p>
      <w:pPr>
        <w:pStyle w:val="ListBullet"/>
        <w:spacing w:after="60"/>
      </w:pPr>
      <w:r>
        <w:rPr>
          <w:b/>
          <w:i w:val="0"/>
        </w:rPr>
        <w:t>compensation and retention strategies for key engineering personnel</w:t>
      </w:r>
    </w:p>
    <w:p>
      <w:pPr>
        <w:pStyle w:val="ListBullet"/>
        <w:spacing w:after="60"/>
      </w:pPr>
      <w:r>
        <w:rPr>
          <w:b/>
          <w:i w:val="0"/>
        </w:rPr>
        <w:t>strategic plans for the division's technical direction</w:t>
      </w:r>
    </w:p>
    <w:p>
      <w:pPr>
        <w:pStyle w:val="ListBullet"/>
        <w:spacing w:after="60"/>
      </w:pPr>
      <w:r>
        <w:rPr>
          <w:b/>
          <w:i w:val="0"/>
        </w:rPr>
        <w:t>internal assessments of engineering personnel's capabilities and roles</w:t>
      </w:r>
    </w:p>
    <w:p>
      <w:pPr>
        <w:spacing w:after="120"/>
      </w:pPr>
      <w:r>
        <w:rPr>
          <w:b w:val="0"/>
          <w:i w:val="0"/>
        </w:rPr>
        <w:t>Reilly himself recommended in 2016 that any engagement adverse to this entity be reviewed first by the General Counsel, noting possible issues under Rules 1.9 and 1.10.</w:t>
      </w:r>
    </w:p>
    <w:p>
      <w:pPr>
        <w:spacing w:after="120"/>
      </w:pPr>
      <w:r>
        <w:rPr>
          <w:b/>
          <w:i w:val="0"/>
        </w:rPr>
        <w:t>Former-client status and identity.</w:t>
      </w:r>
      <w:r>
        <w:rPr>
          <w:b w:val="0"/>
          <w:i w:val="0"/>
        </w:rPr>
        <w:t xml:space="preserve"> The Trident attorney-client relationship ended when Reilly left Castellan Merritt, so TriPoint is a former client. The March 2017 rebrand does not change that: TriPoint is the same entity, at the same Schaumburg address. ConflictTracker correctly matched the alias.</w:t>
      </w:r>
    </w:p>
    <w:p>
      <w:pPr>
        <w:spacing w:after="120"/>
      </w:pPr>
      <w:r>
        <w:rPr>
          <w:b/>
          <w:i w:val="0"/>
        </w:rPr>
        <w:t>Substantial relationship (Rule 1.9(a)).</w:t>
      </w:r>
      <w:r>
        <w:rPr>
          <w:b w:val="0"/>
          <w:i w:val="0"/>
        </w:rPr>
        <w:t xml:space="preserve"> Matters are substantially related if they involve the same transaction or legal dispute, or if there is a substantial risk that confidential information normally obtained in the earlier matter would materially advance the new client's position (Rule 1.9, cmt. [3]). The legal theories differ: employment defense then, trade secrets now. But the factual overlap is significant:</w:t>
      </w:r>
    </w:p>
    <w:p>
      <w:pPr>
        <w:pStyle w:val="ListBullet"/>
        <w:spacing w:after="60"/>
      </w:pPr>
      <w:r>
        <w:rPr>
          <w:b w:val="0"/>
          <w:i w:val="0"/>
        </w:rPr>
        <w:t>The proposed case focuses on TriPoint's engineering division. The tortious-interference claim turns on how TriPoint recruits, pays and deploys engineering talent, including whether it targeted Kline and Torres for their Project Helix knowledge. Reilly's knowledge of TriPoint's engineering recruitment, retention and compensation strategy, and of its technical-direction plans, maps directly onto those issues. It would also inform deposition strategy, discovery requests and the TRO record.</w:t>
      </w:r>
    </w:p>
    <w:p>
      <w:pPr>
        <w:pStyle w:val="ListBullet"/>
        <w:spacing w:after="60"/>
      </w:pPr>
      <w:r>
        <w:rPr>
          <w:b w:val="0"/>
          <w:i w:val="0"/>
        </w:rPr>
        <w:t>Reilly's knowledge came from strategic advisory work for the CEO, not just litigation files. Comment [3] recognizes that a lawyer who has learned a client's internal "playbook" may be conflicted in later matters even where the claims differ.</w:t>
      </w:r>
    </w:p>
    <w:p>
      <w:pPr>
        <w:pStyle w:val="ListBullet"/>
        <w:spacing w:after="60"/>
      </w:pPr>
      <w:r>
        <w:rPr>
          <w:b/>
          <w:i w:val="0"/>
        </w:rPr>
        <w:t>Mitigating factors:</w:t>
      </w:r>
      <w:r>
        <w:rPr>
          <w:b w:val="0"/>
          <w:i w:val="0"/>
        </w:rPr>
        <w:t xml:space="preserve"> the information is 8–10 years old; Kline and Torres did not join until 2024; Ridgeline has owned TriPoint since 2021; and Reilly kept no files. Staleness can reduce materiality (cmt. [3]). But strategic and cultural knowledge of the same division, gained from the CEO, does not become obsolete in the way ordinary personnel data does. Given the injunction stakes and a certain disqualification motion from TriPoint, we should not rely on staleness.</w:t>
      </w:r>
    </w:p>
    <w:p>
      <w:pPr>
        <w:spacing w:after="120"/>
      </w:pPr>
      <w:r>
        <w:rPr>
          <w:b/>
          <w:i w:val="0"/>
        </w:rPr>
        <w:t>Conclusion.</w:t>
      </w:r>
      <w:r>
        <w:rPr>
          <w:b w:val="0"/>
          <w:i w:val="0"/>
        </w:rPr>
        <w:t xml:space="preserve"> Reilly is personally disqualified from representing Verano against TriPoint unless TriPoint gives informed written consent. Consent is unrealistic and should not be sought, because asking would reveal the engagement before filing. Reilly may not serve as Lead or in any role.</w:t>
      </w:r>
    </w:p>
    <w:p>
      <w:pPr>
        <w:spacing w:after="120"/>
      </w:pPr>
      <w:r>
        <w:rPr>
          <w:b/>
          <w:i w:val="0"/>
        </w:rPr>
        <w:t>Imputation (Rule 1.10).</w:t>
      </w:r>
      <w:r>
        <w:rPr>
          <w:b w:val="0"/>
          <w:i w:val="0"/>
        </w:rPr>
        <w:t xml:space="preserve"> Reilly's disqualification arises from his association with a prior firm, so it can be kept from spreading to the whole Firm under Illinois Rule 1.10(e) if the Firm:</w:t>
      </w:r>
    </w:p>
    <w:p>
      <w:pPr>
        <w:pStyle w:val="ListNumber"/>
        <w:spacing w:after="60"/>
      </w:pPr>
      <w:r>
        <w:rPr>
          <w:b w:val="0"/>
          <w:i w:val="0"/>
        </w:rPr>
        <w:t>screens Reilly in time from any participation in the matter;</w:t>
      </w:r>
    </w:p>
    <w:p>
      <w:pPr>
        <w:pStyle w:val="ListNumber"/>
        <w:spacing w:after="60"/>
      </w:pPr>
      <w:r>
        <w:rPr>
          <w:b w:val="0"/>
          <w:i w:val="0"/>
        </w:rPr>
        <w:t>gives him no part of the fee from it; and</w:t>
      </w:r>
    </w:p>
    <w:p>
      <w:pPr>
        <w:pStyle w:val="ListNumber"/>
        <w:spacing w:after="60"/>
      </w:pPr>
      <w:r>
        <w:rPr>
          <w:b w:val="0"/>
          <w:i w:val="0"/>
        </w:rPr>
        <w:t>promptly gives TriPoint written notice so it can confirm compliance.</w:t>
      </w:r>
    </w:p>
    <w:p>
      <w:pPr>
        <w:spacing w:after="120"/>
      </w:pPr>
      <w:r>
        <w:rPr>
          <w:b/>
          <w:i w:val="0"/>
        </w:rPr>
        <w:t>Timeliness concerns.</w:t>
      </w:r>
      <w:r>
        <w:rPr>
          <w:b w:val="0"/>
          <w:i w:val="0"/>
        </w:rPr>
        <w:t xml:space="preserve"> Ms. Ruiz-Morrison says she has "spoken informally" with Reilly, and he is listed as Lead on the intake form. Before the screen is certified, Reilly should confirm in writing:</w:t>
      </w:r>
    </w:p>
    <w:p>
      <w:pPr>
        <w:pStyle w:val="ListBullet"/>
        <w:spacing w:after="60"/>
      </w:pPr>
      <w:r>
        <w:rPr>
          <w:b w:val="0"/>
          <w:i w:val="0"/>
        </w:rPr>
        <w:t>what Verano information he received;</w:t>
      </w:r>
    </w:p>
    <w:p>
      <w:pPr>
        <w:pStyle w:val="ListBullet"/>
        <w:spacing w:after="60"/>
      </w:pPr>
      <w:r>
        <w:rPr>
          <w:b w:val="0"/>
          <w:i w:val="0"/>
        </w:rPr>
        <w:t>whether he shared any TriPoint or Trident information with anyone at the Firm, including Voss, who prepared the intake form; and</w:t>
      </w:r>
    </w:p>
    <w:p>
      <w:pPr>
        <w:pStyle w:val="ListBullet"/>
        <w:spacing w:after="60"/>
      </w:pPr>
      <w:r>
        <w:rPr>
          <w:b w:val="0"/>
          <w:i w:val="0"/>
        </w:rPr>
        <w:t>that he has done no work on the matter.</w:t>
      </w:r>
    </w:p>
    <w:p>
      <w:pPr>
        <w:spacing w:after="120"/>
      </w:pPr>
      <w:r>
        <w:rPr>
          <w:b w:val="0"/>
          <w:i w:val="0"/>
        </w:rPr>
        <w:t>If Reilly has already passed TriPoint confidences to the team, a screen may not cure the problem. The Ethics Committee would then need to consider whether the Firm as a whole must decline.</w:t>
      </w:r>
    </w:p>
    <w:p>
      <w:pPr>
        <w:spacing w:after="120"/>
      </w:pPr>
      <w:r>
        <w:rPr>
          <w:b/>
          <w:i w:val="0"/>
        </w:rPr>
        <w:t>Notice timing.</w:t>
      </w:r>
      <w:r>
        <w:rPr>
          <w:b w:val="0"/>
          <w:i w:val="0"/>
        </w:rPr>
        <w:t xml:space="preserve"> Rule 1.10(e) notice to TriPoint must be "prompt". But notice before the TRO filing would tip off the adverse party and would disclose Verano's confidential plans without Verano's consent. We recommend the following:</w:t>
      </w:r>
    </w:p>
    <w:p>
      <w:pPr>
        <w:pStyle w:val="ListBullet"/>
        <w:spacing w:after="60"/>
      </w:pPr>
      <w:r>
        <w:rPr>
          <w:b w:val="0"/>
          <w:i w:val="0"/>
        </w:rPr>
        <w:t>Tell Verano about this requirement now and get its informed consent to the notice.</w:t>
      </w:r>
    </w:p>
    <w:p>
      <w:pPr>
        <w:pStyle w:val="ListBullet"/>
        <w:spacing w:after="60"/>
      </w:pPr>
      <w:r>
        <w:rPr>
          <w:b w:val="0"/>
          <w:i w:val="0"/>
        </w:rPr>
        <w:t>Put the screen in place immediately and document it.</w:t>
      </w:r>
    </w:p>
    <w:p>
      <w:pPr>
        <w:pStyle w:val="ListBullet"/>
        <w:spacing w:after="60"/>
      </w:pPr>
      <w:r>
        <w:rPr>
          <w:b w:val="0"/>
          <w:i w:val="0"/>
        </w:rPr>
        <w:t>Send written notice to TriPoint's GC, Nathan Siddoway, at the same time as filing, or immediately afterwards.</w:t>
      </w:r>
    </w:p>
    <w:p>
      <w:pPr>
        <w:pStyle w:val="ListBullet"/>
        <w:spacing w:after="60"/>
      </w:pPr>
      <w:r>
        <w:rPr>
          <w:b w:val="0"/>
          <w:i w:val="0"/>
        </w:rPr>
        <w:t>Document the reason for that timing in the conflicts file.</w:t>
      </w:r>
    </w:p>
    <w:p>
      <w:pPr>
        <w:spacing w:after="120"/>
      </w:pPr>
      <w:r>
        <w:rPr>
          <w:b/>
          <w:i w:val="0"/>
        </w:rPr>
        <w:t>Client communication.</w:t>
      </w:r>
      <w:r>
        <w:rPr>
          <w:b w:val="0"/>
          <w:i w:val="0"/>
        </w:rPr>
        <w:t xml:space="preserve"> Verano asked for Reilly by name. Under Rule 1.4, the Firm must explain that Reilly cannot participate. It must do so without revealing TriPoint's confidential information: saying only that he has a prior-representation conflict is enough.</w:t>
      </w:r>
    </w:p>
    <w:p>
      <w:pPr>
        <w:pStyle w:val="Heading2"/>
      </w:pPr>
      <w:r>
        <w:t>B. Hit 2 — Ridgeline Capital Partners LP (Current Client; 72% Owner of TriPoint) — HIGH</w:t>
      </w:r>
    </w:p>
    <w:p>
      <w:pPr>
        <w:spacing w:after="120"/>
      </w:pPr>
      <w:r>
        <w:rPr>
          <w:b/>
          <w:i w:val="0"/>
        </w:rPr>
        <w:t>Facts.</w:t>
      </w:r>
      <w:r>
        <w:rPr>
          <w:b w:val="0"/>
          <w:i w:val="0"/>
        </w:rPr>
        <w:t xml:space="preserve"> The Firm currently represents Ridgeline in Matter WH-2023-0088, which is active and in good standing:</w:t>
      </w:r>
    </w:p>
    <w:p>
      <w:pPr>
        <w:pStyle w:val="ListBullet"/>
        <w:spacing w:after="60"/>
      </w:pPr>
      <w:r>
        <w:rPr>
          <w:b w:val="0"/>
          <w:i w:val="0"/>
        </w:rPr>
        <w:t>Scope: SEC regulatory advisory services for Ridgeline Fund III LP only. The engagement letter expressly excludes litigation and services for any other fund, portfolio company or affiliate (§1).</w:t>
      </w:r>
    </w:p>
    <w:p>
      <w:pPr>
        <w:pStyle w:val="ListBullet"/>
        <w:spacing w:after="60"/>
      </w:pPr>
      <w:r>
        <w:rPr>
          <w:b w:val="0"/>
          <w:i w:val="0"/>
        </w:rPr>
        <w:t>Staffing: Partner Samuel Ottinger.</w:t>
      </w:r>
    </w:p>
    <w:p>
      <w:pPr>
        <w:pStyle w:val="ListBullet"/>
        <w:spacing w:after="60"/>
      </w:pPr>
      <w:r>
        <w:rPr>
          <w:b w:val="0"/>
          <w:i w:val="0"/>
        </w:rPr>
        <w:t>Billing to date: 618 hours; $387,500 in fees; invoices current.</w:t>
      </w:r>
    </w:p>
    <w:p>
      <w:pPr>
        <w:spacing w:after="120"/>
      </w:pPr>
      <w:r>
        <w:rPr>
          <w:b w:val="0"/>
          <w:i w:val="0"/>
        </w:rPr>
        <w:t>Ridgeline acquired its 72% stake in TriPoint in March 2021 and manages about $3.2B across three funds. Verano's claims do not name Ridgeline. However, the $42M damages claim and an injunction that could stop a TriPoint product launch would directly affect the value of Ridgeline's controlling investment.</w:t>
      </w:r>
    </w:p>
    <w:p>
      <w:pPr>
        <w:spacing w:after="120"/>
      </w:pPr>
      <w:r>
        <w:rPr>
          <w:b/>
          <w:i w:val="0"/>
        </w:rPr>
        <w:t>Direct adversity (Rule 1.7(a)(1)).</w:t>
      </w:r>
      <w:r>
        <w:rPr>
          <w:b w:val="0"/>
          <w:i w:val="0"/>
        </w:rPr>
        <w:t xml:space="preserve"> Suing a client's affiliate is not automatically direct adversity to the client (Rule 1.7, cmt. [34]; ABA Formal Op. 95-390). The affiliate should be treated as the client if any of the following applies:</w:t>
      </w:r>
    </w:p>
    <w:p>
      <w:pPr>
        <w:pStyle w:val="ListBullet"/>
        <w:spacing w:after="60"/>
      </w:pPr>
      <w:r>
        <w:rPr>
          <w:b w:val="0"/>
          <w:i w:val="0"/>
        </w:rPr>
        <w:t>the circumstances suggest the lawyer's client considers the affiliate part of the client;</w:t>
      </w:r>
    </w:p>
    <w:p>
      <w:pPr>
        <w:pStyle w:val="ListBullet"/>
        <w:spacing w:after="60"/>
      </w:pPr>
      <w:r>
        <w:rPr>
          <w:b w:val="0"/>
          <w:i w:val="0"/>
        </w:rPr>
        <w:t>the two share management, legal functions or control so closely that they are effectively one;</w:t>
      </w:r>
    </w:p>
    <w:p>
      <w:pPr>
        <w:pStyle w:val="ListBullet"/>
        <w:spacing w:after="60"/>
      </w:pPr>
      <w:r>
        <w:rPr>
          <w:b w:val="0"/>
          <w:i w:val="0"/>
        </w:rPr>
        <w:t>the lawyer's work for the client gave access to confidential information about the affiliate; or</w:t>
      </w:r>
    </w:p>
    <w:p>
      <w:pPr>
        <w:pStyle w:val="ListBullet"/>
        <w:spacing w:after="60"/>
      </w:pPr>
      <w:r>
        <w:rPr>
          <w:b w:val="0"/>
          <w:i w:val="0"/>
        </w:rPr>
        <w:t>the client reasonably expects the lawyer to avoid adversity to the affiliate.</w:t>
      </w:r>
    </w:p>
    <w:p>
      <w:pPr>
        <w:spacing w:after="120"/>
      </w:pPr>
      <w:r>
        <w:rPr>
          <w:b w:val="0"/>
          <w:i w:val="0"/>
        </w:rPr>
        <w:t>Relevant factors here:</w:t>
      </w:r>
    </w:p>
    <w:p>
      <w:pPr>
        <w:pStyle w:val="ListBullet"/>
        <w:spacing w:after="60"/>
      </w:pPr>
      <w:r>
        <w:rPr>
          <w:b/>
          <w:i w:val="0"/>
        </w:rPr>
        <w:t>Against direct adversity:</w:t>
      </w:r>
      <w:r>
        <w:rPr>
          <w:b w:val="0"/>
          <w:i w:val="0"/>
        </w:rPr>
        <w:t xml:space="preserve"> Ridgeline owns 72%, not 100%. TriPoint has its own management, CEO and GC. The engagement is narrow, limited to regulatory compliance and expressly excluding portfolio companies. Ridgeline is a sophisticated client with counsel.</w:t>
      </w:r>
    </w:p>
    <w:p>
      <w:pPr>
        <w:pStyle w:val="ListBullet"/>
        <w:spacing w:after="60"/>
      </w:pPr>
      <w:r>
        <w:rPr>
          <w:b/>
          <w:i w:val="0"/>
        </w:rPr>
        <w:t>For direct adversity, or at least unresolved:</w:t>
      </w:r>
      <w:r>
        <w:rPr>
          <w:b w:val="0"/>
          <w:i w:val="0"/>
        </w:rPr>
        <w:t xml:space="preserve"> Ridgeline controls TriPoint. </w:t>
      </w:r>
      <w:r>
        <w:rPr>
          <w:b/>
          <w:i w:val="0"/>
        </w:rPr>
        <w:t>We do not yet know which Ridgeline fund holds the TriPoint stake.</w:t>
      </w:r>
      <w:r>
        <w:rPr>
          <w:b w:val="0"/>
          <w:i w:val="0"/>
        </w:rPr>
        <w:t xml:space="preserve"> If it is Fund III, the fund the Firm advises, then the Firm's SEC reporting work for Fund III (such as Form PF or ADV disclosures, portfolio valuations and investor reporting) may have exposed it to non-public TriPoint financial, valuation or business information. The engagement letter's confidentiality clause (§4) expressly covers information about Ridgeline's "portfolio companies". Litigation may also produce discovery aimed at Ridgeline, such as board-level communications about recruiting Kline and Torres or about Project Helix. Adding Ridgeline as a defendant, for example on an alter-ego or conspiracy theory, would be directly adverse to a current client and is prohibited without consent.</w:t>
      </w:r>
    </w:p>
    <w:p>
      <w:pPr>
        <w:spacing w:after="120"/>
      </w:pPr>
      <w:r>
        <w:rPr>
          <w:b/>
          <w:i w:val="0"/>
        </w:rPr>
        <w:t>Material limitation (Rule 1.7(a)(2)).</w:t>
      </w:r>
      <w:r>
        <w:rPr>
          <w:b w:val="0"/>
          <w:i w:val="0"/>
        </w:rPr>
        <w:t xml:space="preserve"> Even without direct adversity, there is a significant risk that the Firm's relationship with Ridgeline could limit its representation of Verano. Examples:</w:t>
      </w:r>
    </w:p>
    <w:p>
      <w:pPr>
        <w:pStyle w:val="ListBullet"/>
        <w:spacing w:after="60"/>
      </w:pPr>
      <w:r>
        <w:rPr>
          <w:b w:val="0"/>
          <w:i w:val="0"/>
        </w:rPr>
        <w:t>reluctance to seek discovery from Ridgeline or Helen Strauss;</w:t>
      </w:r>
    </w:p>
    <w:p>
      <w:pPr>
        <w:pStyle w:val="ListBullet"/>
        <w:spacing w:after="60"/>
      </w:pPr>
      <w:r>
        <w:rPr>
          <w:b w:val="0"/>
          <w:i w:val="0"/>
        </w:rPr>
        <w:t>reluctance to name Ridgeline as a defendant or pursue it as a source of recovery;</w:t>
      </w:r>
    </w:p>
    <w:p>
      <w:pPr>
        <w:pStyle w:val="ListBullet"/>
        <w:spacing w:after="60"/>
      </w:pPr>
      <w:r>
        <w:rPr>
          <w:b w:val="0"/>
          <w:i w:val="0"/>
        </w:rPr>
        <w:t>pressure to soften settlement posture; and</w:t>
      </w:r>
    </w:p>
    <w:p>
      <w:pPr>
        <w:pStyle w:val="ListBullet"/>
        <w:spacing w:after="60"/>
      </w:pPr>
      <w:r>
        <w:rPr>
          <w:b w:val="0"/>
          <w:i w:val="0"/>
        </w:rPr>
        <w:t>Ridgeline's value as a client, at $625/hour.</w:t>
      </w:r>
    </w:p>
    <w:p>
      <w:pPr>
        <w:spacing w:after="120"/>
      </w:pPr>
      <w:r>
        <w:rPr>
          <w:b w:val="0"/>
          <w:i w:val="0"/>
        </w:rPr>
        <w:t>The "hot potato" doctrine also means the Firm cannot drop Ridgeline to take Verano.</w:t>
      </w:r>
    </w:p>
    <w:p>
      <w:pPr>
        <w:spacing w:after="120"/>
      </w:pPr>
      <w:r>
        <w:rPr>
          <w:b/>
          <w:i w:val="0"/>
        </w:rPr>
        <w:t>Advance waiver (Engagement Letter §7).</w:t>
      </w:r>
      <w:r>
        <w:rPr>
          <w:b w:val="0"/>
          <w:i w:val="0"/>
        </w:rPr>
        <w:t xml:space="preserve"> Section 7.2 lets the Firm act adverse to Ridgeline "or its affiliates" in matters that are not substantially related and where no Ridgeline confidential information is used. But:</w:t>
      </w:r>
    </w:p>
    <w:p>
      <w:pPr>
        <w:pStyle w:val="ListBullet"/>
        <w:spacing w:after="60"/>
      </w:pPr>
      <w:r>
        <w:rPr>
          <w:b w:val="0"/>
          <w:i w:val="0"/>
        </w:rPr>
        <w:t xml:space="preserve">Under </w:t>
      </w:r>
      <w:r>
        <w:rPr>
          <w:b/>
          <w:i w:val="0"/>
        </w:rPr>
        <w:t>§7.3(b)</w:t>
      </w:r>
      <w:r>
        <w:rPr>
          <w:b w:val="0"/>
          <w:i w:val="0"/>
        </w:rPr>
        <w:t>, the waiver does not apply if the Firm has received Confidential Information (§4, which includes portfolio-company information) that is material to the adverse matter. Whether that applies turns on the unresolved Fund III question.</w:t>
      </w:r>
    </w:p>
    <w:p>
      <w:pPr>
        <w:pStyle w:val="ListBullet"/>
        <w:spacing w:after="60"/>
      </w:pPr>
      <w:r>
        <w:rPr>
          <w:b w:val="0"/>
          <w:i w:val="0"/>
        </w:rPr>
        <w:t xml:space="preserve">The waiver is general and open-ended and </w:t>
      </w:r>
      <w:r>
        <w:rPr>
          <w:b/>
          <w:i w:val="0"/>
        </w:rPr>
        <w:t>does not specifically mention litigation against portfolio companies</w:t>
      </w:r>
      <w:r>
        <w:rPr>
          <w:b w:val="0"/>
          <w:i w:val="0"/>
        </w:rPr>
        <w:t xml:space="preserve"> (as ConflictTracker also notes). Under Rule 1.7, cmt. [22], a general waiver's effectiveness depends on how well the client reasonably understood the risks. Ridgeline's sophistication helps, but a $42M suit seeking to enjoin a 72%-owned portfolio company's product line is the kind of material adversity a court may find the client did not specifically anticipate.</w:t>
      </w:r>
    </w:p>
    <w:p>
      <w:pPr>
        <w:pStyle w:val="ListBullet"/>
        <w:spacing w:after="60"/>
      </w:pPr>
      <w:r>
        <w:rPr>
          <w:b/>
          <w:i w:val="0"/>
        </w:rPr>
        <w:t>§7.4 requires the Firm to notify Ridgeline promptly</w:t>
      </w:r>
      <w:r>
        <w:rPr>
          <w:b w:val="0"/>
          <w:i w:val="0"/>
        </w:rPr>
        <w:t xml:space="preserve"> of any representation within the waiver's scope, so notice is required even if the waiver applies.</w:t>
      </w:r>
    </w:p>
    <w:p>
      <w:pPr>
        <w:pStyle w:val="ListBullet"/>
        <w:spacing w:after="60"/>
      </w:pPr>
      <w:r>
        <w:rPr>
          <w:b w:val="0"/>
          <w:i w:val="0"/>
        </w:rPr>
        <w:t>§7.3(a), advocating directly contrary to Ridgeline in a matter where the Firm actively represents Ridgeline, does not appear to apply because the Firm does not represent Ridgeline in any litigation.</w:t>
      </w:r>
    </w:p>
    <w:p>
      <w:pPr>
        <w:spacing w:after="120"/>
      </w:pPr>
      <w:r>
        <w:rPr>
          <w:b/>
          <w:i w:val="0"/>
        </w:rPr>
        <w:t>Recommendation.</w:t>
      </w:r>
      <w:r>
        <w:rPr>
          <w:b w:val="0"/>
          <w:i w:val="0"/>
        </w:rPr>
        <w:t xml:space="preserve"> Take these steps before clearance:</w:t>
      </w:r>
    </w:p>
    <w:p>
      <w:pPr>
        <w:pStyle w:val="ListNumber"/>
        <w:spacing w:after="60"/>
      </w:pPr>
      <w:r>
        <w:rPr>
          <w:b w:val="0"/>
          <w:i w:val="0"/>
        </w:rPr>
        <w:t>With Ottinger, and without revealing Verano's identity or plans until Verano consents, find out which Ridgeline vehicle holds TriPoint and what TriPoint information, if any, the Firm has received.</w:t>
      </w:r>
    </w:p>
    <w:p>
      <w:pPr>
        <w:pStyle w:val="ListNumber"/>
        <w:spacing w:after="60"/>
      </w:pPr>
      <w:r>
        <w:rPr>
          <w:b w:val="0"/>
          <w:i w:val="0"/>
        </w:rPr>
        <w:t>If the Firm holds material TriPoint or Ridgeline confidential information, the waiver does not apply. The Firm should decline unless Ridgeline gives specific informed consent, which is unlikely given the stakes.</w:t>
      </w:r>
    </w:p>
    <w:p>
      <w:pPr>
        <w:pStyle w:val="ListNumber"/>
        <w:spacing w:after="60"/>
      </w:pPr>
      <w:r>
        <w:rPr>
          <w:b w:val="0"/>
          <w:i w:val="0"/>
        </w:rPr>
        <w:t>If the Firm holds no such information, the prudent course is still to get Ridgeline's specific informed written consent. At a minimum, give §7.4 notice. Either way, disclosure to Ridgeline, TriPoint's controlling owner, requires Verano's prior informed consent (Rule 1.6), and timing should be handled as with the Rule 1.10(e) notice so the TRO is not compromised. If Ridgeline objects, the matter goes back to the Ethics Committee.</w:t>
      </w:r>
    </w:p>
    <w:p>
      <w:pPr>
        <w:pStyle w:val="ListNumber"/>
        <w:spacing w:after="60"/>
      </w:pPr>
      <w:r>
        <w:rPr>
          <w:b w:val="0"/>
          <w:i w:val="0"/>
        </w:rPr>
        <w:t>Get Verano's informed written consent under Rule 1.7(b) to the Ridgeline relationship. This must include the specific limitation that the Firm will not assert claims against Ridgeline or its funds. Verano's email says its claims are "directed at TriPoint ... not at Ridgeline directly", which supports but does not replace written consent.</w:t>
      </w:r>
    </w:p>
    <w:p>
      <w:pPr>
        <w:pStyle w:val="ListNumber"/>
        <w:spacing w:after="60"/>
      </w:pPr>
      <w:r>
        <w:rPr>
          <w:b w:val="0"/>
          <w:i w:val="0"/>
        </w:rPr>
        <w:t>Put an ethical wall between the Ridgeline team (Ottinger and anyone working on WH-2023-0088) and the Verano team, with ConflictTracker and document-management access restrictions.</w:t>
      </w:r>
    </w:p>
    <w:p>
      <w:pPr>
        <w:pStyle w:val="ListNumber"/>
        <w:spacing w:after="60"/>
      </w:pPr>
      <w:r>
        <w:rPr>
          <w:b w:val="0"/>
          <w:i w:val="0"/>
        </w:rPr>
        <w:t>Brief Ottinger on the relationship-management implications.</w:t>
      </w:r>
    </w:p>
    <w:p>
      <w:pPr>
        <w:pStyle w:val="Heading2"/>
      </w:pPr>
      <w:r>
        <w:t>C. Hit 1 — Hollcroft Ventures Sensor Technologies, Inc. (WH-2020-0412; Former Client) — LOW</w:t>
      </w:r>
    </w:p>
    <w:p>
      <w:pPr>
        <w:spacing w:after="120"/>
      </w:pPr>
      <w:r>
        <w:rPr>
          <w:b w:val="0"/>
          <w:i w:val="0"/>
        </w:rPr>
        <w:t>The Firm represented Hollcroft against Alderman Precision Machining Corp. in a breach-of-contract dispute over defective titanium-alloy sensor housings. The matter settled for $1.75M, and the file closed on August 22, 2021. Chow and Voss staffed it. Hollcroft was spun off from Verano on September 1, 2019, before the engagement began, so it was an independent client throughout. Hollcroft is not a party, and the proposed matter is not adverse to it. No Rule 1.9(a) conflict arises.</w:t>
      </w:r>
    </w:p>
    <w:p>
      <w:pPr>
        <w:spacing w:after="120"/>
      </w:pPr>
      <w:r>
        <w:rPr>
          <w:b w:val="0"/>
          <w:i w:val="0"/>
        </w:rPr>
        <w:t>Points to note:</w:t>
      </w:r>
    </w:p>
    <w:p>
      <w:pPr>
        <w:pStyle w:val="ListBullet"/>
        <w:spacing w:after="60"/>
      </w:pPr>
      <w:r>
        <w:rPr>
          <w:b/>
          <w:i w:val="0"/>
        </w:rPr>
        <w:t>Verano cannot waive Hollcroft's protections.</w:t>
      </w:r>
      <w:r>
        <w:rPr>
          <w:b w:val="0"/>
          <w:i w:val="0"/>
        </w:rPr>
        <w:t xml:space="preserve"> Ms. Ruiz-Morrison offers "any waivers or consents that may be needed" and sees the Firm's Hollcroft experience "as an asset". Hollcroft's confidential information, such as supply-chain data, sensor-assembly specifications and settlement terms, belongs to Hollcroft. Under Rule 1.9(c) it may not be used for Verano's benefit, and only Hollcroft could waive that. The team must be told this, and the Firm should correct Verano's understanding tactfully.</w:t>
      </w:r>
    </w:p>
    <w:p>
      <w:pPr>
        <w:pStyle w:val="ListBullet"/>
        <w:spacing w:after="60"/>
      </w:pPr>
      <w:r>
        <w:rPr>
          <w:b/>
          <w:i w:val="0"/>
        </w:rPr>
        <w:t>Alderman</w:t>
      </w:r>
      <w:r>
        <w:rPr>
          <w:b w:val="0"/>
          <w:i w:val="0"/>
        </w:rPr>
        <w:t xml:space="preserve"> is now a TriPoint supplier. It could become a third-party subpoena target or witness about TriPoint's supply chain. Alderman was an adverse party, not a client, so the Firm owes it no duty of loyalty. However, the team must not use Hollcroft settlement information about Alderman.</w:t>
      </w:r>
    </w:p>
    <w:p>
      <w:pPr>
        <w:pStyle w:val="ListBullet"/>
        <w:spacing w:after="60"/>
      </w:pPr>
      <w:r>
        <w:rPr>
          <w:b/>
          <w:i w:val="0"/>
        </w:rPr>
        <w:t>Confirm that Hollcroft has no interest in Project Helix.</w:t>
      </w:r>
      <w:r>
        <w:rPr>
          <w:b w:val="0"/>
          <w:i w:val="0"/>
        </w:rPr>
        <w:t xml:space="preserve"> For example, confirm no Helix technology or personnel came from the pre-spin-off Hollcroft business and that Hollcroft has no licence or ownership claim to it. If Hollcroft does have an interest, re-analyze.</w:t>
      </w:r>
    </w:p>
    <w:p>
      <w:pPr>
        <w:pStyle w:val="ListBullet"/>
        <w:spacing w:after="60"/>
      </w:pPr>
      <w:r>
        <w:rPr>
          <w:b/>
          <w:i w:val="0"/>
        </w:rPr>
        <w:t>Data-integrity discrepancy:</w:t>
      </w:r>
      <w:r>
        <w:rPr>
          <w:b w:val="0"/>
          <w:i w:val="0"/>
        </w:rPr>
        <w:t xml:space="preserve"> the Hit 1 heading of the ConflictTracker report reads "GREYLOCK SENSOR TECHNOLOGIES, INC.", but every field underneath identifies Hollcroft Ventures Sensor Technologies, Inc. The Conflicts Administrator should check whether "Greylock" is a former name, alias or related entity. If it is, run it as a separate search term. If it is not, correct the record.</w:t>
      </w:r>
    </w:p>
    <w:p>
      <w:pPr>
        <w:pStyle w:val="Heading2"/>
      </w:pPr>
      <w:r>
        <w:t>D. Hit 4 — Kowalczyk Family Trust (WH-2019-0201; Former Client) — LOW to MODERATE, Fact-Dependent</w:t>
      </w:r>
    </w:p>
    <w:p>
      <w:pPr>
        <w:spacing w:after="120"/>
      </w:pPr>
      <w:r>
        <w:rPr>
          <w:b w:val="0"/>
          <w:i w:val="0"/>
        </w:rPr>
        <w:t>Sandra K. Whitaker represented the Kowalczyk Family Trust, through its trustee First Heritage Bank &amp; Trust, in a DuPage County will contest (March 5 – November 30, 2019). David Kowalczyk, now TriPoint's CEO, is one of three beneficiaries. He was not a client, but he gave a sworn affidavit supporting the trust and may have communicated with Firm attorneys.</w:t>
      </w:r>
    </w:p>
    <w:p>
      <w:pPr>
        <w:pStyle w:val="ListBullet"/>
        <w:spacing w:after="60"/>
      </w:pPr>
      <w:r>
        <w:rPr>
          <w:b/>
          <w:i w:val="0"/>
        </w:rPr>
        <w:t>Former client is the trust.</w:t>
      </w:r>
      <w:r>
        <w:rPr>
          <w:b w:val="0"/>
          <w:i w:val="0"/>
        </w:rPr>
        <w:t xml:space="preserve"> A will contest is not substantially related to a 2024 trade-secret dispute, and TriPoint was not involved. No Rule 1.9(a) conflict with the trust.</w:t>
      </w:r>
    </w:p>
    <w:p>
      <w:pPr>
        <w:pStyle w:val="ListBullet"/>
        <w:spacing w:after="60"/>
      </w:pPr>
      <w:r>
        <w:rPr>
          <w:b/>
          <w:i w:val="0"/>
        </w:rPr>
        <w:t>Was Kowalczyk himself a client?</w:t>
      </w:r>
      <w:r>
        <w:rPr>
          <w:b w:val="0"/>
          <w:i w:val="0"/>
        </w:rPr>
        <w:t xml:space="preserve"> If he sought or received individual legal advice, he could be a former client or a Rule 1.18 prospective client. For example, he may have shared personal financial information or asked about his own exposure. Even then, a will contest is unlikely to be substantially related. Still, as TriPoint's CEO, he is a likely deponent on the recruitment of Kline and Torres, so what the Firm learned about him matters.</w:t>
      </w:r>
    </w:p>
    <w:p>
      <w:pPr>
        <w:pStyle w:val="ListBullet"/>
        <w:spacing w:after="60"/>
      </w:pPr>
      <w:r>
        <w:rPr>
          <w:b/>
          <w:i w:val="0"/>
        </w:rPr>
        <w:t>Rule 1.9(c) and Rule 1.6</w:t>
      </w:r>
      <w:r>
        <w:rPr>
          <w:b w:val="0"/>
          <w:i w:val="0"/>
        </w:rPr>
        <w:t xml:space="preserve"> still protect information relating to the trust representation, including information about Kowalczyk learned in that matter.</w:t>
      </w:r>
    </w:p>
    <w:p>
      <w:pPr>
        <w:pStyle w:val="ListBullet"/>
        <w:spacing w:after="60"/>
      </w:pPr>
      <w:r>
        <w:rPr>
          <w:b/>
          <w:i w:val="0"/>
        </w:rPr>
        <w:t>Intake-form inaccuracy:</w:t>
      </w:r>
      <w:r>
        <w:rPr>
          <w:b w:val="0"/>
          <w:i w:val="0"/>
        </w:rPr>
        <w:t xml:space="preserve"> the intake form describes this matter as "Estate &amp; Trust Administration". ConflictTracker records it as contested "Trust Litigation (Will Contest)", with Kowalczyk giving a sworn affidavit. The discrepancy should be corrected.</w:t>
      </w:r>
    </w:p>
    <w:p>
      <w:pPr>
        <w:spacing w:after="120"/>
      </w:pPr>
      <w:r>
        <w:rPr>
          <w:b/>
          <w:i w:val="0"/>
        </w:rPr>
        <w:t>Recommendation:</w:t>
      </w:r>
      <w:r>
        <w:rPr>
          <w:b w:val="0"/>
          <w:i w:val="0"/>
        </w:rPr>
        <w:t xml:space="preserve"> Interview Ms. Whitaker and review the file for any engagement or non-engagement letter, communications with Kowalczyk, and whether he was separately represented. Wall off the file from the Verano team. If he was treated as an individual client, re-analyze before clearance.</w:t>
      </w:r>
    </w:p>
    <w:p>
      <w:pPr>
        <w:pStyle w:val="Heading2"/>
      </w:pPr>
      <w:r>
        <w:t>E. Hit 5 — April 2022 Declined Verano Engagement (SynaptiCore LLC) — POTENTIAL</w:t>
      </w:r>
    </w:p>
    <w:p>
      <w:pPr>
        <w:spacing w:after="120"/>
      </w:pPr>
      <w:r>
        <w:rPr>
          <w:b w:val="0"/>
          <w:i w:val="0"/>
        </w:rPr>
        <w:t>Verano contacted the Firm on April 8, 2022 about a patent suit against SynaptiCore LLC. The Firm declined on April 15, 2022, citing an unspecified "potential conflict". Neither the reason nor the reviewing attorney was recorded. Verano provided only an intake form listing patent numbers and a one-paragraph dispute summary.</w:t>
      </w:r>
    </w:p>
    <w:p>
      <w:pPr>
        <w:pStyle w:val="ListBullet"/>
        <w:spacing w:after="60"/>
      </w:pPr>
      <w:r>
        <w:rPr>
          <w:b w:val="0"/>
          <w:i w:val="0"/>
        </w:rPr>
        <w:t xml:space="preserve">Rule 1.18 duties from that contact run </w:t>
      </w:r>
      <w:r>
        <w:rPr>
          <w:b/>
          <w:i w:val="0"/>
        </w:rPr>
        <w:t>to Verano</w:t>
      </w:r>
      <w:r>
        <w:rPr>
          <w:b w:val="0"/>
          <w:i w:val="0"/>
        </w:rPr>
        <w:t>, protecting what it shared. They do not bar the Firm from representing Verano now, and the new matter is unrelated to the SynaptiCore dispute.</w:t>
      </w:r>
    </w:p>
    <w:p>
      <w:pPr>
        <w:pStyle w:val="ListBullet"/>
        <w:spacing w:after="60"/>
      </w:pPr>
      <w:r>
        <w:rPr>
          <w:b w:val="0"/>
          <w:i w:val="0"/>
        </w:rPr>
        <w:t xml:space="preserve">The real risk is that </w:t>
      </w:r>
      <w:r>
        <w:rPr>
          <w:b/>
          <w:i w:val="0"/>
        </w:rPr>
        <w:t>whatever caused the 2022 declination may still exist</w:t>
      </w:r>
      <w:r>
        <w:rPr>
          <w:b w:val="0"/>
          <w:i w:val="0"/>
        </w:rPr>
        <w:t xml:space="preserve"> and may affect this matter. SynaptiCore returns no other hit, so the 2022 conflict may have involved something not captured by name. The Firm should find the basis by reviewing the declined-engagement file and email and asking attorneys who handled intake in April 2022.</w:t>
      </w:r>
    </w:p>
    <w:p>
      <w:pPr>
        <w:pStyle w:val="ListBullet"/>
        <w:spacing w:after="60"/>
      </w:pPr>
      <w:r>
        <w:rPr>
          <w:b/>
          <w:i w:val="0"/>
        </w:rPr>
        <w:t>One coincidence of dates is worth checking:</w:t>
      </w:r>
      <w:r>
        <w:rPr>
          <w:b w:val="0"/>
          <w:i w:val="0"/>
        </w:rPr>
        <w:t xml:space="preserve"> Dr. Brian Chow's TriPoint consulting started in April 2022, the same month the Firm declined Verano. This may be unrelated, but it should be ruled out.</w:t>
      </w:r>
    </w:p>
    <w:p>
      <w:pPr>
        <w:pStyle w:val="ListBullet"/>
        <w:spacing w:after="60"/>
      </w:pPr>
      <w:r>
        <w:rPr>
          <w:b w:val="0"/>
          <w:i w:val="0"/>
        </w:rPr>
        <w:t>Ms. Ruiz-Morrison has asked directly whether the 2022 circumstances are resolved. The Firm's answer should be accurate and should not disclose any other client's confidences.</w:t>
      </w:r>
    </w:p>
    <w:p>
      <w:pPr>
        <w:pStyle w:val="ListBullet"/>
        <w:spacing w:after="60"/>
      </w:pPr>
      <w:r>
        <w:rPr>
          <w:b w:val="0"/>
          <w:i w:val="0"/>
        </w:rPr>
        <w:t>The record gap is a process failure. Going forward, every declination should record its basis and the reviewing attorney.</w:t>
      </w:r>
    </w:p>
    <w:p>
      <w:pPr>
        <w:pStyle w:val="Heading1"/>
      </w:pPr>
      <w:r>
        <w:t>IV. Conflicts Identified Outside ConflictTracker</w:t>
      </w:r>
    </w:p>
    <w:p>
      <w:pPr>
        <w:spacing w:after="120"/>
      </w:pPr>
      <w:r>
        <w:rPr>
          <w:b w:val="0"/>
          <w:i w:val="0"/>
        </w:rPr>
        <w:t>ConflictTracker's own disclaimer says it does not cross-reference annual questionnaires, HR hiring records, family employment, or trade-association roles. Our manual review of those sources found the following.</w:t>
      </w:r>
    </w:p>
    <w:p>
      <w:pPr>
        <w:pStyle w:val="Heading2"/>
      </w:pPr>
      <w:r>
        <w:t>A. Lisa Chow (Proposed Co-Lead): Spouse's Paid Consulting for TriPoint — HIGH</w:t>
      </w:r>
    </w:p>
    <w:p>
      <w:pPr>
        <w:spacing w:after="120"/>
      </w:pPr>
      <w:r>
        <w:rPr>
          <w:b/>
          <w:i w:val="0"/>
        </w:rPr>
        <w:t>Facts.</w:t>
      </w:r>
      <w:r>
        <w:rPr>
          <w:b w:val="0"/>
          <w:i w:val="0"/>
        </w:rPr>
        <w:t xml:space="preserve"> Chow's March 1, 2024 annual questionnaire discloses that her spouse, Dr. Brian Chow, an independent materials-science consultant, had a paid engagement with TriPoint:</w:t>
      </w:r>
    </w:p>
    <w:p>
      <w:pPr>
        <w:pStyle w:val="ListBullet"/>
        <w:spacing w:after="60"/>
      </w:pPr>
      <w:r>
        <w:rPr>
          <w:b w:val="0"/>
          <w:i w:val="0"/>
        </w:rPr>
        <w:t>Period: April 2022 – September 2023</w:t>
      </w:r>
    </w:p>
    <w:p>
      <w:pPr>
        <w:pStyle w:val="ListBullet"/>
        <w:spacing w:after="60"/>
      </w:pPr>
      <w:r>
        <w:rPr>
          <w:b w:val="0"/>
          <w:i w:val="0"/>
        </w:rPr>
        <w:t>Compensation: $95,000</w:t>
      </w:r>
    </w:p>
    <w:p>
      <w:pPr>
        <w:pStyle w:val="ListBullet"/>
        <w:spacing w:after="60"/>
      </w:pPr>
      <w:r>
        <w:rPr>
          <w:b w:val="0"/>
          <w:i w:val="0"/>
        </w:rPr>
        <w:t>Work: consulting on advanced sensor-coating technologies, including coating durability and performance specifications for precision sensor components</w:t>
      </w:r>
    </w:p>
    <w:p>
      <w:pPr>
        <w:spacing w:after="120"/>
      </w:pPr>
      <w:r>
        <w:rPr>
          <w:b w:val="0"/>
          <w:i w:val="0"/>
        </w:rPr>
        <w:t xml:space="preserve">The General Counsel's office marked this for ConflictTracker entry on March 4, 2024, but </w:t>
      </w:r>
      <w:r>
        <w:rPr>
          <w:b/>
          <w:i w:val="0"/>
        </w:rPr>
        <w:t>the data-entry confirmation is blank</w:t>
      </w:r>
      <w:r>
        <w:rPr>
          <w:b w:val="0"/>
          <w:i w:val="0"/>
        </w:rPr>
        <w:t>, so the search did not catch it. The intake form says of Chow only that she has "no other known conflicts".</w:t>
      </w:r>
    </w:p>
    <w:p>
      <w:pPr>
        <w:spacing w:after="120"/>
      </w:pPr>
      <w:r>
        <w:rPr>
          <w:b/>
          <w:i w:val="0"/>
        </w:rPr>
        <w:t>Analysis — personal-interest and material-limitation conflict (Rule 1.7(a)(2)).</w:t>
      </w:r>
    </w:p>
    <w:p>
      <w:pPr>
        <w:pStyle w:val="ListBullet"/>
        <w:spacing w:after="60"/>
      </w:pPr>
      <w:r>
        <w:rPr>
          <w:b w:val="0"/>
          <w:i w:val="0"/>
        </w:rPr>
        <w:t xml:space="preserve">The proposed case turns on whether TriPoint's competing precision-sensor products incorporate Verano's piezoelectric Project Helix technology. Dr. Chow advised TriPoint on performance specifications for precision sensor components shortly before Kline and Torres arrived. His work could become evidence in two ways: as support for TriPoint's likely </w:t>
      </w:r>
      <w:r>
        <w:rPr>
          <w:b/>
          <w:i w:val="0"/>
        </w:rPr>
        <w:t>independent-development</w:t>
      </w:r>
      <w:r>
        <w:rPr>
          <w:b w:val="0"/>
          <w:i w:val="0"/>
        </w:rPr>
        <w:t xml:space="preserve"> defense, or as part of the technical path Verano challenges. Either way, he is a foreseeable </w:t>
      </w:r>
      <w:r>
        <w:rPr>
          <w:b/>
          <w:i w:val="0"/>
        </w:rPr>
        <w:t>fact witness, document custodian or subpoena recipient</w:t>
      </w:r>
      <w:r>
        <w:rPr>
          <w:b w:val="0"/>
          <w:i w:val="0"/>
        </w:rPr>
        <w:t>, and he probably owes TriPoint contractual confidentiality.</w:t>
      </w:r>
    </w:p>
    <w:p>
      <w:pPr>
        <w:pStyle w:val="ListBullet"/>
        <w:spacing w:after="60"/>
      </w:pPr>
      <w:r>
        <w:rPr>
          <w:b w:val="0"/>
          <w:i w:val="0"/>
        </w:rPr>
        <w:t>Chow would face the prospect of cross-examining, subpoenaing or attacking her spouse's work, or of her client's theory implicating him. Her household also has a financial and reputational interest in Dr. Chow's relationship with TriPoint and the wider sensor industry. There is a significant risk that her judgment for Verano could be materially limited, or reasonably appear so to a court considering a disqualification motion.</w:t>
      </w:r>
    </w:p>
    <w:p>
      <w:pPr>
        <w:pStyle w:val="ListBullet"/>
        <w:spacing w:after="60"/>
      </w:pPr>
      <w:r>
        <w:rPr>
          <w:b w:val="0"/>
          <w:i w:val="0"/>
        </w:rPr>
        <w:t>Rule 1.7, cmt. [11] (lawyers with close family relationships to adverse parties' personnel or interests) and Rule 1.8(l) (spouses and relatives representing opposing sides; by analogy only) reflect the same concern.</w:t>
      </w:r>
    </w:p>
    <w:p>
      <w:pPr>
        <w:pStyle w:val="ListBullet"/>
        <w:spacing w:after="60"/>
      </w:pPr>
      <w:r>
        <w:rPr>
          <w:b w:val="0"/>
          <w:i w:val="0"/>
        </w:rPr>
        <w:t>Verano specifically asked for Chow because of Hollcroft. That preference does not change the analysis, and as explained in Part III.C, Hollcroft knowledge cannot properly be used anyway.</w:t>
      </w:r>
    </w:p>
    <w:p>
      <w:pPr>
        <w:spacing w:after="120"/>
      </w:pPr>
      <w:r>
        <w:rPr>
          <w:b/>
          <w:i w:val="0"/>
        </w:rPr>
        <w:t>Imputation.</w:t>
      </w:r>
      <w:r>
        <w:rPr>
          <w:b w:val="0"/>
          <w:i w:val="0"/>
        </w:rPr>
        <w:t xml:space="preserve"> A personal-interest conflict is not imputed under Rule 1.10(a) if it does not create a significant risk of limiting other Firm lawyers. Removing and screening Chow keeps it personal. There is also a household-channel risk: Verano confidential information could reach a former TriPoint consultant, and TriPoint confidences could come back.</w:t>
      </w:r>
    </w:p>
    <w:p>
      <w:pPr>
        <w:spacing w:after="120"/>
      </w:pPr>
      <w:r>
        <w:rPr>
          <w:b/>
          <w:i w:val="0"/>
        </w:rPr>
        <w:t>Recommendation:</w:t>
      </w:r>
    </w:p>
    <w:p>
      <w:pPr>
        <w:pStyle w:val="ListNumber"/>
        <w:spacing w:after="60"/>
      </w:pPr>
      <w:r>
        <w:rPr>
          <w:b w:val="0"/>
          <w:i w:val="0"/>
        </w:rPr>
        <w:t>Remove Chow from the team and screen her.</w:t>
      </w:r>
    </w:p>
    <w:p>
      <w:pPr>
        <w:pStyle w:val="ListNumber"/>
        <w:spacing w:after="60"/>
      </w:pPr>
      <w:r>
        <w:rPr>
          <w:b w:val="0"/>
          <w:i w:val="0"/>
        </w:rPr>
        <w:t>Ask Chow for the engagement's details, the existence and terms of any NDA, and whether Dr. Chow has any continuing relationship with TriPoint, Ridgeline or Verano.</w:t>
      </w:r>
    </w:p>
    <w:p>
      <w:pPr>
        <w:pStyle w:val="ListNumber"/>
        <w:spacing w:after="60"/>
      </w:pPr>
      <w:r>
        <w:rPr>
          <w:b w:val="0"/>
          <w:i w:val="0"/>
        </w:rPr>
        <w:t>After that inquiry, Chow could be reconsidered only if the General Counsel concludes that the risk is not significant and Verano gives informed written consent after full disclosure (Rule 1.7(b)). We do not recommend this.</w:t>
      </w:r>
    </w:p>
    <w:p>
      <w:pPr>
        <w:pStyle w:val="ListNumber"/>
        <w:spacing w:after="60"/>
      </w:pPr>
      <w:r>
        <w:rPr>
          <w:b w:val="0"/>
          <w:i w:val="0"/>
        </w:rPr>
        <w:t>Enter the disclosure into ConflictTracker immediately.</w:t>
      </w:r>
    </w:p>
    <w:p>
      <w:pPr>
        <w:pStyle w:val="Heading2"/>
      </w:pPr>
      <w:r>
        <w:t>B. Caleb Strand (Proposed Associate): Sister Is a TriPoint IP Paralegal and Shares His Residence — HIGH</w:t>
      </w:r>
    </w:p>
    <w:p>
      <w:pPr>
        <w:spacing w:after="120"/>
      </w:pPr>
      <w:r>
        <w:rPr>
          <w:b/>
          <w:i w:val="0"/>
        </w:rPr>
        <w:t>Facts.</w:t>
      </w:r>
      <w:r>
        <w:rPr>
          <w:b w:val="0"/>
          <w:i w:val="0"/>
        </w:rPr>
        <w:t xml:space="preserve"> Strand's June 1, 2023 new-hire questionnaire discloses the following about his sister, Morgan A. Strand:</w:t>
      </w:r>
    </w:p>
    <w:p>
      <w:pPr>
        <w:pStyle w:val="ListBullet"/>
        <w:spacing w:after="60"/>
      </w:pPr>
      <w:r>
        <w:rPr>
          <w:b w:val="0"/>
          <w:i w:val="0"/>
        </w:rPr>
        <w:t>Since about January 2022 she has been an IP Paralegal in TriPoint's Intellectual Property Department.</w:t>
      </w:r>
    </w:p>
    <w:p>
      <w:pPr>
        <w:pStyle w:val="ListBullet"/>
        <w:spacing w:after="60"/>
      </w:pPr>
      <w:r>
        <w:rPr>
          <w:b w:val="0"/>
          <w:i w:val="0"/>
        </w:rPr>
        <w:t xml:space="preserve">She assists with patent filings and IP portfolio management, coordinates with outside patent counsel, maintains prosecution dockets, and </w:t>
      </w:r>
      <w:r>
        <w:rPr>
          <w:b/>
          <w:i w:val="0"/>
        </w:rPr>
        <w:t>organizes technical documentation for patent applications</w:t>
      </w:r>
      <w:r>
        <w:rPr>
          <w:b w:val="0"/>
          <w:i w:val="0"/>
        </w:rPr>
        <w:t>.</w:t>
      </w:r>
    </w:p>
    <w:p>
      <w:pPr>
        <w:pStyle w:val="ListBullet"/>
        <w:spacing w:after="60"/>
      </w:pPr>
      <w:r>
        <w:rPr>
          <w:b w:val="0"/>
          <w:i w:val="0"/>
        </w:rPr>
        <w:t>She and Caleb share a leased apartment at 445 W. Elm Street, Chicago, with separate home offices.</w:t>
      </w:r>
    </w:p>
    <w:p>
      <w:pPr>
        <w:spacing w:after="120"/>
      </w:pPr>
      <w:r>
        <w:rPr>
          <w:b w:val="0"/>
          <w:i w:val="0"/>
        </w:rPr>
        <w:t xml:space="preserve">HR acknowledged the form, but the "Forwarded to General Counsel" and "Entered into ConflictTracker" fields are </w:t>
      </w:r>
      <w:r>
        <w:rPr>
          <w:b/>
          <w:i w:val="0"/>
        </w:rPr>
        <w:t>blank</w:t>
      </w:r>
      <w:r>
        <w:rPr>
          <w:b w:val="0"/>
          <w:i w:val="0"/>
        </w:rPr>
        <w:t>. The intake form lists Strand as having "no known conflicts".</w:t>
      </w:r>
    </w:p>
    <w:p>
      <w:pPr>
        <w:spacing w:after="120"/>
      </w:pPr>
      <w:r>
        <w:rPr>
          <w:b/>
          <w:i w:val="0"/>
        </w:rPr>
        <w:t>Analysis.</w:t>
      </w:r>
    </w:p>
    <w:p>
      <w:pPr>
        <w:pStyle w:val="ListBullet"/>
        <w:spacing w:after="60"/>
      </w:pPr>
      <w:r>
        <w:rPr>
          <w:b w:val="0"/>
          <w:i w:val="0"/>
        </w:rPr>
        <w:t xml:space="preserve">If TriPoint is incorporating Project Helix technology, </w:t>
      </w:r>
      <w:r>
        <w:rPr>
          <w:b/>
          <w:i w:val="0"/>
        </w:rPr>
        <w:t>its patent filings and technical invention documentation are among the most important evidence in the case</w:t>
      </w:r>
      <w:r>
        <w:rPr>
          <w:b w:val="0"/>
          <w:i w:val="0"/>
        </w:rPr>
        <w:t>. The Kline and Torres onboarding period from July 2024 onward will be especially important. Morgan Strand's department creates and holds exactly those records. She is a likely litigation-hold custodian and potential deponent, and she may have personally handled the documents Verano will target.</w:t>
      </w:r>
    </w:p>
    <w:p>
      <w:pPr>
        <w:pStyle w:val="ListBullet"/>
        <w:spacing w:after="60"/>
      </w:pPr>
      <w:r>
        <w:rPr>
          <w:b w:val="0"/>
          <w:i w:val="0"/>
        </w:rPr>
        <w:t>Shared living space with separate home offices creates a real risk that confidential material will be seen or discussed, whether on screens, in documents or in calls. This risk runs both ways: Verano's TRO strategy could be exposed to TriPoint, and TriPoint's privileged IP information could reach the Firm. A court could view the latter as grounds for disqualification.</w:t>
      </w:r>
    </w:p>
    <w:p>
      <w:pPr>
        <w:pStyle w:val="ListBullet"/>
        <w:spacing w:after="60"/>
      </w:pPr>
      <w:r>
        <w:rPr>
          <w:b w:val="0"/>
          <w:i w:val="0"/>
        </w:rPr>
        <w:t>There is a Rule 1.7(a)(2) personal-interest conflict: Strand's loyalty to his sister, and her job security, if her department's conduct is attacked. Strand is a junior associate, which reduces the risk to his own judgment but not the confidentiality risk.</w:t>
      </w:r>
    </w:p>
    <w:p>
      <w:pPr>
        <w:spacing w:after="120"/>
      </w:pPr>
      <w:r>
        <w:rPr>
          <w:b/>
          <w:i w:val="0"/>
        </w:rPr>
        <w:t>Recommendation:</w:t>
      </w:r>
    </w:p>
    <w:p>
      <w:pPr>
        <w:pStyle w:val="ListNumber"/>
        <w:spacing w:after="60"/>
      </w:pPr>
      <w:r>
        <w:rPr>
          <w:b w:val="0"/>
          <w:i w:val="0"/>
        </w:rPr>
        <w:t>Remove Strand from the team.</w:t>
      </w:r>
    </w:p>
    <w:p>
      <w:pPr>
        <w:pStyle w:val="ListNumber"/>
        <w:spacing w:after="60"/>
      </w:pPr>
      <w:r>
        <w:rPr>
          <w:b w:val="0"/>
          <w:i w:val="0"/>
        </w:rPr>
        <w:t>Impose a full ethical screen: no access to Verano matter files, the matter workspace or team communications; no discussion of the matter with him; and an instruction not to work on it from home.</w:t>
      </w:r>
    </w:p>
    <w:p>
      <w:pPr>
        <w:pStyle w:val="ListNumber"/>
        <w:spacing w:after="60"/>
      </w:pPr>
      <w:r>
        <w:rPr>
          <w:b w:val="0"/>
          <w:i w:val="0"/>
        </w:rPr>
        <w:t>Get his written acknowledgment.</w:t>
      </w:r>
    </w:p>
    <w:p>
      <w:pPr>
        <w:pStyle w:val="ListNumber"/>
        <w:spacing w:after="60"/>
      </w:pPr>
      <w:r>
        <w:rPr>
          <w:b w:val="0"/>
          <w:i w:val="0"/>
        </w:rPr>
        <w:t>Tell Verano that the screen exists; there is no need to identify the relative.</w:t>
      </w:r>
    </w:p>
    <w:p>
      <w:pPr>
        <w:pStyle w:val="ListNumber"/>
        <w:spacing w:after="60"/>
      </w:pPr>
      <w:r>
        <w:rPr>
          <w:b w:val="0"/>
          <w:i w:val="0"/>
        </w:rPr>
        <w:t>Enter the disclosure into ConflictTracker.</w:t>
      </w:r>
    </w:p>
    <w:p>
      <w:pPr>
        <w:pStyle w:val="ListNumber"/>
        <w:spacing w:after="60"/>
      </w:pPr>
      <w:r>
        <w:rPr>
          <w:b w:val="0"/>
          <w:i w:val="0"/>
        </w:rPr>
        <w:t>Review the HR-to-General Counsel referral failure.</w:t>
      </w:r>
    </w:p>
    <w:p>
      <w:pPr>
        <w:pStyle w:val="Heading2"/>
      </w:pPr>
      <w:r>
        <w:t>C. Jordan Voss (Senior Associate): MSIA Board Membership — LOW</w:t>
      </w:r>
    </w:p>
    <w:p>
      <w:pPr>
        <w:spacing w:after="120"/>
      </w:pPr>
      <w:r>
        <w:rPr>
          <w:b w:val="0"/>
          <w:i w:val="0"/>
        </w:rPr>
        <w:t>Since January 2023, Voss has served, unpaid, on the board of the Midwest Sensor Industry Alliance, a regional trade association. Both Verano and TriPoint are dues-paying members. He disclosed this in his annual questionnaire and on the intake form. The questionnaire's ConflictTracker box is unmarked, and trade-association roles are outside the system's search scope in any event.</w:t>
      </w:r>
    </w:p>
    <w:p>
      <w:pPr>
        <w:pStyle w:val="ListBullet"/>
        <w:spacing w:after="60"/>
      </w:pPr>
      <w:r>
        <w:rPr>
          <w:b w:val="0"/>
          <w:i w:val="0"/>
        </w:rPr>
        <w:t>MSIA is not a party, and board service for a trade association does not usually create an attorney-client relationship with its members. No Rule 1.7(a)(1) conflict arises.</w:t>
      </w:r>
    </w:p>
    <w:p>
      <w:pPr>
        <w:pStyle w:val="ListBullet"/>
        <w:spacing w:after="60"/>
      </w:pPr>
      <w:r>
        <w:rPr>
          <w:b w:val="0"/>
          <w:i w:val="0"/>
        </w:rPr>
        <w:t>Remaining risks:</w:t>
      </w:r>
    </w:p>
    <w:p>
      <w:pPr>
        <w:pStyle w:val="ListBullet2"/>
        <w:spacing w:after="60"/>
      </w:pPr>
      <w:r>
        <w:rPr>
          <w:b w:val="0"/>
          <w:i w:val="0"/>
        </w:rPr>
        <w:t>Voss's fiduciary duties to MSIA may conflict with the litigation, for example if MSIA is asked to take positions, host mediation, or produce member communications.</w:t>
      </w:r>
    </w:p>
    <w:p>
      <w:pPr>
        <w:pStyle w:val="ListBullet2"/>
        <w:spacing w:after="60"/>
      </w:pPr>
      <w:r>
        <w:rPr>
          <w:b w:val="0"/>
          <w:i w:val="0"/>
        </w:rPr>
        <w:t>He may receive confidential or competitively sensitive member information, such as technical committee materials or white-paper inputs from TriPoint.</w:t>
      </w:r>
    </w:p>
    <w:p>
      <w:pPr>
        <w:pStyle w:val="ListBullet2"/>
        <w:spacing w:after="60"/>
      </w:pPr>
      <w:r>
        <w:rPr>
          <w:b w:val="0"/>
          <w:i w:val="0"/>
        </w:rPr>
        <w:t>MSIA records may be subpoenaed.</w:t>
      </w:r>
    </w:p>
    <w:p>
      <w:pPr>
        <w:spacing w:after="120"/>
      </w:pPr>
      <w:r>
        <w:rPr>
          <w:b/>
          <w:i w:val="0"/>
        </w:rPr>
        <w:t>Recommendation:</w:t>
      </w:r>
      <w:r>
        <w:rPr>
          <w:b w:val="0"/>
          <w:i w:val="0"/>
        </w:rPr>
        <w:t xml:space="preserve"> Voss may stay on the team if he:</w:t>
      </w:r>
    </w:p>
    <w:p>
      <w:pPr>
        <w:pStyle w:val="ListNumber"/>
        <w:spacing w:after="60"/>
      </w:pPr>
      <w:r>
        <w:rPr>
          <w:b w:val="0"/>
          <w:i w:val="0"/>
        </w:rPr>
        <w:t>recuses from any MSIA board or committee matter involving Verano, TriPoint, Kline, Torres or the dispute;</w:t>
      </w:r>
    </w:p>
    <w:p>
      <w:pPr>
        <w:pStyle w:val="ListNumber"/>
        <w:spacing w:after="60"/>
      </w:pPr>
      <w:r>
        <w:rPr>
          <w:b w:val="0"/>
          <w:i w:val="0"/>
        </w:rPr>
        <w:t>confirms in writing that he has received no TriPoint confidential information through MSIA and will not use any MSIA-sourced member information in the litigation; and</w:t>
      </w:r>
    </w:p>
    <w:p>
      <w:pPr>
        <w:pStyle w:val="ListNumber"/>
        <w:spacing w:after="60"/>
      </w:pPr>
      <w:r>
        <w:rPr>
          <w:b w:val="0"/>
          <w:i w:val="0"/>
        </w:rPr>
        <w:t>tells the General Counsel if MSIA becomes involved.</w:t>
      </w:r>
    </w:p>
    <w:p>
      <w:pPr>
        <w:spacing w:after="120"/>
      </w:pPr>
      <w:r>
        <w:rPr>
          <w:b w:val="0"/>
          <w:i w:val="0"/>
        </w:rPr>
        <w:t>Also to note:</w:t>
      </w:r>
    </w:p>
    <w:p>
      <w:pPr>
        <w:pStyle w:val="ListBullet"/>
        <w:spacing w:after="60"/>
      </w:pPr>
      <w:r>
        <w:rPr>
          <w:b w:val="0"/>
          <w:i w:val="0"/>
        </w:rPr>
        <w:t>Voss worked on Hollcroft and is bound by Rule 1.9(c) as described above.</w:t>
      </w:r>
    </w:p>
    <w:p>
      <w:pPr>
        <w:pStyle w:val="ListBullet"/>
        <w:spacing w:after="60"/>
      </w:pPr>
      <w:r>
        <w:rPr>
          <w:b w:val="0"/>
          <w:i w:val="0"/>
        </w:rPr>
        <w:t>As the person who ran the search and certified the intake form, Voss should be asked whether he knew of the Chow or Strand relationships. He supervises or works alongside both. The intake form described Strand and Chow as having no known conflicts.</w:t>
      </w:r>
    </w:p>
    <w:p>
      <w:pPr>
        <w:pStyle w:val="ListBullet"/>
        <w:spacing w:after="60"/>
      </w:pPr>
      <w:r>
        <w:rPr>
          <w:b w:val="0"/>
          <w:i w:val="0"/>
        </w:rPr>
        <w:t>Voss is supervised by Reilly on current matters. He should confirm he has received no Trident or TriPoint information from Reilly.</w:t>
      </w:r>
    </w:p>
    <w:p>
      <w:pPr>
        <w:pStyle w:val="Heading2"/>
      </w:pPr>
      <w:r>
        <w:t>D. Priya Nambiar (Associate)</w:t>
      </w:r>
    </w:p>
    <w:p>
      <w:pPr>
        <w:spacing w:after="120"/>
      </w:pPr>
      <w:r>
        <w:rPr>
          <w:b w:val="0"/>
          <w:i w:val="0"/>
        </w:rPr>
        <w:t>No hits and no disclosures in the materials provided. Before clearance, confirm that Nambiar's current annual questionnaire and any HR hiring questionnaire have been reviewed by hand for family, household, financial or prior-employer ties to Verano, TriPoint, Ridgeline, Kline, Torres, Kowalczyk or MSIA.</w:t>
      </w:r>
    </w:p>
    <w:p>
      <w:pPr>
        <w:pStyle w:val="Heading2"/>
      </w:pPr>
      <w:r>
        <w:t>E. Negative Results and Parties Not Hit</w:t>
      </w:r>
    </w:p>
    <w:p>
      <w:pPr>
        <w:spacing w:after="120"/>
      </w:pPr>
      <w:r>
        <w:rPr>
          <w:b w:val="0"/>
          <w:i w:val="0"/>
        </w:rPr>
        <w:t>ConflictTracker returned no hits for the following:</w:t>
      </w:r>
    </w:p>
    <w:p>
      <w:pPr>
        <w:pStyle w:val="ListBullet"/>
        <w:spacing w:after="60"/>
      </w:pPr>
      <w:r>
        <w:rPr>
          <w:b w:val="0"/>
          <w:i w:val="0"/>
        </w:rPr>
        <w:t>Dr. Samuel Kline</w:t>
      </w:r>
    </w:p>
    <w:p>
      <w:pPr>
        <w:pStyle w:val="ListBullet"/>
        <w:spacing w:after="60"/>
      </w:pPr>
      <w:r>
        <w:rPr>
          <w:b w:val="0"/>
          <w:i w:val="0"/>
        </w:rPr>
        <w:t>Rebecca Torres</w:t>
      </w:r>
    </w:p>
    <w:p>
      <w:pPr>
        <w:pStyle w:val="ListBullet"/>
        <w:spacing w:after="60"/>
      </w:pPr>
      <w:r>
        <w:rPr>
          <w:b w:val="0"/>
          <w:i w:val="0"/>
        </w:rPr>
        <w:t>Nathan Siddoway</w:t>
      </w:r>
    </w:p>
    <w:p>
      <w:pPr>
        <w:pStyle w:val="ListBullet"/>
        <w:spacing w:after="60"/>
      </w:pPr>
      <w:r>
        <w:rPr>
          <w:b w:val="0"/>
          <w:i w:val="0"/>
        </w:rPr>
        <w:t>Thomas Verano (individually)</w:t>
      </w:r>
    </w:p>
    <w:p>
      <w:pPr>
        <w:pStyle w:val="ListBullet"/>
        <w:spacing w:after="60"/>
      </w:pPr>
      <w:r>
        <w:rPr>
          <w:b w:val="0"/>
          <w:i w:val="0"/>
        </w:rPr>
        <w:t>Helen Strauss</w:t>
      </w:r>
    </w:p>
    <w:p>
      <w:pPr>
        <w:pStyle w:val="ListBullet"/>
        <w:spacing w:after="60"/>
      </w:pPr>
      <w:r>
        <w:rPr>
          <w:b w:val="0"/>
          <w:i w:val="0"/>
        </w:rPr>
        <w:t>Ridgeline Fund III LP (other than as the subject of WH-2023-0088)</w:t>
      </w:r>
    </w:p>
    <w:p>
      <w:pPr>
        <w:pStyle w:val="ListBullet"/>
        <w:spacing w:after="60"/>
      </w:pPr>
      <w:r>
        <w:rPr>
          <w:b w:val="0"/>
          <w:i w:val="0"/>
        </w:rPr>
        <w:t>SynaptiCore LLC (except within the 2022 Verano record)</w:t>
      </w:r>
    </w:p>
    <w:p>
      <w:pPr>
        <w:pStyle w:val="ListBullet"/>
        <w:spacing w:after="60"/>
      </w:pPr>
      <w:r>
        <w:rPr>
          <w:b w:val="0"/>
          <w:i w:val="0"/>
        </w:rPr>
        <w:t>Angela Ruiz-Morrison (other than as the 2022 intake contact)</w:t>
      </w:r>
    </w:p>
    <w:p>
      <w:pPr>
        <w:spacing w:after="120"/>
      </w:pPr>
      <w:r>
        <w:rPr>
          <w:b w:val="0"/>
          <w:i w:val="0"/>
        </w:rPr>
        <w:t>Supplemental search terms to run:</w:t>
      </w:r>
    </w:p>
    <w:p>
      <w:pPr>
        <w:pStyle w:val="ListBullet"/>
        <w:spacing w:after="60"/>
      </w:pPr>
      <w:r>
        <w:rPr>
          <w:b w:val="0"/>
          <w:i w:val="0"/>
        </w:rPr>
        <w:t>"Greylock Sensor Technologies"</w:t>
      </w:r>
    </w:p>
    <w:p>
      <w:pPr>
        <w:pStyle w:val="ListBullet"/>
        <w:spacing w:after="60"/>
      </w:pPr>
      <w:r>
        <w:rPr>
          <w:b w:val="0"/>
          <w:i w:val="0"/>
        </w:rPr>
        <w:t>Alderman Precision Machining Corp., as a current party</w:t>
      </w:r>
    </w:p>
    <w:p>
      <w:pPr>
        <w:pStyle w:val="ListBullet"/>
        <w:spacing w:after="60"/>
      </w:pPr>
      <w:r>
        <w:rPr>
          <w:b w:val="0"/>
          <w:i w:val="0"/>
        </w:rPr>
        <w:t>First Heritage Bank &amp; Trust</w:t>
      </w:r>
    </w:p>
    <w:p>
      <w:pPr>
        <w:pStyle w:val="ListBullet"/>
        <w:spacing w:after="60"/>
      </w:pPr>
      <w:r>
        <w:rPr>
          <w:b w:val="0"/>
          <w:i w:val="0"/>
        </w:rPr>
        <w:t>Castellan Merritt LLP</w:t>
      </w:r>
    </w:p>
    <w:p>
      <w:pPr>
        <w:pStyle w:val="ListBullet"/>
        <w:spacing w:after="60"/>
      </w:pPr>
      <w:r>
        <w:rPr>
          <w:b w:val="0"/>
          <w:i w:val="0"/>
        </w:rPr>
        <w:t>Morgan A. Strand</w:t>
      </w:r>
    </w:p>
    <w:p>
      <w:pPr>
        <w:pStyle w:val="ListBullet"/>
        <w:spacing w:after="60"/>
      </w:pPr>
      <w:r>
        <w:rPr>
          <w:b w:val="0"/>
          <w:i w:val="0"/>
        </w:rPr>
        <w:t>Dr. Brian Chow</w:t>
      </w:r>
    </w:p>
    <w:p>
      <w:pPr>
        <w:pStyle w:val="ListBullet"/>
        <w:spacing w:after="60"/>
      </w:pPr>
      <w:r>
        <w:rPr>
          <w:b w:val="0"/>
          <w:i w:val="0"/>
        </w:rPr>
        <w:t>Midwest Sensor Industry Alliance</w:t>
      </w:r>
    </w:p>
    <w:p>
      <w:pPr>
        <w:pStyle w:val="ListBullet"/>
        <w:spacing w:after="60"/>
      </w:pPr>
      <w:r>
        <w:rPr>
          <w:b w:val="0"/>
          <w:i w:val="0"/>
        </w:rPr>
        <w:t>Ridgeline's other two funds</w:t>
      </w:r>
    </w:p>
    <w:p>
      <w:pPr>
        <w:pStyle w:val="ListBullet"/>
        <w:spacing w:after="60"/>
      </w:pPr>
      <w:r>
        <w:rPr>
          <w:b w:val="0"/>
          <w:i w:val="0"/>
        </w:rPr>
        <w:t>"Project Helix"</w:t>
      </w:r>
    </w:p>
    <w:p>
      <w:pPr>
        <w:pStyle w:val="ListBullet"/>
        <w:spacing w:after="60"/>
      </w:pPr>
      <w:r>
        <w:rPr>
          <w:b w:val="0"/>
          <w:i w:val="0"/>
        </w:rPr>
        <w:t>Any other TriPoint subsidiaries, and Ridgeline portfolio companies in the sensor industry</w:t>
      </w:r>
    </w:p>
    <w:p>
      <w:pPr>
        <w:pStyle w:val="Heading1"/>
      </w:pPr>
      <w:r>
        <w:t>V. Additional Engagement Considerations</w:t>
      </w:r>
    </w:p>
    <w:p>
      <w:pPr>
        <w:pStyle w:val="ListBullet"/>
        <w:spacing w:after="60"/>
      </w:pPr>
      <w:r>
        <w:rPr>
          <w:b/>
          <w:i w:val="0"/>
        </w:rPr>
        <w:t>Replacement leadership.</w:t>
      </w:r>
      <w:r>
        <w:rPr>
          <w:b w:val="0"/>
          <w:i w:val="0"/>
        </w:rPr>
        <w:t xml:space="preserve"> Once Reilly and Chow are removed, neither proposed lead remains. A new Litigation partner must be chosen and cleared through a supplemental search and a manual disclosure review before Verano receives any further confidential information. This is necessary to meet the December 16 filing.</w:t>
      </w:r>
    </w:p>
    <w:p>
      <w:pPr>
        <w:pStyle w:val="ListBullet"/>
        <w:spacing w:after="60"/>
      </w:pPr>
      <w:r>
        <w:rPr>
          <w:b/>
          <w:i w:val="0"/>
        </w:rPr>
        <w:t>Fee arrangement (Rule 1.5).</w:t>
      </w:r>
      <w:r>
        <w:rPr>
          <w:b w:val="0"/>
          <w:i w:val="0"/>
        </w:rPr>
        <w:t xml:space="preserve"> The hybrid contingency needs a writing signed by the client. It must state the method, the percentage, how expenses are treated, and whether expenses are deducted before or after the contingent fee is calculated (Rule 1.5(c)). The proposed terms leave these questions open:</w:t>
      </w:r>
    </w:p>
    <w:p>
      <w:pPr>
        <w:pStyle w:val="ListBullet2"/>
        <w:spacing w:after="60"/>
      </w:pPr>
      <w:r>
        <w:rPr>
          <w:b w:val="0"/>
          <w:i w:val="0"/>
        </w:rPr>
        <w:t>how fees above $500,000 are billed before any recovery;</w:t>
      </w:r>
    </w:p>
    <w:p>
      <w:pPr>
        <w:pStyle w:val="ListBullet2"/>
        <w:spacing w:after="60"/>
      </w:pPr>
      <w:r>
        <w:rPr>
          <w:b w:val="0"/>
          <w:i w:val="0"/>
        </w:rPr>
        <w:t>how the $6M cap interacts with the 25% contingency; and</w:t>
      </w:r>
    </w:p>
    <w:p>
      <w:pPr>
        <w:pStyle w:val="ListBullet2"/>
        <w:spacing w:after="60"/>
      </w:pPr>
      <w:r>
        <w:rPr>
          <w:b w:val="0"/>
          <w:i w:val="0"/>
        </w:rPr>
        <w:t>whether recovery means gross or net of costs.</w:t>
      </w:r>
    </w:p>
    <w:p>
      <w:pPr>
        <w:pStyle w:val="ListBullet"/>
        <w:spacing w:after="60"/>
      </w:pPr>
      <w:r>
        <w:rPr>
          <w:b w:val="0"/>
          <w:i w:val="0"/>
        </w:rPr>
        <w:t>Under Rule 1.10(e), any screened lawyer (Reilly) must receive no part of the fee. The engagement letter should reflect this.</w:t>
      </w:r>
    </w:p>
    <w:p>
      <w:pPr>
        <w:pStyle w:val="ListBullet"/>
        <w:spacing w:after="60"/>
      </w:pPr>
      <w:r>
        <w:rPr>
          <w:b/>
          <w:i w:val="0"/>
        </w:rPr>
        <w:t>Engagement letter.</w:t>
      </w:r>
      <w:r>
        <w:rPr>
          <w:b w:val="0"/>
          <w:i w:val="0"/>
        </w:rPr>
        <w:t xml:space="preserve"> When drafted, it should include:</w:t>
      </w:r>
    </w:p>
    <w:p>
      <w:pPr>
        <w:pStyle w:val="ListBullet2"/>
        <w:spacing w:after="60"/>
      </w:pPr>
      <w:r>
        <w:rPr>
          <w:b w:val="0"/>
          <w:i w:val="0"/>
        </w:rPr>
        <w:t>Verano's informed consent to the Ridgeline relationship and to the limitation on claims against Ridgeline and its funds;</w:t>
      </w:r>
    </w:p>
    <w:p>
      <w:pPr>
        <w:pStyle w:val="ListBullet2"/>
        <w:spacing w:after="60"/>
      </w:pPr>
      <w:r>
        <w:rPr>
          <w:b w:val="0"/>
          <w:i w:val="0"/>
        </w:rPr>
        <w:t>disclosure of the screens, including notice to TriPoint and, if applicable, to Ridgeline;</w:t>
      </w:r>
    </w:p>
    <w:p>
      <w:pPr>
        <w:pStyle w:val="ListBullet2"/>
        <w:spacing w:after="60"/>
      </w:pPr>
      <w:r>
        <w:rPr>
          <w:b w:val="0"/>
          <w:i w:val="0"/>
        </w:rPr>
        <w:t>confirmation that Hollcroft information will not be used; and</w:t>
      </w:r>
    </w:p>
    <w:p>
      <w:pPr>
        <w:pStyle w:val="ListBullet2"/>
        <w:spacing w:after="60"/>
      </w:pPr>
      <w:r>
        <w:rPr>
          <w:b w:val="0"/>
          <w:i w:val="0"/>
        </w:rPr>
        <w:t>an appropriate limitation on scope.</w:t>
      </w:r>
    </w:p>
    <w:p>
      <w:pPr>
        <w:pStyle w:val="ListBullet"/>
        <w:spacing w:after="60"/>
      </w:pPr>
      <w:r>
        <w:rPr>
          <w:b/>
          <w:i w:val="0"/>
        </w:rPr>
        <w:t>Disqualification risk and client prejudice.</w:t>
      </w:r>
      <w:r>
        <w:rPr>
          <w:b w:val="0"/>
          <w:i w:val="0"/>
        </w:rPr>
        <w:t xml:space="preserve"> TriPoint will be looking for grounds to move to disqualify, especially at the TRO stage. If disqualification happens mid-injunction, it would seriously harm Verano. That strongly favors resolving every issue before filing rather than accepting now and curing later.</w:t>
      </w:r>
    </w:p>
    <w:p>
      <w:pPr>
        <w:pStyle w:val="ListBullet"/>
        <w:spacing w:after="60"/>
      </w:pPr>
      <w:r>
        <w:rPr>
          <w:b/>
          <w:i w:val="0"/>
        </w:rPr>
        <w:t>No work before clearance.</w:t>
      </w:r>
      <w:r>
        <w:rPr>
          <w:b w:val="0"/>
          <w:i w:val="0"/>
        </w:rPr>
        <w:t xml:space="preserve"> Under the intake certification, no legal services may be provided and no further confidential information accepted (such as Kline and Torres agreements) until written clearance issues. Ms. Ruiz-Morrison's offer to send those documents should be declined for now.</w:t>
      </w:r>
    </w:p>
    <w:p>
      <w:pPr>
        <w:pStyle w:val="Heading1"/>
      </w:pPr>
      <w:r>
        <w:t>VI. Conditions for Clearance and Action Items</w:t>
      </w:r>
    </w:p>
    <w:p>
      <w:pPr>
        <w:pStyle w:val="Heading2"/>
      </w:pPr>
      <w:r>
        <w:t>Tier 1 — Must Be Completed Before Clearance</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D9E2F3"/>
          </w:tcPr>
          <w:p>
            <w:r>
              <w:rPr>
                <w:sz w:val="19"/>
              </w:rPr>
            </w:r>
            <w:r>
              <w:rPr>
                <w:b/>
                <w:i w:val="0"/>
                <w:sz w:val="19"/>
              </w:rPr>
              <w:t>#</w:t>
            </w:r>
          </w:p>
        </w:tc>
        <w:tc>
          <w:tcPr>
            <w:tcW w:type="dxa" w:w="7056"/>
            <w:shd w:val="clear" w:color="auto" w:fill="D9E2F3"/>
          </w:tcPr>
          <w:p>
            <w:r>
              <w:rPr>
                <w:sz w:val="19"/>
              </w:rPr>
            </w:r>
            <w:r>
              <w:rPr>
                <w:b/>
                <w:i w:val="0"/>
                <w:sz w:val="19"/>
              </w:rPr>
              <w:t>Action</w:t>
            </w:r>
          </w:p>
        </w:tc>
        <w:tc>
          <w:tcPr>
            <w:tcW w:type="dxa" w:w="1872"/>
            <w:shd w:val="clear" w:color="auto" w:fill="D9E2F3"/>
          </w:tcPr>
          <w:p>
            <w:r>
              <w:rPr>
                <w:sz w:val="19"/>
              </w:rPr>
            </w:r>
            <w:r>
              <w:rPr>
                <w:b/>
                <w:i w:val="0"/>
                <w:sz w:val="19"/>
              </w:rPr>
              <w:t>Owner</w:t>
            </w:r>
          </w:p>
        </w:tc>
      </w:tr>
      <w:tr>
        <w:tc>
          <w:tcPr>
            <w:tcW w:type="dxa" w:w="432"/>
          </w:tcPr>
          <w:p>
            <w:r>
              <w:rPr>
                <w:sz w:val="19"/>
              </w:rPr>
            </w:r>
            <w:r>
              <w:rPr>
                <w:b w:val="0"/>
                <w:i w:val="0"/>
                <w:sz w:val="19"/>
              </w:rPr>
              <w:t>1</w:t>
            </w:r>
          </w:p>
        </w:tc>
        <w:tc>
          <w:tcPr>
            <w:tcW w:type="dxa" w:w="7056"/>
          </w:tcPr>
          <w:p>
            <w:r>
              <w:rPr>
                <w:sz w:val="19"/>
              </w:rPr>
            </w:r>
            <w:r>
              <w:rPr>
                <w:b w:val="0"/>
                <w:i w:val="0"/>
                <w:sz w:val="19"/>
              </w:rPr>
              <w:t>Remove Reilly from the matter. Put a written Rule 1.10(e) screen in place covering document management, ConflictTracker locks and a written acknowledgment. Exclude him from the fee. Get his written statement about his contacts with Verano and confirmation that he has shared no Trident or TriPoint information.</w:t>
            </w:r>
          </w:p>
        </w:tc>
        <w:tc>
          <w:tcPr>
            <w:tcW w:type="dxa" w:w="1872"/>
          </w:tcPr>
          <w:p>
            <w:r>
              <w:rPr>
                <w:sz w:val="19"/>
              </w:rPr>
            </w:r>
            <w:r>
              <w:rPr>
                <w:b w:val="0"/>
                <w:i w:val="0"/>
                <w:sz w:val="19"/>
              </w:rPr>
              <w:t>GC; Reilly</w:t>
            </w:r>
          </w:p>
        </w:tc>
      </w:tr>
      <w:tr>
        <w:tc>
          <w:tcPr>
            <w:tcW w:type="dxa" w:w="432"/>
          </w:tcPr>
          <w:p>
            <w:r>
              <w:rPr>
                <w:sz w:val="19"/>
              </w:rPr>
            </w:r>
            <w:r>
              <w:rPr>
                <w:b w:val="0"/>
                <w:i w:val="0"/>
                <w:sz w:val="19"/>
              </w:rPr>
              <w:t>2</w:t>
            </w:r>
          </w:p>
        </w:tc>
        <w:tc>
          <w:tcPr>
            <w:tcW w:type="dxa" w:w="7056"/>
          </w:tcPr>
          <w:p>
            <w:r>
              <w:rPr>
                <w:sz w:val="19"/>
              </w:rPr>
            </w:r>
            <w:r>
              <w:rPr>
                <w:b w:val="0"/>
                <w:i w:val="0"/>
                <w:sz w:val="19"/>
              </w:rPr>
              <w:t>Get Verano's informed consent to the Rule 1.10(e) notice to TriPoint, and schedule the notice for filing.</w:t>
            </w:r>
          </w:p>
        </w:tc>
        <w:tc>
          <w:tcPr>
            <w:tcW w:type="dxa" w:w="1872"/>
          </w:tcPr>
          <w:p>
            <w:r>
              <w:rPr>
                <w:sz w:val="19"/>
              </w:rPr>
            </w:r>
            <w:r>
              <w:rPr>
                <w:b w:val="0"/>
                <w:i w:val="0"/>
                <w:sz w:val="19"/>
              </w:rPr>
              <w:t>GC; new Lead Partner</w:t>
            </w:r>
          </w:p>
        </w:tc>
      </w:tr>
      <w:tr>
        <w:tc>
          <w:tcPr>
            <w:tcW w:type="dxa" w:w="432"/>
          </w:tcPr>
          <w:p>
            <w:r>
              <w:rPr>
                <w:sz w:val="19"/>
              </w:rPr>
            </w:r>
            <w:r>
              <w:rPr>
                <w:b w:val="0"/>
                <w:i w:val="0"/>
                <w:sz w:val="19"/>
              </w:rPr>
              <w:t>3</w:t>
            </w:r>
          </w:p>
        </w:tc>
        <w:tc>
          <w:tcPr>
            <w:tcW w:type="dxa" w:w="7056"/>
          </w:tcPr>
          <w:p>
            <w:r>
              <w:rPr>
                <w:sz w:val="19"/>
              </w:rPr>
            </w:r>
            <w:r>
              <w:rPr>
                <w:b w:val="0"/>
                <w:i w:val="0"/>
                <w:sz w:val="19"/>
              </w:rPr>
              <w:t>Ridgeline: with Ottinger, find out which fund holds TriPoint and what confidential information the Firm holds. Apply §7.2 and §7.3. Get Verano's consent to disclosure. Seek Ridgeline's informed written consent, and in any case give §7.4 notice. Set up an ethical wall between the Ridgeline and Verano teams.</w:t>
            </w:r>
          </w:p>
        </w:tc>
        <w:tc>
          <w:tcPr>
            <w:tcW w:type="dxa" w:w="1872"/>
          </w:tcPr>
          <w:p>
            <w:r>
              <w:rPr>
                <w:sz w:val="19"/>
              </w:rPr>
            </w:r>
            <w:r>
              <w:rPr>
                <w:b w:val="0"/>
                <w:i w:val="0"/>
                <w:sz w:val="19"/>
              </w:rPr>
              <w:t>GC; Ottinger</w:t>
            </w:r>
          </w:p>
        </w:tc>
      </w:tr>
      <w:tr>
        <w:tc>
          <w:tcPr>
            <w:tcW w:type="dxa" w:w="432"/>
          </w:tcPr>
          <w:p>
            <w:r>
              <w:rPr>
                <w:sz w:val="19"/>
              </w:rPr>
            </w:r>
            <w:r>
              <w:rPr>
                <w:b w:val="0"/>
                <w:i w:val="0"/>
                <w:sz w:val="19"/>
              </w:rPr>
              <w:t>4</w:t>
            </w:r>
          </w:p>
        </w:tc>
        <w:tc>
          <w:tcPr>
            <w:tcW w:type="dxa" w:w="7056"/>
          </w:tcPr>
          <w:p>
            <w:r>
              <w:rPr>
                <w:sz w:val="19"/>
              </w:rPr>
            </w:r>
            <w:r>
              <w:rPr>
                <w:b w:val="0"/>
                <w:i w:val="0"/>
                <w:sz w:val="19"/>
              </w:rPr>
              <w:t>Get Verano's informed written consent under Rule 1.7(b) covering the Ridgeline relationship and the limit on claims against Ridgeline and its funds.</w:t>
            </w:r>
          </w:p>
        </w:tc>
        <w:tc>
          <w:tcPr>
            <w:tcW w:type="dxa" w:w="1872"/>
          </w:tcPr>
          <w:p>
            <w:r>
              <w:rPr>
                <w:sz w:val="19"/>
              </w:rPr>
            </w:r>
            <w:r>
              <w:rPr>
                <w:b w:val="0"/>
                <w:i w:val="0"/>
                <w:sz w:val="19"/>
              </w:rPr>
              <w:t>GC; new Lead Partner</w:t>
            </w:r>
          </w:p>
        </w:tc>
      </w:tr>
      <w:tr>
        <w:tc>
          <w:tcPr>
            <w:tcW w:type="dxa" w:w="432"/>
          </w:tcPr>
          <w:p>
            <w:r>
              <w:rPr>
                <w:sz w:val="19"/>
              </w:rPr>
            </w:r>
            <w:r>
              <w:rPr>
                <w:b w:val="0"/>
                <w:i w:val="0"/>
                <w:sz w:val="19"/>
              </w:rPr>
              <w:t>5</w:t>
            </w:r>
          </w:p>
        </w:tc>
        <w:tc>
          <w:tcPr>
            <w:tcW w:type="dxa" w:w="7056"/>
          </w:tcPr>
          <w:p>
            <w:r>
              <w:rPr>
                <w:sz w:val="19"/>
              </w:rPr>
            </w:r>
            <w:r>
              <w:rPr>
                <w:b w:val="0"/>
                <w:i w:val="0"/>
                <w:sz w:val="19"/>
              </w:rPr>
              <w:t>Remove Chow and Strand from the team and put screens in place with written acknowledgments.</w:t>
            </w:r>
          </w:p>
        </w:tc>
        <w:tc>
          <w:tcPr>
            <w:tcW w:type="dxa" w:w="1872"/>
          </w:tcPr>
          <w:p>
            <w:r>
              <w:rPr>
                <w:sz w:val="19"/>
              </w:rPr>
            </w:r>
            <w:r>
              <w:rPr>
                <w:b w:val="0"/>
                <w:i w:val="0"/>
                <w:sz w:val="19"/>
              </w:rPr>
              <w:t>GC</w:t>
            </w:r>
          </w:p>
        </w:tc>
      </w:tr>
      <w:tr>
        <w:tc>
          <w:tcPr>
            <w:tcW w:type="dxa" w:w="432"/>
          </w:tcPr>
          <w:p>
            <w:r>
              <w:rPr>
                <w:sz w:val="19"/>
              </w:rPr>
            </w:r>
            <w:r>
              <w:rPr>
                <w:b w:val="0"/>
                <w:i w:val="0"/>
                <w:sz w:val="19"/>
              </w:rPr>
              <w:t>6</w:t>
            </w:r>
          </w:p>
        </w:tc>
        <w:tc>
          <w:tcPr>
            <w:tcW w:type="dxa" w:w="7056"/>
          </w:tcPr>
          <w:p>
            <w:r>
              <w:rPr>
                <w:sz w:val="19"/>
              </w:rPr>
            </w:r>
            <w:r>
              <w:rPr>
                <w:b w:val="0"/>
                <w:i w:val="0"/>
                <w:sz w:val="19"/>
              </w:rPr>
              <w:t>Appoint a new Lead Partner and clear them through a supplemental search and disclosure review. Confirm Nambiar's disclosures.</w:t>
            </w:r>
          </w:p>
        </w:tc>
        <w:tc>
          <w:tcPr>
            <w:tcW w:type="dxa" w:w="1872"/>
          </w:tcPr>
          <w:p>
            <w:r>
              <w:rPr>
                <w:sz w:val="19"/>
              </w:rPr>
            </w:r>
            <w:r>
              <w:rPr>
                <w:b w:val="0"/>
                <w:i w:val="0"/>
                <w:sz w:val="19"/>
              </w:rPr>
              <w:t>Litigation Chair; Conflicts Administrator</w:t>
            </w:r>
          </w:p>
        </w:tc>
      </w:tr>
      <w:tr>
        <w:tc>
          <w:tcPr>
            <w:tcW w:type="dxa" w:w="432"/>
          </w:tcPr>
          <w:p>
            <w:r>
              <w:rPr>
                <w:sz w:val="19"/>
              </w:rPr>
            </w:r>
            <w:r>
              <w:rPr>
                <w:b w:val="0"/>
                <w:i w:val="0"/>
                <w:sz w:val="19"/>
              </w:rPr>
              <w:t>7</w:t>
            </w:r>
          </w:p>
        </w:tc>
        <w:tc>
          <w:tcPr>
            <w:tcW w:type="dxa" w:w="7056"/>
          </w:tcPr>
          <w:p>
            <w:r>
              <w:rPr>
                <w:sz w:val="19"/>
              </w:rPr>
            </w:r>
            <w:r>
              <w:rPr>
                <w:b w:val="0"/>
                <w:i w:val="0"/>
                <w:sz w:val="19"/>
              </w:rPr>
              <w:t>Kowalczyk Trust: review the file, interview S. Whitaker, and wall off the file.</w:t>
            </w:r>
          </w:p>
        </w:tc>
        <w:tc>
          <w:tcPr>
            <w:tcW w:type="dxa" w:w="1872"/>
          </w:tcPr>
          <w:p>
            <w:r>
              <w:rPr>
                <w:sz w:val="19"/>
              </w:rPr>
            </w:r>
            <w:r>
              <w:rPr>
                <w:b w:val="0"/>
                <w:i w:val="0"/>
                <w:sz w:val="19"/>
              </w:rPr>
              <w:t>GC</w:t>
            </w:r>
          </w:p>
        </w:tc>
      </w:tr>
      <w:tr>
        <w:tc>
          <w:tcPr>
            <w:tcW w:type="dxa" w:w="432"/>
          </w:tcPr>
          <w:p>
            <w:r>
              <w:rPr>
                <w:sz w:val="19"/>
              </w:rPr>
            </w:r>
            <w:r>
              <w:rPr>
                <w:b w:val="0"/>
                <w:i w:val="0"/>
                <w:sz w:val="19"/>
              </w:rPr>
              <w:t>8</w:t>
            </w:r>
          </w:p>
        </w:tc>
        <w:tc>
          <w:tcPr>
            <w:tcW w:type="dxa" w:w="7056"/>
          </w:tcPr>
          <w:p>
            <w:r>
              <w:rPr>
                <w:sz w:val="19"/>
              </w:rPr>
            </w:r>
            <w:r>
              <w:rPr>
                <w:b w:val="0"/>
                <w:i w:val="0"/>
                <w:sz w:val="19"/>
              </w:rPr>
              <w:t>Find out why the Firm declined Verano in April 2022 and confirm the reason no longer applies.</w:t>
            </w:r>
          </w:p>
        </w:tc>
        <w:tc>
          <w:tcPr>
            <w:tcW w:type="dxa" w:w="1872"/>
          </w:tcPr>
          <w:p>
            <w:r>
              <w:rPr>
                <w:sz w:val="19"/>
              </w:rPr>
            </w:r>
            <w:r>
              <w:rPr>
                <w:b w:val="0"/>
                <w:i w:val="0"/>
                <w:sz w:val="19"/>
              </w:rPr>
              <w:t>GC; Conflicts Administrator</w:t>
            </w:r>
          </w:p>
        </w:tc>
      </w:tr>
      <w:tr>
        <w:tc>
          <w:tcPr>
            <w:tcW w:type="dxa" w:w="432"/>
          </w:tcPr>
          <w:p>
            <w:r>
              <w:rPr>
                <w:sz w:val="19"/>
              </w:rPr>
            </w:r>
            <w:r>
              <w:rPr>
                <w:b w:val="0"/>
                <w:i w:val="0"/>
                <w:sz w:val="19"/>
              </w:rPr>
              <w:t>9</w:t>
            </w:r>
          </w:p>
        </w:tc>
        <w:tc>
          <w:tcPr>
            <w:tcW w:type="dxa" w:w="7056"/>
          </w:tcPr>
          <w:p>
            <w:r>
              <w:rPr>
                <w:sz w:val="19"/>
              </w:rPr>
            </w:r>
            <w:r>
              <w:rPr>
                <w:b w:val="0"/>
                <w:i w:val="0"/>
                <w:sz w:val="19"/>
              </w:rPr>
              <w:t>Run the supplemental ConflictTracker searches in Part IV.E.</w:t>
            </w:r>
          </w:p>
        </w:tc>
        <w:tc>
          <w:tcPr>
            <w:tcW w:type="dxa" w:w="1872"/>
          </w:tcPr>
          <w:p>
            <w:r>
              <w:rPr>
                <w:sz w:val="19"/>
              </w:rPr>
            </w:r>
            <w:r>
              <w:rPr>
                <w:b w:val="0"/>
                <w:i w:val="0"/>
                <w:sz w:val="19"/>
              </w:rPr>
              <w:t>Conflicts Administrator</w:t>
            </w:r>
          </w:p>
        </w:tc>
      </w:tr>
    </w:tbl>
    <w:p/>
    <w:p>
      <w:pPr>
        <w:pStyle w:val="Heading2"/>
      </w:pPr>
      <w:r>
        <w:t>Tier 2 — At or Shortly After Acceptance</w:t>
      </w:r>
    </w:p>
    <w:p>
      <w:pPr>
        <w:pStyle w:val="ListBullet"/>
        <w:spacing w:after="60"/>
      </w:pPr>
      <w:r>
        <w:rPr>
          <w:b w:val="0"/>
          <w:i w:val="0"/>
        </w:rPr>
        <w:t>Voss: written MSIA recusal and acknowledgment.</w:t>
      </w:r>
    </w:p>
    <w:p>
      <w:pPr>
        <w:pStyle w:val="ListBullet"/>
        <w:spacing w:after="60"/>
      </w:pPr>
      <w:r>
        <w:rPr>
          <w:b w:val="0"/>
          <w:i w:val="0"/>
        </w:rPr>
        <w:t>Instruct the team in writing on Hollcroft confidentiality under Rule 1.9(c). Confirm that Hollcroft has no interest in Project Helix.</w:t>
      </w:r>
    </w:p>
    <w:p>
      <w:pPr>
        <w:pStyle w:val="ListBullet"/>
        <w:spacing w:after="60"/>
      </w:pPr>
      <w:r>
        <w:rPr>
          <w:b w:val="0"/>
          <w:i w:val="0"/>
        </w:rPr>
        <w:t>Prepare an engagement letter that complies with Rule 1.5(c) and records all consents and screens.</w:t>
      </w:r>
    </w:p>
    <w:p>
      <w:pPr>
        <w:pStyle w:val="ListBullet"/>
        <w:spacing w:after="60"/>
      </w:pPr>
      <w:r>
        <w:rPr>
          <w:b w:val="0"/>
          <w:i w:val="0"/>
        </w:rPr>
        <w:t>Send the Rule 1.10(e) notice to TriPoint, and Ridgeline notice if applicable, on the agreed timetable. Keep copies in the conflicts file.</w:t>
      </w:r>
    </w:p>
    <w:p>
      <w:pPr>
        <w:pStyle w:val="ListBullet"/>
        <w:spacing w:after="60"/>
      </w:pPr>
      <w:r>
        <w:rPr>
          <w:b w:val="0"/>
          <w:i w:val="0"/>
        </w:rPr>
        <w:t>Respond to Ms. Ruiz-Morrison on the Firm's decision, the staffing changes and the 2022 inquiry, without disclosing other clients' confidences.</w:t>
      </w:r>
    </w:p>
    <w:p>
      <w:pPr>
        <w:pStyle w:val="Heading2"/>
      </w:pPr>
      <w:r>
        <w:t>Tier 3 — Process Remediation</w:t>
      </w:r>
    </w:p>
    <w:p>
      <w:pPr>
        <w:pStyle w:val="ListBullet"/>
        <w:spacing w:after="60"/>
      </w:pPr>
      <w:r>
        <w:rPr>
          <w:b w:val="0"/>
          <w:i w:val="0"/>
        </w:rPr>
        <w:t>Enter into ConflictTracker today the Chow spousal disclosure (open since March 4, 2024), the Strand sibling disclosure, and the Voss MSIA board seat.</w:t>
      </w:r>
    </w:p>
    <w:p>
      <w:pPr>
        <w:pStyle w:val="ListBullet"/>
        <w:spacing w:after="60"/>
      </w:pPr>
      <w:r>
        <w:rPr>
          <w:b w:val="0"/>
          <w:i w:val="0"/>
        </w:rPr>
        <w:t>Close the gap between HR and the General Counsel: all new-hire questionnaires must go to the General Counsel within a set number of days, with confirmation of entry.</w:t>
      </w:r>
    </w:p>
    <w:p>
      <w:pPr>
        <w:pStyle w:val="ListBullet"/>
        <w:spacing w:after="60"/>
      </w:pPr>
      <w:r>
        <w:rPr>
          <w:b w:val="0"/>
          <w:i w:val="0"/>
        </w:rPr>
        <w:t>Add questionnaires, family and household ties, and board and trade-association roles to ConflictTracker's search index, or require a manual cross-check on every intake.</w:t>
      </w:r>
    </w:p>
    <w:p>
      <w:pPr>
        <w:pStyle w:val="ListBullet"/>
        <w:spacing w:after="60"/>
      </w:pPr>
      <w:r>
        <w:rPr>
          <w:b w:val="0"/>
          <w:i w:val="0"/>
        </w:rPr>
        <w:t>Require every declination to record its basis and the reviewing attorney.</w:t>
      </w:r>
    </w:p>
    <w:p>
      <w:pPr>
        <w:pStyle w:val="ListBullet"/>
        <w:spacing w:after="60"/>
      </w:pPr>
      <w:r>
        <w:rPr>
          <w:b w:val="0"/>
          <w:i w:val="0"/>
        </w:rPr>
        <w:t>Fix ConflictTracker record errors: the "Greylock" heading, and the Kowalczyk matter-type mismatch between the intake form and the system.</w:t>
      </w:r>
    </w:p>
    <w:p>
      <w:pPr>
        <w:pStyle w:val="ListBullet"/>
        <w:spacing w:after="60"/>
      </w:pPr>
      <w:r>
        <w:rPr>
          <w:b w:val="0"/>
          <w:i w:val="0"/>
        </w:rPr>
        <w:t>Have the intake preparer confirm team conflicts by checking each team member's disclosure file, not only personal knowledge.</w:t>
      </w:r>
    </w:p>
    <w:p>
      <w:pPr>
        <w:pStyle w:val="Heading1"/>
      </w:pPr>
      <w:r>
        <w:t>VII. Conclusion</w:t>
      </w:r>
    </w:p>
    <w:p>
      <w:pPr>
        <w:spacing w:after="120"/>
      </w:pPr>
      <w:r>
        <w:rPr>
          <w:b w:val="0"/>
          <w:i w:val="0"/>
        </w:rPr>
        <w:t>The proposed engagement is not barred outright, but it cannot be cleared as submitted:</w:t>
      </w:r>
    </w:p>
    <w:p>
      <w:pPr>
        <w:pStyle w:val="ListBullet"/>
        <w:spacing w:after="60"/>
      </w:pPr>
      <w:r>
        <w:rPr>
          <w:b w:val="0"/>
          <w:i w:val="0"/>
        </w:rPr>
        <w:t>Marcus Reilly, the proposed Lead Partner, is personally disqualified under Rule 1.9(a).</w:t>
      </w:r>
    </w:p>
    <w:p>
      <w:pPr>
        <w:pStyle w:val="ListBullet"/>
        <w:spacing w:after="60"/>
      </w:pPr>
      <w:r>
        <w:rPr>
          <w:b w:val="0"/>
          <w:i w:val="0"/>
        </w:rPr>
        <w:t>Lisa Chow, the proposed Co-Lead, and Caleb Strand, a proposed Associate, have close family ties to TriPoint that the system missed and that require them to be removed and screened.</w:t>
      </w:r>
    </w:p>
    <w:p>
      <w:pPr>
        <w:pStyle w:val="ListBullet"/>
        <w:spacing w:after="60"/>
      </w:pPr>
      <w:r>
        <w:rPr>
          <w:b w:val="0"/>
          <w:i w:val="0"/>
        </w:rPr>
        <w:t>The Firm's current representation of Ridgeline, TriPoint's controlling owner, needs factual resolution, client notice and, prudently, consent.</w:t>
      </w:r>
    </w:p>
    <w:p>
      <w:pPr>
        <w:spacing w:after="120"/>
      </w:pPr>
      <w:r>
        <w:rPr>
          <w:b w:val="0"/>
          <w:i w:val="0"/>
        </w:rPr>
        <w:t>If the Tier 1 conditions are met and properly documented, the Firm could represent Verano with a newly constituted team while keeping the risk of a disqualification motion manageable. If Ridgeline's consent cannot be obtained where it is required, or if Reilly turns out to have shared TriPoint confidences with the team, we recommend declining the engagement. In that case Verano should be told promptly so it can meet its December 16 filing date with other counsel.</w:t>
      </w:r>
    </w:p>
    <w:p>
      <w:pPr>
        <w:spacing w:after="120"/>
      </w:pPr>
    </w:p>
    <w:p>
      <w:pPr>
        <w:spacing w:after="120"/>
      </w:pPr>
      <w:r>
        <w:rPr>
          <w:b w:val="0"/>
          <w:i w:val="0"/>
        </w:rPr>
        <w:t>Clearance Determination (for General Counsel / Ethics Committee):  ☐ Cleared   ☐ Cleared with Conditions (Part VI)   ☐ Not Cleared   ☐ Pending further investigation</w:t>
      </w:r>
    </w:p>
    <w:p>
      <w:pPr>
        <w:spacing w:after="120"/>
      </w:pPr>
      <w:r>
        <w:rPr>
          <w:b w:val="0"/>
          <w:i w:val="0"/>
        </w:rPr>
        <w:t>Approved: ______________________________   Derek Pruitt, General Counsel        Date: ____________</w:t>
      </w:r>
    </w:p>
    <w:p>
      <w:pPr>
        <w:spacing w:after="120"/>
      </w:pPr>
      <w:r>
        <w:rPr>
          <w:b w:val="0"/>
          <w:i w:val="0"/>
        </w:rPr>
        <w:t>Ethics Committee: ________________________        Date: 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&amp; Confidential — Attorney Work Product — Internal Conflicts Review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