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w:t>
      </w:r>
      <w:r>
        <w:t xml:space="preserve"> </w:t>
      </w:r>
      <w:r>
        <w:t xml:space="preserve">ASSESSMENT</w:t>
      </w:r>
      <w:r>
        <w:t xml:space="preserve"> </w:t>
      </w:r>
      <w:r>
        <w:t xml:space="preserve">MEMORANDUM</w:t>
      </w:r>
    </w:p>
    <w:p>
      <w:pPr>
        <w:pStyle w:val="FirstParagraph"/>
      </w:pPr>
      <w:r>
        <w:rPr>
          <w:b/>
          <w:bCs/>
        </w:rPr>
        <w:t xml:space="preserve">PRIVILEGED AND CONFIDENTIAL — ATTORNEY-CLIENT COMMUNICATION — ATTORNEY WORK PRODUCT — PREPARED IN ANTICIPATION OF LITIGATION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Sandra Whitaker, Senior Partner</w:t>
            </w:r>
          </w:p>
        </w:tc>
      </w:tr>
      <w:tr>
        <w:tc>
          <w:tcPr/>
          <w:p>
            <w:pPr>
              <w:pStyle w:val="Compact"/>
              <w:jc w:val="left"/>
            </w:pPr>
            <w:r>
              <w:rPr>
                <w:b/>
                <w:bCs/>
              </w:rPr>
              <w:t xml:space="preserve">FROM:</w:t>
            </w:r>
          </w:p>
        </w:tc>
        <w:tc>
          <w:tcPr/>
          <w:p>
            <w:pPr>
              <w:pStyle w:val="Compact"/>
              <w:jc w:val="left"/>
            </w:pPr>
            <w:r>
              <w:t xml:space="preserve">[Associate], Whitaker &amp; Colton LLP</w:t>
            </w:r>
          </w:p>
        </w:tc>
      </w:tr>
      <w:tr>
        <w:tc>
          <w:tcPr/>
          <w:p>
            <w:pPr>
              <w:pStyle w:val="Compact"/>
              <w:jc w:val="left"/>
            </w:pPr>
            <w:r>
              <w:rPr>
                <w:b/>
                <w:bCs/>
              </w:rPr>
              <w:t xml:space="preserve">DATE:</w:t>
            </w:r>
          </w:p>
        </w:tc>
        <w:tc>
          <w:tcPr/>
          <w:p>
            <w:pPr>
              <w:pStyle w:val="Compact"/>
              <w:jc w:val="left"/>
            </w:pPr>
            <w:r>
              <w:t xml:space="preserve">May 5, 2025</w:t>
            </w:r>
          </w:p>
        </w:tc>
      </w:tr>
      <w:tr>
        <w:tc>
          <w:tcPr/>
          <w:p>
            <w:pPr>
              <w:pStyle w:val="Compact"/>
              <w:jc w:val="left"/>
            </w:pPr>
            <w:r>
              <w:rPr>
                <w:b/>
                <w:bCs/>
              </w:rPr>
              <w:t xml:space="preserve">CLIENT / MATTER:</w:t>
            </w:r>
          </w:p>
        </w:tc>
        <w:tc>
          <w:tcPr/>
          <w:p>
            <w:pPr>
              <w:pStyle w:val="Compact"/>
              <w:jc w:val="left"/>
            </w:pPr>
            <w:r>
              <w:t xml:space="preserve">Dalton Precision Manufacturing, Inc. — File No. 2025-0447</w:t>
            </w:r>
          </w:p>
        </w:tc>
      </w:tr>
      <w:tr>
        <w:tc>
          <w:tcPr/>
          <w:p>
            <w:pPr>
              <w:pStyle w:val="Compact"/>
              <w:jc w:val="left"/>
            </w:pPr>
            <w:r>
              <w:rPr>
                <w:b/>
                <w:bCs/>
              </w:rPr>
              <w:t xml:space="preserve">RE:</w:t>
            </w:r>
          </w:p>
        </w:tc>
        <w:tc>
          <w:tcPr/>
          <w:p>
            <w:pPr>
              <w:pStyle w:val="Compact"/>
              <w:jc w:val="left"/>
            </w:pPr>
            <w:r>
              <w:t xml:space="preserve">March 14, 2025 Ironclad HX-9000 press failure: liability, defenses, damages, insurance, venue, and action plan</w:t>
            </w:r>
          </w:p>
        </w:tc>
      </w:tr>
    </w:tbl>
    <w:bookmarkStart w:id="20" w:name="bottom-line"/>
    <w:p>
      <w:pPr>
        <w:pStyle w:val="Heading1"/>
      </w:pPr>
      <w:r>
        <w:t xml:space="preserve">1. Bottom Line</w:t>
      </w:r>
    </w:p>
    <w:p>
      <w:pPr>
        <w:pStyle w:val="Compact"/>
        <w:numPr>
          <w:ilvl w:val="0"/>
          <w:numId w:val="1001"/>
        </w:numPr>
      </w:pPr>
      <w:r>
        <w:rPr>
          <w:b/>
          <w:bCs/>
        </w:rPr>
        <w:t xml:space="preserve">Liability against the manufacturers is strong.</w:t>
      </w:r>
      <w:r>
        <w:t xml:space="preserve"> </w:t>
      </w:r>
      <w:r>
        <w:t xml:space="preserve">Meridian’s preliminary report (Dr. Cordero, April 21, 2025) finds two causes that both had to be present: (a) a</w:t>
      </w:r>
      <w:r>
        <w:t xml:space="preserve"> </w:t>
      </w:r>
      <w:r>
        <w:rPr>
          <w:b/>
          <w:bCs/>
        </w:rPr>
        <w:t xml:space="preserve">manufacturing defect</w:t>
      </w:r>
      <w:r>
        <w:t xml:space="preserve"> </w:t>
      </w:r>
      <w:r>
        <w:t xml:space="preserve">in the HydraCore HC-ABL-440 bladder, which tested at 1,450 PSI tensile strength against a 2,800 PSI minimum and 18.7% plasticizer against a 12.0% maximum; and (b) an</w:t>
      </w:r>
      <w:r>
        <w:t xml:space="preserve"> </w:t>
      </w:r>
      <w:r>
        <w:rPr>
          <w:b/>
          <w:bCs/>
        </w:rPr>
        <w:t xml:space="preserve">Ironclad design defect</w:t>
      </w:r>
      <w:r>
        <w:t xml:space="preserve">, namely no redundant pressure relief on the accumulator circuit, contrary to NFPA T2.6.1-2020 §7.3.4 and ISO 4413:2010 cl. 5.4.7.2. The data logs rule out operator error. The Brennan/Cutler emails (Feb. 3–5, 2025) show that Ironclad knew of</w:t>
      </w:r>
      <w:r>
        <w:t xml:space="preserve"> </w:t>
      </w:r>
      <w:r>
        <w:t xml:space="preserve">“</w:t>
      </w:r>
      <w:r>
        <w:t xml:space="preserve">a handful</w:t>
      </w:r>
      <w:r>
        <w:t xml:space="preserve">”</w:t>
      </w:r>
      <w:r>
        <w:t xml:space="preserve"> </w:t>
      </w:r>
      <w:r>
        <w:t xml:space="preserve">of pressure complaints and deliberately held back a field bulletin to avoid</w:t>
      </w:r>
      <w:r>
        <w:t xml:space="preserve"> </w:t>
      </w:r>
      <w:r>
        <w:t xml:space="preserve">“</w:t>
      </w:r>
      <w:r>
        <w:t xml:space="preserve">a paper trail.</w:t>
      </w:r>
      <w:r>
        <w:t xml:space="preserve">”</w:t>
      </w:r>
      <w:r>
        <w:t xml:space="preserve"> </w:t>
      </w:r>
      <w:r>
        <w:t xml:space="preserve">Brennan also named Dalton’s serial number in writing 37 days before the incident. That supports failure-to-warn, gross negligence and punitive-damages theories.</w:t>
      </w:r>
    </w:p>
    <w:p>
      <w:pPr>
        <w:pStyle w:val="Compact"/>
        <w:numPr>
          <w:ilvl w:val="0"/>
          <w:numId w:val="1001"/>
        </w:numPr>
      </w:pPr>
      <w:r>
        <w:rPr>
          <w:b/>
          <w:bCs/>
        </w:rPr>
        <w:t xml:space="preserve">Ironclad’s contract is the main obstacle to Dalton’s own recovery.</w:t>
      </w:r>
      <w:r>
        <w:t xml:space="preserve"> </w:t>
      </w:r>
      <w:r>
        <w:t xml:space="preserve">Dalton’s PO expressly adopts Ironclad’s Standard Terms (Rev. 11/2023) and says those terms control. They include:</w:t>
      </w:r>
    </w:p>
    <w:p>
      <w:pPr>
        <w:pStyle w:val="Compact"/>
        <w:numPr>
          <w:ilvl w:val="1"/>
          <w:numId w:val="1002"/>
        </w:numPr>
      </w:pPr>
      <w:r>
        <w:t xml:space="preserve">AAA arbitration in Grand Rapids;</w:t>
      </w:r>
    </w:p>
    <w:p>
      <w:pPr>
        <w:pStyle w:val="Compact"/>
        <w:numPr>
          <w:ilvl w:val="1"/>
          <w:numId w:val="1002"/>
        </w:numPr>
      </w:pPr>
      <w:r>
        <w:t xml:space="preserve">Michigan law;</w:t>
      </w:r>
    </w:p>
    <w:p>
      <w:pPr>
        <w:pStyle w:val="Compact"/>
        <w:numPr>
          <w:ilvl w:val="1"/>
          <w:numId w:val="1002"/>
        </w:numPr>
      </w:pPr>
      <w:r>
        <w:t xml:space="preserve">a cap equal to the purchase price paid (≤ $1,287,500);</w:t>
      </w:r>
    </w:p>
    <w:p>
      <w:pPr>
        <w:pStyle w:val="Compact"/>
        <w:numPr>
          <w:ilvl w:val="1"/>
          <w:numId w:val="1002"/>
        </w:numPr>
      </w:pPr>
      <w:r>
        <w:t xml:space="preserve">an exclusion of consequential damages and business interruption;</w:t>
      </w:r>
    </w:p>
    <w:p>
      <w:pPr>
        <w:pStyle w:val="Compact"/>
        <w:numPr>
          <w:ilvl w:val="1"/>
          <w:numId w:val="1002"/>
        </w:numPr>
      </w:pPr>
      <w:r>
        <w:t xml:space="preserve">a waiver of punitive damages;</w:t>
      </w:r>
    </w:p>
    <w:p>
      <w:pPr>
        <w:pStyle w:val="Compact"/>
        <w:numPr>
          <w:ilvl w:val="1"/>
          <w:numId w:val="1002"/>
        </w:numPr>
      </w:pPr>
      <w:r>
        <w:t xml:space="preserve">a</w:t>
      </w:r>
      <w:r>
        <w:t xml:space="preserve"> </w:t>
      </w:r>
      <w:r>
        <w:rPr>
          <w:b/>
          <w:bCs/>
        </w:rPr>
        <w:t xml:space="preserve">12-month contractual limitations period, which runs out March 14, 2026</w:t>
      </w:r>
      <w:r>
        <w:t xml:space="preserve">; and</w:t>
      </w:r>
    </w:p>
    <w:p>
      <w:pPr>
        <w:pStyle w:val="Compact"/>
        <w:numPr>
          <w:ilvl w:val="1"/>
          <w:numId w:val="1002"/>
        </w:numPr>
      </w:pPr>
      <w:r>
        <w:t xml:space="preserve">a</w:t>
      </w:r>
      <w:r>
        <w:t xml:space="preserve"> </w:t>
      </w:r>
      <w:r>
        <w:rPr>
          <w:b/>
          <w:bCs/>
        </w:rPr>
        <w:t xml:space="preserve">Buyer indemnity (§11.1(d)) that Ironclad will use to push the employees’ tort claims back onto Dalton.</w:t>
      </w:r>
    </w:p>
    <w:p>
      <w:pPr>
        <w:pStyle w:val="Compact"/>
        <w:numPr>
          <w:ilvl w:val="0"/>
          <w:numId w:val="1001"/>
        </w:numPr>
      </w:pPr>
      <w:r>
        <w:rPr>
          <w:b/>
          <w:bCs/>
        </w:rPr>
        <w:t xml:space="preserve">HydraCore is not a party to that contract.</w:t>
      </w:r>
      <w:r>
        <w:t xml:space="preserve"> </w:t>
      </w:r>
      <w:r>
        <w:t xml:space="preserve">It is the best target for Dalton’s uncapped property claims, and those claims can be brought in an Ohio court under Ohio law.</w:t>
      </w:r>
    </w:p>
    <w:p>
      <w:pPr>
        <w:pStyle w:val="Compact"/>
        <w:numPr>
          <w:ilvl w:val="0"/>
          <w:numId w:val="1001"/>
        </w:numPr>
      </w:pPr>
      <w:r>
        <w:rPr>
          <w:b/>
          <w:bCs/>
        </w:rPr>
        <w:t xml:space="preserve">Dalton’s net exposure is concentrated in three areas:</w:t>
      </w:r>
    </w:p>
    <w:p>
      <w:pPr>
        <w:pStyle w:val="Compact"/>
        <w:numPr>
          <w:ilvl w:val="1"/>
          <w:numId w:val="1003"/>
        </w:numPr>
      </w:pPr>
      <w:r>
        <w:t xml:space="preserve">Ironclad’s contractual indemnity demand, which is probably uninsured;</w:t>
      </w:r>
    </w:p>
    <w:p>
      <w:pPr>
        <w:pStyle w:val="Compact"/>
        <w:numPr>
          <w:ilvl w:val="1"/>
          <w:numId w:val="1003"/>
        </w:numPr>
      </w:pPr>
      <w:r>
        <w:t xml:space="preserve">the OSHA citations, which could be used as evidence of Dalton’s comparative fault; and</w:t>
      </w:r>
    </w:p>
    <w:p>
      <w:pPr>
        <w:pStyle w:val="Compact"/>
        <w:numPr>
          <w:ilvl w:val="1"/>
          <w:numId w:val="1003"/>
        </w:numPr>
      </w:pPr>
      <w:r>
        <w:t xml:space="preserve">first-party losses with</w:t>
      </w:r>
      <w:r>
        <w:t xml:space="preserve"> </w:t>
      </w:r>
      <w:r>
        <w:rPr>
          <w:b/>
          <w:bCs/>
        </w:rPr>
        <w:t xml:space="preserve">no property or business-interruption policy in the file.</w:t>
      </w:r>
    </w:p>
    <w:p>
      <w:pPr>
        <w:pStyle w:val="Compact"/>
        <w:numPr>
          <w:ilvl w:val="0"/>
          <w:numId w:val="1001"/>
        </w:numPr>
      </w:pPr>
      <w:r>
        <w:rPr>
          <w:b/>
          <w:bCs/>
        </w:rPr>
        <w:t xml:space="preserve">Three deadlines are urgent:</w:t>
      </w:r>
    </w:p>
    <w:p>
      <w:pPr>
        <w:pStyle w:val="Compact"/>
        <w:numPr>
          <w:ilvl w:val="1"/>
          <w:numId w:val="1004"/>
        </w:numPr>
      </w:pPr>
      <w:r>
        <w:rPr>
          <w:b/>
          <w:bCs/>
        </w:rPr>
        <w:t xml:space="preserve">OSHA Notice of Contest: May 19, 2025.</w:t>
      </w:r>
      <w:r>
        <w:t xml:space="preserve"> </w:t>
      </w:r>
      <w:r>
        <w:t xml:space="preserve">This is 15 working days, assuming the citations were received April 28. Confirm the receipt date.</w:t>
      </w:r>
    </w:p>
    <w:p>
      <w:pPr>
        <w:pStyle w:val="Compact"/>
        <w:numPr>
          <w:ilvl w:val="1"/>
          <w:numId w:val="1004"/>
        </w:numPr>
      </w:pPr>
      <w:r>
        <w:rPr>
          <w:b/>
          <w:bCs/>
        </w:rPr>
        <w:t xml:space="preserve">Find and notice any first-party property/BI or equipment-breakdown policy immediately.</w:t>
      </w:r>
      <w:r>
        <w:t xml:space="preserve"> </w:t>
      </w:r>
      <w:r>
        <w:t xml:space="preserve">Proof-of-loss periods of about 60 days may already be running.</w:t>
      </w:r>
    </w:p>
    <w:p>
      <w:pPr>
        <w:pStyle w:val="Compact"/>
        <w:numPr>
          <w:ilvl w:val="1"/>
          <w:numId w:val="1004"/>
        </w:numPr>
      </w:pPr>
      <w:r>
        <w:rPr>
          <w:b/>
          <w:bCs/>
        </w:rPr>
        <w:t xml:space="preserve">Get the engagement letter signed.</w:t>
      </w:r>
      <w:r>
        <w:t xml:space="preserve"> </w:t>
      </w:r>
      <w:r>
        <w:t xml:space="preserve">It is still unsigned, and our privilege and work-product protection over Meridian’s work depends on the engagement.</w:t>
      </w:r>
    </w:p>
    <w:bookmarkEnd w:id="20"/>
    <w:bookmarkStart w:id="21" w:name="documents-reviewed"/>
    <w:p>
      <w:pPr>
        <w:pStyle w:val="Heading1"/>
      </w:pPr>
      <w:r>
        <w:t xml:space="preserve">2. Documents Reviewed</w:t>
      </w:r>
    </w:p>
    <w:p>
      <w:pPr>
        <w:pStyle w:val="Compact"/>
        <w:numPr>
          <w:ilvl w:val="0"/>
          <w:numId w:val="1005"/>
        </w:numPr>
      </w:pPr>
      <w:r>
        <w:t xml:space="preserve">Engagement letter (Mar. 22, 2025;</w:t>
      </w:r>
      <w:r>
        <w:t xml:space="preserve"> </w:t>
      </w:r>
      <w:r>
        <w:rPr>
          <w:b/>
          <w:bCs/>
        </w:rPr>
        <w:t xml:space="preserve">unsigned by either party</w:t>
      </w:r>
      <w:r>
        <w:t xml:space="preserve">)</w:t>
      </w:r>
    </w:p>
    <w:p>
      <w:pPr>
        <w:pStyle w:val="Compact"/>
        <w:numPr>
          <w:ilvl w:val="0"/>
          <w:numId w:val="1005"/>
        </w:numPr>
      </w:pPr>
      <w:r>
        <w:t xml:space="preserve">Dalton EHS Incident Report EHS-IR-2025-003 (Mar. 16, 2025)</w:t>
      </w:r>
    </w:p>
    <w:p>
      <w:pPr>
        <w:pStyle w:val="Compact"/>
        <w:numPr>
          <w:ilvl w:val="0"/>
          <w:numId w:val="1005"/>
        </w:numPr>
      </w:pPr>
      <w:r>
        <w:t xml:space="preserve">Meridian Preliminary Forensic Report MFE-2025-0147 (Apr. 21, 2025)</w:t>
      </w:r>
    </w:p>
    <w:p>
      <w:pPr>
        <w:pStyle w:val="Compact"/>
        <w:numPr>
          <w:ilvl w:val="0"/>
          <w:numId w:val="1005"/>
        </w:numPr>
      </w:pPr>
      <w:r>
        <w:t xml:space="preserve">Purchase Order DPM-2024-0892 and Certificate of Acceptance (Dec. 16, 2024)</w:t>
      </w:r>
    </w:p>
    <w:p>
      <w:pPr>
        <w:pStyle w:val="Compact"/>
        <w:numPr>
          <w:ilvl w:val="0"/>
          <w:numId w:val="1005"/>
        </w:numPr>
      </w:pPr>
      <w:r>
        <w:t xml:space="preserve">Ironclad Standard Terms and Conditions of Sale, Rev. 11/2023</w:t>
      </w:r>
    </w:p>
    <w:p>
      <w:pPr>
        <w:pStyle w:val="Compact"/>
        <w:numPr>
          <w:ilvl w:val="0"/>
          <w:numId w:val="1005"/>
        </w:numPr>
      </w:pPr>
      <w:r>
        <w:t xml:space="preserve">Ohio Division of Safety &amp; Hygiene Citation OH-2025-04218 (Apr. 28, 2025)</w:t>
      </w:r>
    </w:p>
    <w:p>
      <w:pPr>
        <w:pStyle w:val="Compact"/>
        <w:numPr>
          <w:ilvl w:val="0"/>
          <w:numId w:val="1005"/>
        </w:numPr>
      </w:pPr>
      <w:r>
        <w:t xml:space="preserve">Ironclad internal email chain (Brennan/Cutler, Feb. 3–5, 2025)</w:t>
      </w:r>
    </w:p>
    <w:p>
      <w:pPr>
        <w:pStyle w:val="Compact"/>
        <w:numPr>
          <w:ilvl w:val="0"/>
          <w:numId w:val="1005"/>
        </w:numPr>
      </w:pPr>
      <w:r>
        <w:t xml:space="preserve">Pinnacle Mutual CGL and Great Plains umbrella declarations</w:t>
      </w:r>
    </w:p>
    <w:p>
      <w:pPr>
        <w:pStyle w:val="Compact"/>
        <w:numPr>
          <w:ilvl w:val="0"/>
          <w:numId w:val="1005"/>
        </w:numPr>
      </w:pPr>
      <w:r>
        <w:t xml:space="preserve">Paralegal damages summary workbook (May 2, 2025)</w:t>
      </w:r>
    </w:p>
    <w:p>
      <w:pPr>
        <w:pStyle w:val="FirstParagraph"/>
      </w:pPr>
      <w:r>
        <w:t xml:space="preserve">Statutory and case references below are for orientation.</w:t>
      </w:r>
      <w:r>
        <w:t xml:space="preserve"> </w:t>
      </w:r>
      <w:r>
        <w:rPr>
          <w:b/>
          <w:bCs/>
        </w:rPr>
        <w:t xml:space="preserve">Verify all of them before relying on them in any filing.</w:t>
      </w:r>
    </w:p>
    <w:bookmarkEnd w:id="21"/>
    <w:bookmarkStart w:id="22" w:name="key-facts"/>
    <w:p>
      <w:pPr>
        <w:pStyle w:val="Heading1"/>
      </w:pPr>
      <w:r>
        <w:t xml:space="preserve">3. Key Facts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Aug. 5 / 8, 2024</w:t>
            </w:r>
          </w:p>
        </w:tc>
        <w:tc>
          <w:tcPr/>
          <w:p>
            <w:pPr>
              <w:pStyle w:val="Compact"/>
              <w:jc w:val="left"/>
            </w:pPr>
            <w:r>
              <w:t xml:space="preserve">PO signed by Kemp; accepted by Brennan</w:t>
            </w:r>
            <w:r>
              <w:t xml:space="preserve"> </w:t>
            </w:r>
            <w:r>
              <w:t xml:space="preserve">“</w:t>
            </w:r>
            <w:r>
              <w:t xml:space="preserve">subject to</w:t>
            </w:r>
            <w:r>
              <w:t xml:space="preserve">”</w:t>
            </w:r>
            <w:r>
              <w:t xml:space="preserve"> </w:t>
            </w:r>
            <w:r>
              <w:t xml:space="preserve">the Standard Terms. Price $1,287,500.</w:t>
            </w:r>
          </w:p>
        </w:tc>
      </w:tr>
      <w:tr>
        <w:tc>
          <w:tcPr/>
          <w:p>
            <w:pPr>
              <w:pStyle w:val="Compact"/>
              <w:jc w:val="left"/>
            </w:pPr>
            <w:r>
              <w:t xml:space="preserve">Sept. 15, 2024</w:t>
            </w:r>
          </w:p>
        </w:tc>
        <w:tc>
          <w:tcPr/>
          <w:p>
            <w:pPr>
              <w:pStyle w:val="Compact"/>
              <w:jc w:val="left"/>
            </w:pPr>
            <w:r>
              <w:t xml:space="preserve">Dalton’s internal LOTO audit finds faded tags and 12 employees with incomplete retraining. Remediated by Oct. 8, 2024.</w:t>
            </w:r>
          </w:p>
        </w:tc>
      </w:tr>
      <w:tr>
        <w:tc>
          <w:tcPr/>
          <w:p>
            <w:pPr>
              <w:pStyle w:val="Compact"/>
              <w:jc w:val="left"/>
            </w:pPr>
            <w:r>
              <w:t xml:space="preserve">Dec. 9–16, 2024</w:t>
            </w:r>
          </w:p>
        </w:tc>
        <w:tc>
          <w:tcPr/>
          <w:p>
            <w:pPr>
              <w:pStyle w:val="Compact"/>
              <w:jc w:val="left"/>
            </w:pPr>
            <w:r>
              <w:t xml:space="preserve">Ironclad installs and commissions the press. Dalton LOTO procedure LOTO-HX9000-01 revised Dec. 13 (during Ironclad’s installation). Certificate of Acceptance signed Dec. 16, with no exceptions noted.</w:t>
            </w:r>
          </w:p>
        </w:tc>
      </w:tr>
      <w:tr>
        <w:tc>
          <w:tcPr/>
          <w:p>
            <w:pPr>
              <w:pStyle w:val="Compact"/>
              <w:jc w:val="left"/>
            </w:pPr>
            <w:r>
              <w:t xml:space="preserve">Feb. 3–5, 2025</w:t>
            </w:r>
          </w:p>
        </w:tc>
        <w:tc>
          <w:tcPr/>
          <w:p>
            <w:pPr>
              <w:pStyle w:val="Compact"/>
              <w:jc w:val="left"/>
            </w:pPr>
            <w:r>
              <w:t xml:space="preserve">Apex Forging complaint escalated. Cutler:</w:t>
            </w:r>
            <w:r>
              <w:t xml:space="preserve"> </w:t>
            </w:r>
            <w:r>
              <w:t xml:space="preserve">“</w:t>
            </w:r>
            <w:r>
              <w:t xml:space="preserve">hold off on any field bulletin… don’t want to create a paper trail.</w:t>
            </w:r>
            <w:r>
              <w:t xml:space="preserve">”</w:t>
            </w:r>
            <w:r>
              <w:t xml:space="preserve"> </w:t>
            </w:r>
            <w:r>
              <w:t xml:space="preserve">Brennan flags the Dayton unit, S/N HX9-2024-03417.</w:t>
            </w:r>
          </w:p>
        </w:tc>
      </w:tr>
      <w:tr>
        <w:tc>
          <w:tcPr/>
          <w:p>
            <w:pPr>
              <w:pStyle w:val="Compact"/>
              <w:jc w:val="left"/>
            </w:pPr>
            <w:r>
              <w:t xml:space="preserve">Feb. 28, 2025</w:t>
            </w:r>
          </w:p>
        </w:tc>
        <w:tc>
          <w:tcPr/>
          <w:p>
            <w:pPr>
              <w:pStyle w:val="Compact"/>
              <w:jc w:val="left"/>
            </w:pPr>
            <w:r>
              <w:t xml:space="preserve">Last preventive maintenance. No issues found.</w:t>
            </w:r>
          </w:p>
        </w:tc>
      </w:tr>
      <w:tr>
        <w:tc>
          <w:tcPr/>
          <w:p>
            <w:pPr>
              <w:pStyle w:val="Compact"/>
              <w:jc w:val="left"/>
            </w:pPr>
            <w:r>
              <w:t xml:space="preserve">Mar. 14, 2025</w:t>
            </w:r>
          </w:p>
        </w:tc>
        <w:tc>
          <w:tcPr/>
          <w:p>
            <w:pPr>
              <w:pStyle w:val="Compact"/>
              <w:jc w:val="left"/>
            </w:pPr>
            <w:r>
              <w:t xml:space="preserve">Bladder ruptures at 2:31 PM; the 1,200-lb piston rod is ejected. Reyes killed; Trask (amputation, TBI) and Anand (tib/fib fracture, burns, PTSD) seriously injured. Insurers notified the same evening.</w:t>
            </w:r>
          </w:p>
        </w:tc>
      </w:tr>
      <w:tr>
        <w:tc>
          <w:tcPr/>
          <w:p>
            <w:pPr>
              <w:pStyle w:val="Compact"/>
              <w:jc w:val="left"/>
            </w:pPr>
            <w:r>
              <w:t xml:space="preserve">Mar. 15–17, 2025</w:t>
            </w:r>
          </w:p>
        </w:tc>
        <w:tc>
          <w:tcPr/>
          <w:p>
            <w:pPr>
              <w:pStyle w:val="Compact"/>
              <w:jc w:val="left"/>
            </w:pPr>
            <w:r>
              <w:t xml:space="preserve">OSHA inspection. Written warranty notice sent to Ironclad Mar. 15. Brennan tells Kemp on Mar. 16 that</w:t>
            </w:r>
            <w:r>
              <w:t xml:space="preserve"> </w:t>
            </w:r>
            <w:r>
              <w:t xml:space="preserve">“</w:t>
            </w:r>
            <w:r>
              <w:t xml:space="preserve">one or two other customers</w:t>
            </w:r>
            <w:r>
              <w:t xml:space="preserve">”</w:t>
            </w:r>
            <w:r>
              <w:t xml:space="preserve"> </w:t>
            </w:r>
            <w:r>
              <w:t xml:space="preserve">had reported pressure issues.</w:t>
            </w:r>
          </w:p>
        </w:tc>
      </w:tr>
      <w:tr>
        <w:tc>
          <w:tcPr/>
          <w:p>
            <w:pPr>
              <w:pStyle w:val="Compact"/>
              <w:jc w:val="left"/>
            </w:pPr>
            <w:r>
              <w:t xml:space="preserve">Mar. 24 – Apr. 21, 2025</w:t>
            </w:r>
          </w:p>
        </w:tc>
        <w:tc>
          <w:tcPr/>
          <w:p>
            <w:pPr>
              <w:pStyle w:val="Compact"/>
              <w:jc w:val="left"/>
            </w:pPr>
            <w:r>
              <w:t xml:space="preserve">Meridian retained; site inspections; destructive testing; preliminary report issued.</w:t>
            </w:r>
          </w:p>
        </w:tc>
      </w:tr>
      <w:tr>
        <w:tc>
          <w:tcPr/>
          <w:p>
            <w:pPr>
              <w:pStyle w:val="Compact"/>
              <w:jc w:val="left"/>
            </w:pPr>
            <w:r>
              <w:t xml:space="preserve">Apr. 28, 2025</w:t>
            </w:r>
          </w:p>
        </w:tc>
        <w:tc>
          <w:tcPr/>
          <w:p>
            <w:pPr>
              <w:pStyle w:val="Compact"/>
              <w:jc w:val="left"/>
            </w:pPr>
            <w:r>
              <w:t xml:space="preserve">OSHA issues two Serious citations, $31,400 in total.</w:t>
            </w:r>
          </w:p>
        </w:tc>
      </w:tr>
    </w:tbl>
    <w:bookmarkEnd w:id="22"/>
    <w:bookmarkStart w:id="27" w:name="liability-analysis"/>
    <w:p>
      <w:pPr>
        <w:pStyle w:val="Heading1"/>
      </w:pPr>
      <w:r>
        <w:t xml:space="preserve">4. Liability Analysis</w:t>
      </w:r>
    </w:p>
    <w:bookmarkStart w:id="23" w:name="X8d35475e07528032a58a6aefc93e2aefe3d2d84"/>
    <w:p>
      <w:pPr>
        <w:pStyle w:val="Heading2"/>
      </w:pPr>
      <w:r>
        <w:t xml:space="preserve">4.1 HydraCore Components, LLC (bladder manufacturer)</w:t>
      </w:r>
    </w:p>
    <w:p>
      <w:pPr>
        <w:pStyle w:val="Compact"/>
        <w:numPr>
          <w:ilvl w:val="0"/>
          <w:numId w:val="1006"/>
        </w:numPr>
      </w:pPr>
      <w:r>
        <w:rPr>
          <w:b/>
          <w:bCs/>
        </w:rPr>
        <w:t xml:space="preserve">Manufacturing defect.</w:t>
      </w:r>
      <w:r>
        <w:t xml:space="preserve"> </w:t>
      </w:r>
      <w:r>
        <w:t xml:space="preserve">The bladder departs from HydraCore’s own specification on every property tested: tensile strength at 51.8% of the minimum, plasticizer 55.8% over the maximum, hardness of 48 Shore A against a 60–70 range, and poor retained strength after aging. The fracture was brittle, and there was no external damage or fluid contamination. This fits the classic</w:t>
      </w:r>
      <w:r>
        <w:t xml:space="preserve"> </w:t>
      </w:r>
      <w:r>
        <w:t xml:space="preserve">“</w:t>
      </w:r>
      <w:r>
        <w:t xml:space="preserve">deviation from design specifications</w:t>
      </w:r>
      <w:r>
        <w:t xml:space="preserve">”</w:t>
      </w:r>
      <w:r>
        <w:t xml:space="preserve"> </w:t>
      </w:r>
      <w:r>
        <w:t xml:space="preserve">test under the Ohio Product Liability Act (R.C. 2307.74). Strength:</w:t>
      </w:r>
      <w:r>
        <w:t xml:space="preserve"> </w:t>
      </w:r>
      <w:r>
        <w:rPr>
          <w:b/>
          <w:bCs/>
        </w:rPr>
        <w:t xml:space="preserve">high</w:t>
      </w:r>
      <w:r>
        <w:t xml:space="preserve">.</w:t>
      </w:r>
    </w:p>
    <w:p>
      <w:pPr>
        <w:pStyle w:val="Compact"/>
        <w:numPr>
          <w:ilvl w:val="0"/>
          <w:numId w:val="1006"/>
        </w:numPr>
      </w:pPr>
      <w:r>
        <w:rPr>
          <w:b/>
          <w:bCs/>
        </w:rPr>
        <w:t xml:space="preserve">Batch-wide problem.</w:t>
      </w:r>
      <w:r>
        <w:t xml:space="preserve"> </w:t>
      </w:r>
      <w:r>
        <w:t xml:space="preserve">Cutler’s email says Ironclad asked HydraCore for batch records in early February. The records already exist, and HydraCore may also have prior notice.</w:t>
      </w:r>
    </w:p>
    <w:p>
      <w:pPr>
        <w:pStyle w:val="Compact"/>
        <w:numPr>
          <w:ilvl w:val="0"/>
          <w:numId w:val="1006"/>
        </w:numPr>
      </w:pPr>
      <w:r>
        <w:rPr>
          <w:b/>
          <w:bCs/>
        </w:rPr>
        <w:t xml:space="preserve">Limits:</w:t>
      </w:r>
      <w:r>
        <w:t xml:space="preserve"> </w:t>
      </w:r>
      <w:r>
        <w:t xml:space="preserve">HydraCore will say the rupture alone would have caused a controlled shutdown if Ironclad’s design had been adequate. It will try to shift the severity of the harm to Ironclad (and to Dalton’s guarding). It may also claim the benefit of Ironclad’s liability cap, because §12.4 extends the cap to</w:t>
      </w:r>
      <w:r>
        <w:t xml:space="preserve"> </w:t>
      </w:r>
      <w:r>
        <w:t xml:space="preserve">“</w:t>
      </w:r>
      <w:r>
        <w:t xml:space="preserve">suppliers.</w:t>
      </w:r>
      <w:r>
        <w:t xml:space="preserve">”</w:t>
      </w:r>
      <w:r>
        <w:t xml:space="preserve"> </w:t>
      </w:r>
      <w:r>
        <w:t xml:space="preserve">That argument is weak: HydraCore gave no consideration, §15.8 disclaims third-party beneficiaries, and HydraCore was not a party to the Dalton sale.</w:t>
      </w:r>
    </w:p>
    <w:bookmarkEnd w:id="23"/>
    <w:bookmarkStart w:id="24" w:name="X400c2480a5a088291c83174f4b82c5600029c41"/>
    <w:p>
      <w:pPr>
        <w:pStyle w:val="Heading2"/>
      </w:pPr>
      <w:r>
        <w:t xml:space="preserve">4.2 Ironclad Systems Corp. (press manufacturer / seller / installer)</w:t>
      </w:r>
    </w:p>
    <w:p>
      <w:pPr>
        <w:pStyle w:val="Compact"/>
        <w:numPr>
          <w:ilvl w:val="0"/>
          <w:numId w:val="1007"/>
        </w:numPr>
      </w:pPr>
      <w:r>
        <w:rPr>
          <w:b/>
          <w:bCs/>
        </w:rPr>
        <w:t xml:space="preserve">Design defect</w:t>
      </w:r>
      <w:r>
        <w:t xml:space="preserve"> </w:t>
      </w:r>
      <w:r>
        <w:t xml:space="preserve">(R.C. 2307.75, or the Michigan equivalent). A single relief valve sits downstream of check and flow-control valves, which trapped the surge. Cordero says a redundant accumulator relief valve would have produced</w:t>
      </w:r>
      <w:r>
        <w:t xml:space="preserve"> </w:t>
      </w:r>
      <w:r>
        <w:t xml:space="preserve">“</w:t>
      </w:r>
      <w:r>
        <w:t xml:space="preserve">a controlled fluid leak and orderly press shutdown.</w:t>
      </w:r>
      <w:r>
        <w:t xml:space="preserve">”</w:t>
      </w:r>
      <w:r>
        <w:t xml:space="preserve"> </w:t>
      </w:r>
      <w:r>
        <w:t xml:space="preserve">A feasible alternative design and industry-standard practice (presses over 1,000 metric tons) are both documented.</w:t>
      </w:r>
    </w:p>
    <w:p>
      <w:pPr>
        <w:pStyle w:val="Compact"/>
        <w:numPr>
          <w:ilvl w:val="0"/>
          <w:numId w:val="1007"/>
        </w:numPr>
      </w:pPr>
      <w:r>
        <w:rPr>
          <w:b/>
          <w:bCs/>
        </w:rPr>
        <w:t xml:space="preserve">Express warranty and misrepresentation.</w:t>
      </w:r>
      <w:r>
        <w:t xml:space="preserve"> </w:t>
      </w:r>
      <w:r>
        <w:t xml:space="preserve">In Terms §18.1, Ironclad represents that the press is designed</w:t>
      </w:r>
      <w:r>
        <w:t xml:space="preserve"> </w:t>
      </w:r>
      <w:r>
        <w:t xml:space="preserve">“</w:t>
      </w:r>
      <w:r>
        <w:t xml:space="preserve">in accordance with</w:t>
      </w:r>
      <w:r>
        <w:t xml:space="preserve">”</w:t>
      </w:r>
      <w:r>
        <w:t xml:space="preserve"> </w:t>
      </w:r>
      <w:r>
        <w:t xml:space="preserve">NFPA and ISO standards. Cordero identifies specific non-compliance. This is an affirmation in Ironclad’s own drafted terms, so the §10.4 disclaimer does not reach it.</w:t>
      </w:r>
    </w:p>
    <w:p>
      <w:pPr>
        <w:pStyle w:val="Compact"/>
        <w:numPr>
          <w:ilvl w:val="0"/>
          <w:numId w:val="1007"/>
        </w:numPr>
      </w:pPr>
      <w:r>
        <w:rPr>
          <w:b/>
          <w:bCs/>
        </w:rPr>
        <w:t xml:space="preserve">Failure to warn after sale</w:t>
      </w:r>
      <w:r>
        <w:t xml:space="preserve"> </w:t>
      </w:r>
      <w:r>
        <w:t xml:space="preserve">(R.C. 2307.76(A)(2)). Ironclad had actual knowledge by Feb. 3, 2025, and made a conscious decision not to warn, with Dalton’s unit specifically identified. A bladder inspection or pressure-decay test in early February would probably have caught the defect.</w:t>
      </w:r>
    </w:p>
    <w:p>
      <w:pPr>
        <w:pStyle w:val="Compact"/>
        <w:numPr>
          <w:ilvl w:val="0"/>
          <w:numId w:val="1007"/>
        </w:numPr>
      </w:pPr>
      <w:r>
        <w:rPr>
          <w:b/>
          <w:bCs/>
        </w:rPr>
        <w:t xml:space="preserve">Supplier oversight and negligence.</w:t>
      </w:r>
      <w:r>
        <w:t xml:space="preserve"> </w:t>
      </w:r>
      <w:r>
        <w:t xml:space="preserve">Ironclad chose HydraCore and apparently did no incoming inspection. This needs discovery.</w:t>
      </w:r>
    </w:p>
    <w:p>
      <w:pPr>
        <w:pStyle w:val="Compact"/>
        <w:numPr>
          <w:ilvl w:val="0"/>
          <w:numId w:val="1007"/>
        </w:numPr>
      </w:pPr>
      <w:r>
        <w:rPr>
          <w:b/>
          <w:bCs/>
        </w:rPr>
        <w:t xml:space="preserve">Gross negligence, willful misconduct and punitive damages.</w:t>
      </w:r>
      <w:r>
        <w:t xml:space="preserve"> </w:t>
      </w:r>
      <w:r>
        <w:t xml:space="preserve">The Cutler email is the centerpiece. Punitive damages are available in the employees’ Ohio tort suits (R.C. 2307.80 / 2315.21,</w:t>
      </w:r>
      <w:r>
        <w:t xml:space="preserve"> </w:t>
      </w:r>
      <w:r>
        <w:t xml:space="preserve">“</w:t>
      </w:r>
      <w:r>
        <w:t xml:space="preserve">flagrant disregard</w:t>
      </w:r>
      <w:r>
        <w:t xml:space="preserve">”</w:t>
      </w:r>
      <w:r>
        <w:t xml:space="preserve">; generally capped at 2× compensatory damages). §14.2 waives them in any Dalton–Ironclad arbitration. The email also supports arguments that the cap and the exculpatory terms cannot apply to gross negligence or willful misconduct (under Michigan public policy).</w:t>
      </w:r>
    </w:p>
    <w:p>
      <w:pPr>
        <w:pStyle w:val="Compact"/>
        <w:numPr>
          <w:ilvl w:val="0"/>
          <w:numId w:val="1007"/>
        </w:numPr>
      </w:pPr>
      <w:r>
        <w:rPr>
          <w:b/>
          <w:bCs/>
        </w:rPr>
        <w:t xml:space="preserve">Installer negligence (§11.2).</w:t>
      </w:r>
      <w:r>
        <w:t xml:space="preserve"> </w:t>
      </w:r>
      <w:r>
        <w:t xml:space="preserve">Ironclad agreed to indemnify Dalton only for its</w:t>
      </w:r>
      <w:r>
        <w:t xml:space="preserve"> </w:t>
      </w:r>
      <w:r>
        <w:rPr>
          <w:i/>
          <w:iCs/>
        </w:rPr>
        <w:t xml:space="preserve">gross negligence or willful misconduct in installation</w:t>
      </w:r>
      <w:r>
        <w:t xml:space="preserve">. Investigate whether Ironclad’s technicians set up or signed off on the accumulator isolation and guarding, and whether they drafted or reviewed LOTO-HX9000-01, which was revised Dec. 13, the last day of installation.</w:t>
      </w:r>
    </w:p>
    <w:bookmarkEnd w:id="24"/>
    <w:bookmarkStart w:id="25" w:name="allocation-between-the-defendants"/>
    <w:p>
      <w:pPr>
        <w:pStyle w:val="Heading2"/>
      </w:pPr>
      <w:r>
        <w:t xml:space="preserve">4.3 Allocation between the defendants</w:t>
      </w:r>
    </w:p>
    <w:p>
      <w:pPr>
        <w:pStyle w:val="FirstParagraph"/>
      </w:pPr>
      <w:r>
        <w:t xml:space="preserve">Cordero calls the bladder defect the</w:t>
      </w:r>
      <w:r>
        <w:t xml:space="preserve"> </w:t>
      </w:r>
      <w:r>
        <w:rPr>
          <w:b/>
          <w:bCs/>
        </w:rPr>
        <w:t xml:space="preserve">initiating</w:t>
      </w:r>
      <w:r>
        <w:t xml:space="preserve"> </w:t>
      </w:r>
      <w:r>
        <w:t xml:space="preserve">cause and the design defect the</w:t>
      </w:r>
      <w:r>
        <w:t xml:space="preserve"> </w:t>
      </w:r>
      <w:r>
        <w:rPr>
          <w:b/>
          <w:bCs/>
        </w:rPr>
        <w:t xml:space="preserve">amplifying</w:t>
      </w:r>
      <w:r>
        <w:t xml:space="preserve"> </w:t>
      </w:r>
      <w:r>
        <w:t xml:space="preserve">cause, and says both were necessary to the outcome. Neither defendant can escape by blaming the other. Under Ohio law (R.C. 2307.22–.23, verify) the fact-finder apportions fault. A defendant found more than 50% at fault is jointly and severally liable for</w:t>
      </w:r>
      <w:r>
        <w:t xml:space="preserve"> </w:t>
      </w:r>
      <w:r>
        <w:rPr>
          <w:b/>
          <w:bCs/>
        </w:rPr>
        <w:t xml:space="preserve">economic</w:t>
      </w:r>
      <w:r>
        <w:t xml:space="preserve"> </w:t>
      </w:r>
      <w:r>
        <w:t xml:space="preserve">damages only; non-economic damages are several.</w:t>
      </w:r>
      <w:r>
        <w:t xml:space="preserve"> </w:t>
      </w:r>
      <w:r>
        <w:rPr>
          <w:i/>
          <w:iCs/>
        </w:rPr>
        <w:t xml:space="preserve">The damages workbook overstates this as full joint and several liability. It should be corrected.</w:t>
      </w:r>
      <w:r>
        <w:t xml:space="preserve"> </w:t>
      </w:r>
      <w:r>
        <w:t xml:space="preserve">Ohio may also allow fault to be assigned to non-parties, including an immune employer (R.C. 2307.23(C)). Expect both defendants to point to Dalton.</w:t>
      </w:r>
    </w:p>
    <w:bookmarkEnd w:id="25"/>
    <w:bookmarkStart w:id="26" w:name="daltons-own-exposure"/>
    <w:p>
      <w:pPr>
        <w:pStyle w:val="Heading2"/>
      </w:pPr>
      <w:r>
        <w:t xml:space="preserve">4.4 Dalton’s own exposure</w:t>
      </w:r>
    </w:p>
    <w:p>
      <w:pPr>
        <w:pStyle w:val="Compact"/>
        <w:numPr>
          <w:ilvl w:val="0"/>
          <w:numId w:val="1008"/>
        </w:numPr>
      </w:pPr>
      <w:r>
        <w:rPr>
          <w:b/>
          <w:bCs/>
        </w:rPr>
        <w:t xml:space="preserve">Employee tort claims against Dalton.</w:t>
      </w:r>
      <w:r>
        <w:t xml:space="preserve"> </w:t>
      </w:r>
      <w:r>
        <w:t xml:space="preserve">These are barred by workers’ compensation exclusivity (R.C. 4123.74). The exception is an employer intentional tort under R.C. 2745.01, which requires deliberate intent to injure. The presumption for</w:t>
      </w:r>
      <w:r>
        <w:t xml:space="preserve"> </w:t>
      </w:r>
      <w:r>
        <w:t xml:space="preserve">“</w:t>
      </w:r>
      <w:r>
        <w:t xml:space="preserve">deliberate removal of an equipment safety guard</w:t>
      </w:r>
      <w:r>
        <w:t xml:space="preserve">”</w:t>
      </w:r>
      <w:r>
        <w:t xml:space="preserve"> </w:t>
      </w:r>
      <w:r>
        <w:t xml:space="preserve">does not fit, because nothing was removed. Risk:</w:t>
      </w:r>
      <w:r>
        <w:t xml:space="preserve"> </w:t>
      </w:r>
      <w:r>
        <w:rPr>
          <w:b/>
          <w:bCs/>
        </w:rPr>
        <w:t xml:space="preserve">low</w:t>
      </w:r>
      <w:r>
        <w:t xml:space="preserve">, but expect it to be pleaded given the OSHA citations and the September 2024 audit.</w:t>
      </w:r>
    </w:p>
    <w:p>
      <w:pPr>
        <w:pStyle w:val="Compact"/>
        <w:numPr>
          <w:ilvl w:val="0"/>
          <w:numId w:val="1008"/>
        </w:numPr>
      </w:pPr>
      <w:r>
        <w:rPr>
          <w:b/>
          <w:bCs/>
        </w:rPr>
        <w:t xml:space="preserve">Comparative fault.</w:t>
      </w:r>
      <w:r>
        <w:t xml:space="preserve"> </w:t>
      </w:r>
      <w:r>
        <w:t xml:space="preserve">Ironclad and HydraCore will use the OSHA citations, the faded-tag audit, the acceptance</w:t>
      </w:r>
      <w:r>
        <w:t xml:space="preserve"> </w:t>
      </w:r>
      <w:r>
        <w:t xml:space="preserve">“</w:t>
      </w:r>
      <w:r>
        <w:t xml:space="preserve">with no exceptions,</w:t>
      </w:r>
      <w:r>
        <w:t xml:space="preserve">”</w:t>
      </w:r>
      <w:r>
        <w:t xml:space="preserve"> </w:t>
      </w:r>
      <w:r>
        <w:t xml:space="preserve">and the absence of an independent hazard assessment. Mitigating points:</w:t>
      </w:r>
    </w:p>
    <w:p>
      <w:pPr>
        <w:pStyle w:val="Compact"/>
        <w:numPr>
          <w:ilvl w:val="1"/>
          <w:numId w:val="1009"/>
        </w:numPr>
      </w:pPr>
      <w:r>
        <w:t xml:space="preserve">Cordero finds the guarding and LOTO conditions</w:t>
      </w:r>
      <w:r>
        <w:t xml:space="preserve"> </w:t>
      </w:r>
      <w:r>
        <w:rPr>
          <w:b/>
          <w:bCs/>
        </w:rPr>
        <w:t xml:space="preserve">did not cause</w:t>
      </w:r>
      <w:r>
        <w:t xml:space="preserve"> </w:t>
      </w:r>
      <w:r>
        <w:t xml:space="preserve">the rupture and bear only on how severe the harm was;</w:t>
      </w:r>
    </w:p>
    <w:p>
      <w:pPr>
        <w:pStyle w:val="Compact"/>
        <w:numPr>
          <w:ilvl w:val="1"/>
          <w:numId w:val="1009"/>
        </w:numPr>
      </w:pPr>
      <w:r>
        <w:t xml:space="preserve">the press was in production, not being serviced; and</w:t>
      </w:r>
    </w:p>
    <w:p>
      <w:pPr>
        <w:pStyle w:val="Compact"/>
        <w:numPr>
          <w:ilvl w:val="1"/>
          <w:numId w:val="1009"/>
        </w:numPr>
      </w:pPr>
      <w:r>
        <w:t xml:space="preserve">Dalton’s TRIR of 2.86 is below the industry average of 3.2.</w:t>
      </w:r>
    </w:p>
    <w:p>
      <w:pPr>
        <w:pStyle w:val="Compact"/>
        <w:numPr>
          <w:ilvl w:val="0"/>
          <w:numId w:val="1008"/>
        </w:numPr>
      </w:pPr>
      <w:r>
        <w:rPr>
          <w:b/>
          <w:bCs/>
        </w:rPr>
        <w:t xml:space="preserve">Contractual indemnity to Ironclad (§11.1(d)).</w:t>
      </w:r>
      <w:r>
        <w:t xml:space="preserve"> </w:t>
      </w:r>
      <w:r>
        <w:t xml:space="preserve">This is the most dangerous provision. See Section 5.3.</w:t>
      </w:r>
    </w:p>
    <w:bookmarkEnd w:id="26"/>
    <w:bookmarkEnd w:id="27"/>
    <w:bookmarkStart w:id="33" w:name="anticipated-defenses-and-our-responses"/>
    <w:p>
      <w:pPr>
        <w:pStyle w:val="Heading1"/>
      </w:pPr>
      <w:r>
        <w:t xml:space="preserve">5. Anticipated Defenses and Our Responses</w:t>
      </w:r>
    </w:p>
    <w:bookmarkStart w:id="28" w:name="X7cc45b9b04fbfc77a1ee3ad8981f04da2c3d9dc"/>
    <w:p>
      <w:pPr>
        <w:pStyle w:val="Heading2"/>
      </w:pPr>
      <w:r>
        <w:t xml:space="preserve">5.1 Arbitration, forum and governing law (§§14, 15.1–15.2)</w:t>
      </w:r>
    </w:p>
    <w:p>
      <w:pPr>
        <w:pStyle w:val="FirstParagraph"/>
      </w:pPr>
      <w:r>
        <w:t xml:space="preserve">The PO incorporates the Standard Terms, says they control, and Kemp signed it as Dalton’s authorized representative. A UCC 2-207</w:t>
      </w:r>
      <w:r>
        <w:t xml:space="preserve"> </w:t>
      </w:r>
      <w:r>
        <w:t xml:space="preserve">“</w:t>
      </w:r>
      <w:r>
        <w:t xml:space="preserve">battle of the forms</w:t>
      </w:r>
      <w:r>
        <w:t xml:space="preserve">”</w:t>
      </w:r>
      <w:r>
        <w:t xml:space="preserve"> </w:t>
      </w:r>
      <w:r>
        <w:t xml:space="preserve">argument is not realistic. The clause expressly covers tort claims.</w:t>
      </w:r>
      <w:r>
        <w:t xml:space="preserve"> </w:t>
      </w:r>
      <w:r>
        <w:rPr>
          <w:b/>
          <w:bCs/>
        </w:rPr>
        <w:t xml:space="preserve">Assume Dalton’s own claims against Ironclad will be compelled to AAA arbitration in Grand Rapids under Michigan law.</w:t>
      </w:r>
      <w:r>
        <w:t xml:space="preserve"> </w:t>
      </w:r>
      <w:r>
        <w:t xml:space="preserve">Arguments to avoid or narrow it:</w:t>
      </w:r>
    </w:p>
    <w:p>
      <w:pPr>
        <w:pStyle w:val="Compact"/>
        <w:numPr>
          <w:ilvl w:val="0"/>
          <w:numId w:val="1010"/>
        </w:numPr>
      </w:pPr>
      <w:r>
        <w:t xml:space="preserve">Fraud in the inducement aimed at the arbitration clause itself (weak on these facts);</w:t>
      </w:r>
    </w:p>
    <w:p>
      <w:pPr>
        <w:pStyle w:val="Compact"/>
        <w:numPr>
          <w:ilvl w:val="0"/>
          <w:numId w:val="1010"/>
        </w:numPr>
      </w:pPr>
      <w:r>
        <w:t xml:space="preserve">the subrogation theory: Dalton, as a self-insured employer, is a statutory subrogee of the employees’ claims (R.C. 4123.931), which are not bound by the clause;</w:t>
      </w:r>
    </w:p>
    <w:p>
      <w:pPr>
        <w:pStyle w:val="Compact"/>
        <w:numPr>
          <w:ilvl w:val="0"/>
          <w:numId w:val="1010"/>
        </w:numPr>
      </w:pPr>
      <w:r>
        <w:t xml:space="preserve">the §14.6 carve-out for provisional relief, for evidence-preservation orders.</w:t>
      </w:r>
    </w:p>
    <w:p>
      <w:pPr>
        <w:pStyle w:val="FirstParagraph"/>
      </w:pPr>
      <w:r>
        <w:rPr>
          <w:b/>
          <w:bCs/>
        </w:rPr>
        <w:t xml:space="preserve">Non-signatories are not bound.</w:t>
      </w:r>
      <w:r>
        <w:t xml:space="preserve"> </w:t>
      </w:r>
      <w:r>
        <w:t xml:space="preserve">This covers the Reyes estate, Trask, Anand and HydraCore. The §14.3 language purporting to bind</w:t>
      </w:r>
      <w:r>
        <w:t xml:space="preserve"> </w:t>
      </w:r>
      <w:r>
        <w:t xml:space="preserve">“</w:t>
      </w:r>
      <w:r>
        <w:t xml:space="preserve">Buyer’s employees</w:t>
      </w:r>
      <w:r>
        <w:t xml:space="preserve">”</w:t>
      </w:r>
      <w:r>
        <w:t xml:space="preserve"> </w:t>
      </w:r>
      <w:r>
        <w:t xml:space="preserve">conflicts with §15.8 and basic contract principles.</w:t>
      </w:r>
    </w:p>
    <w:bookmarkEnd w:id="28"/>
    <w:bookmarkStart w:id="29" w:name="Xe11917ddd19e2b1794fc78874402633175eb150"/>
    <w:p>
      <w:pPr>
        <w:pStyle w:val="Heading2"/>
      </w:pPr>
      <w:r>
        <w:t xml:space="preserve">5.2 Limitation of liability, consequential-damages exclusion, exclusive remedy (§§10.3, 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Defense</w:t>
            </w:r>
          </w:p>
        </w:tc>
        <w:tc>
          <w:tcPr/>
          <w:p>
            <w:pPr>
              <w:pStyle w:val="Compact"/>
              <w:jc w:val="left"/>
            </w:pPr>
            <w:r>
              <w:t xml:space="preserve">Our response</w:t>
            </w:r>
          </w:p>
        </w:tc>
      </w:tr>
      <w:tr>
        <w:tc>
          <w:tcPr/>
          <w:p>
            <w:pPr>
              <w:pStyle w:val="Compact"/>
              <w:jc w:val="left"/>
            </w:pPr>
            <w:r>
              <w:t xml:space="preserve">Cap = purchase price</w:t>
            </w:r>
            <w:r>
              <w:t xml:space="preserve"> </w:t>
            </w:r>
            <w:r>
              <w:t xml:space="preserve">“</w:t>
            </w:r>
            <w:r>
              <w:t xml:space="preserve">actually paid</w:t>
            </w:r>
            <w:r>
              <w:t xml:space="preserve">”</w:t>
            </w:r>
          </w:p>
        </w:tc>
        <w:tc>
          <w:tcPr/>
          <w:p>
            <w:pPr>
              <w:pStyle w:val="Compact"/>
              <w:jc w:val="left"/>
            </w:pPr>
            <w:r>
              <w:t xml:space="preserve">Confirm the payment status.</w:t>
            </w:r>
            <w:r>
              <w:t xml:space="preserve"> </w:t>
            </w:r>
            <w:r>
              <w:rPr>
                <w:b/>
                <w:bCs/>
              </w:rPr>
              <w:t xml:space="preserve">If the invoice (due about Jan. 15, 2025) is unpaid or partly paid, the cap shrinks, and Ironclad still holds a purchase-money security interest (§6.4). Do not withhold payment without advice; §6.3 bars setoff.</w:t>
            </w:r>
            <w:r>
              <w:t xml:space="preserve"> </w:t>
            </w:r>
            <w:r>
              <w:t xml:space="preserve">The cap is unenforceable against gross negligence or willful misconduct, as shown by the Cutler email. It does not bind non-parties.</w:t>
            </w:r>
          </w:p>
        </w:tc>
      </w:tr>
      <w:tr>
        <w:tc>
          <w:tcPr/>
          <w:p>
            <w:pPr>
              <w:pStyle w:val="Compact"/>
              <w:jc w:val="left"/>
            </w:pPr>
            <w:r>
              <w:t xml:space="preserve">Consequential-damages exclusion (business interruption, outsourcing)</w:t>
            </w:r>
          </w:p>
        </w:tc>
        <w:tc>
          <w:tcPr/>
          <w:p>
            <w:pPr>
              <w:pStyle w:val="Compact"/>
              <w:jc w:val="left"/>
            </w:pPr>
            <w:r>
              <w:t xml:space="preserve">UCC 2-719(3) conscionability applies. Between commercial parties, the exclusion is usually enforced, so treat it as a significant risk. It is again vulnerable to willful-misconduct and fraud arguments.</w:t>
            </w:r>
          </w:p>
        </w:tc>
      </w:tr>
      <w:tr>
        <w:tc>
          <w:tcPr/>
          <w:p>
            <w:pPr>
              <w:pStyle w:val="Compact"/>
              <w:jc w:val="left"/>
            </w:pPr>
            <w:r>
              <w:t xml:space="preserve">Exclusive repair/replace/refund remedy</w:t>
            </w:r>
          </w:p>
        </w:tc>
        <w:tc>
          <w:tcPr/>
          <w:p>
            <w:pPr>
              <w:pStyle w:val="Compact"/>
              <w:jc w:val="left"/>
            </w:pPr>
            <w:r>
              <w:t xml:space="preserve">Argue failure of essential purpose (UCC 2-719(2)); §12.3 tries to override that.</w:t>
            </w:r>
            <w:r>
              <w:t xml:space="preserve"> </w:t>
            </w:r>
            <w:r>
              <w:rPr>
                <w:b/>
                <w:bCs/>
              </w:rPr>
              <w:t xml:space="preserve">Do not accept a warranty refund or replacement without a written reservation of rights. Ironclad may frame it as accord and satisfaction.</w:t>
            </w:r>
          </w:p>
        </w:tc>
      </w:tr>
      <w:tr>
        <w:tc>
          <w:tcPr/>
          <w:p>
            <w:pPr>
              <w:pStyle w:val="Compact"/>
              <w:jc w:val="left"/>
            </w:pPr>
            <w:r>
              <w:t xml:space="preserve">Third-party component exclusion (§10.2(f))</w:t>
            </w:r>
          </w:p>
        </w:tc>
        <w:tc>
          <w:tcPr/>
          <w:p>
            <w:pPr>
              <w:pStyle w:val="Compact"/>
              <w:jc w:val="left"/>
            </w:pPr>
            <w:r>
              <w:t xml:space="preserve">Ironclad must pass through HydraCore’s warranty and</w:t>
            </w:r>
            <w:r>
              <w:t xml:space="preserve"> </w:t>
            </w:r>
            <w:r>
              <w:t xml:space="preserve">“</w:t>
            </w:r>
            <w:r>
              <w:t xml:space="preserve">assist.</w:t>
            </w:r>
            <w:r>
              <w:t xml:space="preserve">”</w:t>
            </w:r>
            <w:r>
              <w:t xml:space="preserve"> </w:t>
            </w:r>
            <w:r>
              <w:t xml:space="preserve">Demand the HydraCore–Ironclad supply warranty. The design defect is Ironclad’s own.</w:t>
            </w:r>
          </w:p>
        </w:tc>
      </w:tr>
      <w:tr>
        <w:tc>
          <w:tcPr/>
          <w:p>
            <w:pPr>
              <w:pStyle w:val="Compact"/>
              <w:jc w:val="left"/>
            </w:pPr>
            <w:r>
              <w:t xml:space="preserve">Economic loss doctrine (Michigan:</w:t>
            </w:r>
            <w:r>
              <w:t xml:space="preserve"> </w:t>
            </w:r>
            <w:r>
              <w:rPr>
                <w:i/>
                <w:iCs/>
              </w:rPr>
              <w:t xml:space="preserve">Neibarger</w:t>
            </w:r>
            <w:r>
              <w:t xml:space="preserve">; Ohio OPLA</w:t>
            </w:r>
            <w:r>
              <w:t xml:space="preserve"> </w:t>
            </w:r>
            <w:r>
              <w:t xml:space="preserve">“</w:t>
            </w:r>
            <w:r>
              <w:t xml:space="preserve">economic loss</w:t>
            </w:r>
            <w:r>
              <w:t xml:space="preserve">”</w:t>
            </w:r>
            <w:r>
              <w:t xml:space="preserve"> </w:t>
            </w:r>
            <w:r>
              <w:t xml:space="preserve">definition)</w:t>
            </w:r>
          </w:p>
        </w:tc>
        <w:tc>
          <w:tcPr/>
          <w:p>
            <w:pPr>
              <w:pStyle w:val="Compact"/>
              <w:jc w:val="left"/>
            </w:pPr>
            <w:r>
              <w:t xml:space="preserve">Losses on the press itself and lost profits are likely limited to contract remedies.</w:t>
            </w:r>
            <w:r>
              <w:t xml:space="preserve"> </w:t>
            </w:r>
            <w:r>
              <w:rPr>
                <w:b/>
                <w:bCs/>
              </w:rPr>
              <w:t xml:space="preserve">Damage to</w:t>
            </w:r>
            <w:r>
              <w:rPr>
                <w:b/>
                <w:bCs/>
              </w:rPr>
              <w:t xml:space="preserve"> </w:t>
            </w:r>
            <w:r>
              <w:rPr>
                <w:b/>
                <w:bCs/>
                <w:i/>
                <w:iCs/>
              </w:rPr>
              <w:t xml:space="preserve">other</w:t>
            </w:r>
            <w:r>
              <w:rPr>
                <w:b/>
                <w:bCs/>
              </w:rPr>
              <w:t xml:space="preserve"> </w:t>
            </w:r>
            <w:r>
              <w:rPr>
                <w:b/>
                <w:bCs/>
              </w:rPr>
              <w:t xml:space="preserve">property</w:t>
            </w:r>
            <w:r>
              <w:t xml:space="preserve"> </w:t>
            </w:r>
            <w:r>
              <w:t xml:space="preserve">(the Haas mill, the dies, the facility) is</w:t>
            </w:r>
            <w:r>
              <w:t xml:space="preserve"> </w:t>
            </w:r>
            <w:r>
              <w:t xml:space="preserve">“</w:t>
            </w:r>
            <w:r>
              <w:t xml:space="preserve">harm</w:t>
            </w:r>
            <w:r>
              <w:t xml:space="preserve">”</w:t>
            </w:r>
            <w:r>
              <w:t xml:space="preserve"> </w:t>
            </w:r>
            <w:r>
              <w:t xml:space="preserve">recoverable in tort, especially against HydraCore.</w:t>
            </w:r>
          </w:p>
        </w:tc>
      </w:tr>
      <w:tr>
        <w:tc>
          <w:tcPr/>
          <w:p>
            <w:pPr>
              <w:pStyle w:val="Compact"/>
              <w:jc w:val="left"/>
            </w:pPr>
            <w:r>
              <w:t xml:space="preserve">Safety-compliance shift (§§7.2, 18.3–18.4)</w:t>
            </w:r>
          </w:p>
        </w:tc>
        <w:tc>
          <w:tcPr/>
          <w:p>
            <w:pPr>
              <w:pStyle w:val="Compact"/>
              <w:jc w:val="left"/>
            </w:pPr>
            <w:r>
              <w:t xml:space="preserve">These clauses allocate</w:t>
            </w:r>
            <w:r>
              <w:t xml:space="preserve"> </w:t>
            </w:r>
            <w:r>
              <w:rPr>
                <w:i/>
                <w:iCs/>
              </w:rPr>
              <w:t xml:space="preserve">Buyer</w:t>
            </w:r>
            <w:r>
              <w:t xml:space="preserve"> </w:t>
            </w:r>
            <w:r>
              <w:t xml:space="preserve">OSHA duties. They do not excuse design non-conformity with the NFPA/ISO standards Ironclad itself invoked in §18.1.</w:t>
            </w:r>
          </w:p>
        </w:tc>
      </w:tr>
    </w:tbl>
    <w:bookmarkEnd w:id="29"/>
    <w:bookmarkStart w:id="30" w:name="X9d6ba539c8ee0a06e95eceec94a9cdd3760eec7"/>
    <w:p>
      <w:pPr>
        <w:pStyle w:val="Heading2"/>
      </w:pPr>
      <w:r>
        <w:t xml:space="preserve">5.3 Ironclad’s claim for indemnity against Dalton (§11.1(d))</w:t>
      </w:r>
    </w:p>
    <w:p>
      <w:pPr>
        <w:pStyle w:val="FirstParagraph"/>
      </w:pPr>
      <w:r>
        <w:t xml:space="preserve">Dalton must indemnify and defend Ironclad against claims by Dalton employees</w:t>
      </w:r>
      <w:r>
        <w:t xml:space="preserve"> </w:t>
      </w:r>
      <w:r>
        <w:t xml:space="preserve">“</w:t>
      </w:r>
      <w:r>
        <w:t xml:space="preserve">arising from… proximity to the Products.</w:t>
      </w:r>
      <w:r>
        <w:t xml:space="preserve">”</w:t>
      </w:r>
      <w:r>
        <w:t xml:space="preserve"> </w:t>
      </w:r>
      <w:r>
        <w:t xml:space="preserve">The only exception is where a claim is</w:t>
      </w:r>
      <w:r>
        <w:t xml:space="preserve"> </w:t>
      </w:r>
      <w:r>
        <w:t xml:space="preserve">“</w:t>
      </w:r>
      <w:r>
        <w:t xml:space="preserve">directly and solely caused by a defect… covered by the warranty</w:t>
      </w:r>
      <w:r>
        <w:t xml:space="preserve">”</w:t>
      </w:r>
      <w:r>
        <w:t xml:space="preserve"> </w:t>
      </w:r>
      <w:r>
        <w:t xml:space="preserve">to which Dalton did not contribute.</w:t>
      </w:r>
    </w:p>
    <w:p>
      <w:pPr>
        <w:pStyle w:val="BodyText"/>
      </w:pPr>
      <w:r>
        <w:rPr>
          <w:b/>
          <w:bCs/>
        </w:rPr>
        <w:t xml:space="preserve">Why this is dangerous:</w:t>
      </w:r>
    </w:p>
    <w:p>
      <w:pPr>
        <w:pStyle w:val="Compact"/>
        <w:numPr>
          <w:ilvl w:val="0"/>
          <w:numId w:val="1011"/>
        </w:numPr>
      </w:pPr>
      <w:r>
        <w:t xml:space="preserve">The bladder is excluded from Ironclad’s warranty (§10.2(f)).</w:t>
      </w:r>
    </w:p>
    <w:p>
      <w:pPr>
        <w:pStyle w:val="Compact"/>
        <w:numPr>
          <w:ilvl w:val="0"/>
          <w:numId w:val="1011"/>
        </w:numPr>
      </w:pPr>
      <w:r>
        <w:t xml:space="preserve">A design defect is arguably not a defect</w:t>
      </w:r>
      <w:r>
        <w:t xml:space="preserve"> </w:t>
      </w:r>
      <w:r>
        <w:t xml:space="preserve">“</w:t>
      </w:r>
      <w:r>
        <w:t xml:space="preserve">in materials and workmanship.</w:t>
      </w:r>
      <w:r>
        <w:t xml:space="preserve">”</w:t>
      </w:r>
    </w:p>
    <w:p>
      <w:pPr>
        <w:pStyle w:val="Compact"/>
        <w:numPr>
          <w:ilvl w:val="0"/>
          <w:numId w:val="1011"/>
        </w:numPr>
      </w:pPr>
      <w:r>
        <w:t xml:space="preserve">The OSHA citations give Ironclad a</w:t>
      </w:r>
      <w:r>
        <w:t xml:space="preserve"> </w:t>
      </w:r>
      <w:r>
        <w:t xml:space="preserve">“</w:t>
      </w:r>
      <w:r>
        <w:t xml:space="preserve">contributed</w:t>
      </w:r>
      <w:r>
        <w:t xml:space="preserve">”</w:t>
      </w:r>
      <w:r>
        <w:t xml:space="preserve"> </w:t>
      </w:r>
      <w:r>
        <w:t xml:space="preserve">argument.</w:t>
      </w:r>
    </w:p>
    <w:p>
      <w:pPr>
        <w:pStyle w:val="FirstParagraph"/>
      </w:pPr>
      <w:r>
        <w:t xml:space="preserve">So Ironclad will say the exception never applies, and will tender the Reyes, Trask and Anand suits, worth up to about $10–17M in total, to Dalton.</w:t>
      </w:r>
    </w:p>
    <w:p>
      <w:pPr>
        <w:pStyle w:val="BodyText"/>
      </w:pPr>
      <w:r>
        <w:rPr>
          <w:b/>
          <w:bCs/>
        </w:rPr>
        <w:t xml:space="preserve">Responses:</w:t>
      </w:r>
    </w:p>
    <w:p>
      <w:pPr>
        <w:pStyle w:val="Compact"/>
        <w:numPr>
          <w:ilvl w:val="0"/>
          <w:numId w:val="1012"/>
        </w:numPr>
      </w:pPr>
      <w:r>
        <w:t xml:space="preserve">Michigan requires clear language before indemnifying an indemnitee for its</w:t>
      </w:r>
      <w:r>
        <w:t xml:space="preserve"> </w:t>
      </w:r>
      <w:r>
        <w:rPr>
          <w:i/>
          <w:iCs/>
        </w:rPr>
        <w:t xml:space="preserve">own</w:t>
      </w:r>
      <w:r>
        <w:t xml:space="preserve"> </w:t>
      </w:r>
      <w:r>
        <w:t xml:space="preserve">negligence. There is authority both ways on</w:t>
      </w:r>
      <w:r>
        <w:t xml:space="preserve"> </w:t>
      </w:r>
      <w:r>
        <w:t xml:space="preserve">“</w:t>
      </w:r>
      <w:r>
        <w:t xml:space="preserve">any and all claims</w:t>
      </w:r>
      <w:r>
        <w:t xml:space="preserve">”</w:t>
      </w:r>
      <w:r>
        <w:t xml:space="preserve"> </w:t>
      </w:r>
      <w:r>
        <w:t xml:space="preserve">wording, so research this.</w:t>
      </w:r>
    </w:p>
    <w:p>
      <w:pPr>
        <w:pStyle w:val="Compact"/>
        <w:numPr>
          <w:ilvl w:val="0"/>
          <w:numId w:val="1012"/>
        </w:numPr>
      </w:pPr>
      <w:r>
        <w:t xml:space="preserve">Indemnity for gross negligence or willful misconduct is against public policy.</w:t>
      </w:r>
    </w:p>
    <w:p>
      <w:pPr>
        <w:pStyle w:val="Compact"/>
        <w:numPr>
          <w:ilvl w:val="0"/>
          <w:numId w:val="1012"/>
        </w:numPr>
      </w:pPr>
      <w:r>
        <w:t xml:space="preserve">The combined effect of §10.2(f) and §11.1(d) is illusory and arguably unconscionable.</w:t>
      </w:r>
    </w:p>
    <w:p>
      <w:pPr>
        <w:pStyle w:val="Compact"/>
        <w:numPr>
          <w:ilvl w:val="0"/>
          <w:numId w:val="1012"/>
        </w:numPr>
      </w:pPr>
      <w:r>
        <w:t xml:space="preserve">The indemnity cannot extend to punitive damages.</w:t>
      </w:r>
    </w:p>
    <w:p>
      <w:pPr>
        <w:pStyle w:val="FirstParagraph"/>
      </w:pPr>
      <w:r>
        <w:rPr>
          <w:b/>
          <w:bCs/>
        </w:rPr>
        <w:t xml:space="preserve">This exposure is probably uninsured</w:t>
      </w:r>
      <w:r>
        <w:t xml:space="preserve"> </w:t>
      </w:r>
      <w:r>
        <w:t xml:space="preserve">(see Section 7). Treat it as the central risk-management issue.</w:t>
      </w:r>
    </w:p>
    <w:bookmarkEnd w:id="30"/>
    <w:bookmarkStart w:id="31" w:name="contractual-limitations-period-15.3"/>
    <w:p>
      <w:pPr>
        <w:pStyle w:val="Heading2"/>
      </w:pPr>
      <w:r>
        <w:t xml:space="preserve">5.4 Contractual limitations period (§15.3)</w:t>
      </w:r>
    </w:p>
    <w:p>
      <w:pPr>
        <w:pStyle w:val="FirstParagraph"/>
      </w:pPr>
      <w:r>
        <w:t xml:space="preserve">Twelve months from the occurrence, regardless of discovery. The UCC allows parties to shorten the limitations period to no less than one year (UCC 2-725), and Michigan enforces clear contractual limitation periods.</w:t>
      </w:r>
      <w:r>
        <w:t xml:space="preserve"> </w:t>
      </w:r>
      <w:r>
        <w:rPr>
          <w:b/>
          <w:bCs/>
        </w:rPr>
        <w:t xml:space="preserve">The arbitration demand must be filed by March 14, 2026</w:t>
      </w:r>
      <w:r>
        <w:t xml:space="preserve">, after the §14.1 thirty-day negotiation notice. The Ohio tort limitations period against HydraCore is two years (R.C. 2305.10), i.e.,</w:t>
      </w:r>
      <w:r>
        <w:t xml:space="preserve"> </w:t>
      </w:r>
      <w:r>
        <w:rPr>
          <w:b/>
          <w:bCs/>
        </w:rPr>
        <w:t xml:space="preserve">March 14, 2027</w:t>
      </w:r>
      <w:r>
        <w:t xml:space="preserve">. Do not rely on it; file well before then.</w:t>
      </w:r>
    </w:p>
    <w:bookmarkEnd w:id="31"/>
    <w:bookmarkStart w:id="32" w:name="other-expected-defenses"/>
    <w:p>
      <w:pPr>
        <w:pStyle w:val="Heading2"/>
      </w:pPr>
      <w:r>
        <w:t xml:space="preserve">5.5 Other expected defenses</w:t>
      </w:r>
    </w:p>
    <w:p>
      <w:pPr>
        <w:pStyle w:val="Compact"/>
        <w:numPr>
          <w:ilvl w:val="0"/>
          <w:numId w:val="1013"/>
        </w:numPr>
      </w:pPr>
      <w:r>
        <w:rPr>
          <w:b/>
          <w:bCs/>
        </w:rPr>
        <w:t xml:space="preserve">Spoliation.</w:t>
      </w:r>
      <w:r>
        <w:t xml:space="preserve"> </w:t>
      </w:r>
      <w:r>
        <w:t xml:space="preserve">Meridian’s tensile, plasticizer and aging tests were</w:t>
      </w:r>
      <w:r>
        <w:t xml:space="preserve"> </w:t>
      </w:r>
      <w:r>
        <w:rPr>
          <w:b/>
          <w:bCs/>
        </w:rPr>
        <w:t xml:space="preserve">destructive</w:t>
      </w:r>
      <w:r>
        <w:t xml:space="preserve"> </w:t>
      </w:r>
      <w:r>
        <w:t xml:space="preserve">and were done without notice to Ironclad or HydraCore. Dalton personnel also removed the data drive (Mar. 15) and moved the wreckage (after Mar. 17). Mitigate now:</w:t>
      </w:r>
    </w:p>
    <w:p>
      <w:pPr>
        <w:pStyle w:val="Compact"/>
        <w:numPr>
          <w:ilvl w:val="1"/>
          <w:numId w:val="1014"/>
        </w:numPr>
      </w:pPr>
      <w:r>
        <w:t xml:space="preserve">document the chain of custody;</w:t>
      </w:r>
    </w:p>
    <w:p>
      <w:pPr>
        <w:pStyle w:val="Compact"/>
        <w:numPr>
          <w:ilvl w:val="1"/>
          <w:numId w:val="1014"/>
        </w:numPr>
      </w:pPr>
      <w:r>
        <w:t xml:space="preserve">offer joint inspection of the retained specimens;</w:t>
      </w:r>
    </w:p>
    <w:p>
      <w:pPr>
        <w:pStyle w:val="Compact"/>
        <w:numPr>
          <w:ilvl w:val="1"/>
          <w:numId w:val="1014"/>
        </w:numPr>
      </w:pPr>
      <w:r>
        <w:t xml:space="preserve">agree a protocol for SEM and fatigue testing, as Cordero recommends.</w:t>
      </w:r>
    </w:p>
    <w:p>
      <w:pPr>
        <w:pStyle w:val="Compact"/>
        <w:numPr>
          <w:ilvl w:val="0"/>
          <w:numId w:val="1013"/>
        </w:numPr>
      </w:pPr>
      <w:r>
        <w:rPr>
          <w:b/>
          <w:bCs/>
        </w:rPr>
        <w:t xml:space="preserve">Acceptance / waiver.</w:t>
      </w:r>
      <w:r>
        <w:t xml:space="preserve"> </w:t>
      </w:r>
      <w:r>
        <w:t xml:space="preserve">The Certificate of Acceptance expressly preserves warranty rights. A latent defect in a bladder could not have been found on inspection.</w:t>
      </w:r>
    </w:p>
    <w:p>
      <w:pPr>
        <w:pStyle w:val="Compact"/>
        <w:numPr>
          <w:ilvl w:val="0"/>
          <w:numId w:val="1013"/>
        </w:numPr>
      </w:pPr>
      <w:r>
        <w:rPr>
          <w:b/>
          <w:bCs/>
        </w:rPr>
        <w:t xml:space="preserve">Authenticity and admissibility of the Ironclad emails.</w:t>
      </w:r>
      <w:r>
        <w:t xml:space="preserve"> </w:t>
      </w:r>
      <w:r>
        <w:t xml:space="preserve">The file does not show how the emails were</w:t>
      </w:r>
      <w:r>
        <w:t xml:space="preserve"> </w:t>
      </w:r>
      <w:r>
        <w:t xml:space="preserve">“</w:t>
      </w:r>
      <w:r>
        <w:t xml:space="preserve">recovered.</w:t>
      </w:r>
      <w:r>
        <w:t xml:space="preserve">”</w:t>
      </w:r>
      <w:r>
        <w:t xml:space="preserve"> </w:t>
      </w:r>
      <w:r>
        <w:rPr>
          <w:b/>
          <w:bCs/>
        </w:rPr>
        <w:t xml:space="preserve">Before we rely on or disclose them, establish their provenance.</w:t>
      </w:r>
      <w:r>
        <w:t xml:space="preserve"> </w:t>
      </w:r>
      <w:r>
        <w:t xml:space="preserve">If they came from an unauthorized or inadvertent disclosure, Ohio Prof. Cond. R. 4.4(b) and possible suppression or disqualification issues arise. The emails are party-opponent admissions if properly obtained. Regardless, Brennan’s March 16 oral statement to Kemp (Kemp email, Appendix J) is an independent source, and the emails will be discoverable from Ironclad.</w:t>
      </w:r>
    </w:p>
    <w:bookmarkEnd w:id="32"/>
    <w:bookmarkEnd w:id="33"/>
    <w:bookmarkStart w:id="36" w:name="damages-assessment"/>
    <w:p>
      <w:pPr>
        <w:pStyle w:val="Heading1"/>
      </w:pPr>
      <w:r>
        <w:t xml:space="preserve">6. Damages Assessment</w:t>
      </w:r>
    </w:p>
    <w:bookmarkStart w:id="34" w:name="X2a7662158d77ec2962bef3bc76dd1ce92677735"/>
    <w:p>
      <w:pPr>
        <w:pStyle w:val="Heading2"/>
      </w:pPr>
      <w:r>
        <w:t xml:space="preserve">6.1 Dalton’s direct losses: corrections to the May 2 workbook</w:t>
      </w:r>
    </w:p>
    <w:p>
      <w:pPr>
        <w:pStyle w:val="FirstParagraph"/>
      </w:pPr>
      <w:r>
        <w:t xml:space="preserve">The workbook understates Dalton’s claim and double-counts part of it:</w:t>
      </w:r>
    </w:p>
    <w:p>
      <w:pPr>
        <w:pStyle w:val="Compact"/>
        <w:numPr>
          <w:ilvl w:val="0"/>
          <w:numId w:val="1015"/>
        </w:numPr>
      </w:pPr>
      <w:r>
        <w:rPr>
          <w:b/>
          <w:bCs/>
        </w:rPr>
        <w:t xml:space="preserve">It omits the HX-9000 press itself ($1,287,500)</w:t>
      </w:r>
      <w:r>
        <w:t xml:space="preserve">, which is a total loss, and the</w:t>
      </w:r>
      <w:r>
        <w:t xml:space="preserve"> </w:t>
      </w:r>
      <w:r>
        <w:rPr>
          <w:b/>
          <w:bCs/>
        </w:rPr>
        <w:t xml:space="preserve">two sets of titanium forming dies</w:t>
      </w:r>
      <w:r>
        <w:t xml:space="preserve"> </w:t>
      </w:r>
      <w:r>
        <w:t xml:space="preserve">(quotes pending). The workbook wrongly folds tooling into the Haas line.</w:t>
      </w:r>
    </w:p>
    <w:p>
      <w:pPr>
        <w:pStyle w:val="Compact"/>
        <w:numPr>
          <w:ilvl w:val="0"/>
          <w:numId w:val="1015"/>
        </w:numPr>
      </w:pPr>
      <w:r>
        <w:rPr>
          <w:b/>
          <w:bCs/>
        </w:rPr>
        <w:t xml:space="preserve">It double-counts business interruption and outsourcing.</w:t>
      </w:r>
      <w:r>
        <w:t xml:space="preserve"> </w:t>
      </w:r>
      <w:r>
        <w:t xml:space="preserve">Buckeye’s $412,000 was spent to keep deliveries going. Revenue on parts Buckeye made was not lost. The recoverable measure is (a) the</w:t>
      </w:r>
      <w:r>
        <w:t xml:space="preserve"> </w:t>
      </w:r>
      <w:r>
        <w:rPr>
          <w:i/>
          <w:iCs/>
        </w:rPr>
        <w:t xml:space="preserve">incremental</w:t>
      </w:r>
      <w:r>
        <w:t xml:space="preserve"> </w:t>
      </w:r>
      <w:r>
        <w:t xml:space="preserve">cost of outsourcing over Dalton’s avoided variable cost,</w:t>
      </w:r>
      <w:r>
        <w:t xml:space="preserve"> </w:t>
      </w:r>
      <w:r>
        <w:rPr>
          <w:b/>
          <w:bCs/>
        </w:rPr>
        <w:t xml:space="preserve">plus</w:t>
      </w:r>
      <w:r>
        <w:t xml:space="preserve"> </w:t>
      </w:r>
      <w:r>
        <w:t xml:space="preserve">(b) lost margin only on orders that went unfilled. A forensic accountant should rebuild this.</w:t>
      </w:r>
    </w:p>
    <w:p>
      <w:pPr>
        <w:pStyle w:val="Compact"/>
        <w:numPr>
          <w:ilvl w:val="0"/>
          <w:numId w:val="1015"/>
        </w:numPr>
      </w:pPr>
      <w:r>
        <w:rPr>
          <w:b/>
          <w:bCs/>
        </w:rPr>
        <w:t xml:space="preserve">It treats workers’ compensation only as an</w:t>
      </w:r>
      <w:r>
        <w:rPr>
          <w:b/>
          <w:bCs/>
        </w:rPr>
        <w:t xml:space="preserve"> </w:t>
      </w:r>
      <w:r>
        <w:rPr>
          <w:b/>
          <w:bCs/>
        </w:rPr>
        <w:t xml:space="preserve">“</w:t>
      </w:r>
      <w:r>
        <w:rPr>
          <w:b/>
          <w:bCs/>
        </w:rPr>
        <w:t xml:space="preserve">offset.</w:t>
      </w:r>
      <w:r>
        <w:rPr>
          <w:b/>
          <w:bCs/>
        </w:rPr>
        <w:t xml:space="preserve">”</w:t>
      </w:r>
      <w:r>
        <w:t xml:space="preserve"> </w:t>
      </w:r>
      <w:r>
        <w:t xml:space="preserve">For a self-insured employer (group SI-7782), benefits paid are Dalton’s own</w:t>
      </w:r>
      <w:r>
        <w:t xml:space="preserve"> </w:t>
      </w:r>
      <w:r>
        <w:rPr>
          <w:b/>
          <w:bCs/>
        </w:rPr>
        <w:t xml:space="preserve">out-of-pocket loss and a subrogation asset</w:t>
      </w:r>
      <w:r>
        <w:t xml:space="preserve"> </w:t>
      </w:r>
      <w:r>
        <w:t xml:space="preserve">(R.C. 4123.931). Trask’s and Anand’s past medical bills alone total $436,500. The $250–400K estimate for Reyes death benefits looks low. Dependency benefits for a 32-year-old spouse and two minor children can run for decades. Obtain an actuarial projection.</w:t>
      </w:r>
    </w:p>
    <w:p>
      <w:pPr>
        <w:pStyle w:val="Compact"/>
        <w:numPr>
          <w:ilvl w:val="0"/>
          <w:numId w:val="1015"/>
        </w:numPr>
      </w:pPr>
      <w:r>
        <w:rPr>
          <w:b/>
          <w:bCs/>
        </w:rPr>
        <w:t xml:space="preserve">The OSHA penalties ($31,400)</w:t>
      </w:r>
      <w:r>
        <w:t xml:space="preserve"> </w:t>
      </w:r>
      <w:r>
        <w:t xml:space="preserve">are generally not recoverable from third parties as a matter of public policy. Track them separately.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Recovery notes</w:t>
            </w:r>
          </w:p>
        </w:tc>
      </w:tr>
      <w:tr>
        <w:tc>
          <w:tcPr/>
          <w:p>
            <w:pPr>
              <w:pStyle w:val="Compact"/>
              <w:jc w:val="left"/>
            </w:pPr>
            <w:r>
              <w:t xml:space="preserve">HX-9000 press (total loss)</w:t>
            </w:r>
          </w:p>
        </w:tc>
        <w:tc>
          <w:tcPr/>
          <w:p>
            <w:pPr>
              <w:pStyle w:val="Compact"/>
              <w:jc w:val="left"/>
            </w:pPr>
            <w:r>
              <w:t xml:space="preserve">$1,287,500</w:t>
            </w:r>
          </w:p>
        </w:tc>
        <w:tc>
          <w:tcPr/>
          <w:p>
            <w:pPr>
              <w:pStyle w:val="Compact"/>
              <w:jc w:val="left"/>
            </w:pPr>
            <w:r>
              <w:t xml:space="preserve">Against Ironclad: contract/warranty (capped). Economic loss doctrine limits tort recovery.</w:t>
            </w:r>
          </w:p>
        </w:tc>
      </w:tr>
      <w:tr>
        <w:tc>
          <w:tcPr/>
          <w:p>
            <w:pPr>
              <w:pStyle w:val="Compact"/>
              <w:jc w:val="left"/>
            </w:pPr>
            <w:r>
              <w:t xml:space="preserve">Haas VF-6SS mill</w:t>
            </w:r>
          </w:p>
        </w:tc>
        <w:tc>
          <w:tcPr/>
          <w:p>
            <w:pPr>
              <w:pStyle w:val="Compact"/>
              <w:jc w:val="left"/>
            </w:pPr>
            <w:r>
              <w:t xml:space="preserve">$189,000</w:t>
            </w:r>
          </w:p>
        </w:tc>
        <w:tc>
          <w:tcPr/>
          <w:p>
            <w:pPr>
              <w:pStyle w:val="Compact"/>
              <w:jc w:val="left"/>
            </w:pPr>
            <w:r>
              <w:t xml:space="preserve">Other property: tort claim against both defendants</w:t>
            </w:r>
          </w:p>
        </w:tc>
      </w:tr>
      <w:tr>
        <w:tc>
          <w:tcPr/>
          <w:p>
            <w:pPr>
              <w:pStyle w:val="Compact"/>
              <w:jc w:val="left"/>
            </w:pPr>
            <w:r>
              <w:t xml:space="preserve">Facility repairs</w:t>
            </w:r>
          </w:p>
        </w:tc>
        <w:tc>
          <w:tcPr/>
          <w:p>
            <w:pPr>
              <w:pStyle w:val="Compact"/>
              <w:jc w:val="left"/>
            </w:pPr>
            <w:r>
              <w:t xml:space="preserve">$67,300</w:t>
            </w:r>
          </w:p>
        </w:tc>
        <w:tc>
          <w:tcPr/>
          <w:p>
            <w:pPr>
              <w:pStyle w:val="Compact"/>
              <w:jc w:val="left"/>
            </w:pPr>
            <w:r>
              <w:t xml:space="preserve">Other property: tort claim</w:t>
            </w:r>
          </w:p>
        </w:tc>
      </w:tr>
      <w:tr>
        <w:tc>
          <w:tcPr/>
          <w:p>
            <w:pPr>
              <w:pStyle w:val="Compact"/>
              <w:jc w:val="left"/>
            </w:pPr>
            <w:r>
              <w:t xml:space="preserve">Forming dies (2 sets)</w:t>
            </w:r>
          </w:p>
        </w:tc>
        <w:tc>
          <w:tcPr/>
          <w:p>
            <w:pPr>
              <w:pStyle w:val="Compact"/>
              <w:jc w:val="left"/>
            </w:pPr>
            <w:r>
              <w:t xml:space="preserve">TBD</w:t>
            </w:r>
          </w:p>
        </w:tc>
        <w:tc>
          <w:tcPr/>
          <w:p>
            <w:pPr>
              <w:pStyle w:val="Compact"/>
              <w:jc w:val="left"/>
            </w:pPr>
            <w:r>
              <w:t xml:space="preserve">Other property: tort claim</w:t>
            </w:r>
          </w:p>
        </w:tc>
      </w:tr>
      <w:tr>
        <w:tc>
          <w:tcPr/>
          <w:p>
            <w:pPr>
              <w:pStyle w:val="Compact"/>
              <w:jc w:val="left"/>
            </w:pPr>
            <w:r>
              <w:rPr>
                <w:b/>
                <w:bCs/>
              </w:rPr>
              <w:t xml:space="preserve">Property subtotal</w:t>
            </w:r>
          </w:p>
        </w:tc>
        <w:tc>
          <w:tcPr/>
          <w:p>
            <w:pPr>
              <w:pStyle w:val="Compact"/>
              <w:jc w:val="left"/>
            </w:pPr>
            <w:r>
              <w:rPr>
                <w:b/>
                <w:bCs/>
              </w:rPr>
              <w:t xml:space="preserve">$1,543,800 + dies</w:t>
            </w:r>
          </w:p>
        </w:tc>
        <w:tc>
          <w:tcPr/>
          <w:p>
            <w:pPr>
              <w:pStyle w:val="Compact"/>
            </w:pPr>
          </w:p>
        </w:tc>
      </w:tr>
      <w:tr>
        <w:tc>
          <w:tcPr/>
          <w:p>
            <w:pPr>
              <w:pStyle w:val="Compact"/>
              <w:jc w:val="left"/>
            </w:pPr>
            <w:r>
              <w:t xml:space="preserve">Lost contribution margin (11 wks × $88,550)</w:t>
            </w:r>
          </w:p>
        </w:tc>
        <w:tc>
          <w:tcPr/>
          <w:p>
            <w:pPr>
              <w:pStyle w:val="Compact"/>
              <w:jc w:val="left"/>
            </w:pPr>
            <w:r>
              <w:t xml:space="preserve">up to $974,050</w:t>
            </w:r>
          </w:p>
        </w:tc>
        <w:tc>
          <w:tcPr/>
          <w:p>
            <w:pPr>
              <w:pStyle w:val="Compact"/>
              <w:jc w:val="left"/>
            </w:pPr>
            <w:r>
              <w:t xml:space="preserve">Consequential damages (excluded under §12.2); must be netted against outsourcing</w:t>
            </w:r>
          </w:p>
        </w:tc>
      </w:tr>
      <w:tr>
        <w:tc>
          <w:tcPr/>
          <w:p>
            <w:pPr>
              <w:pStyle w:val="Compact"/>
              <w:jc w:val="left"/>
            </w:pPr>
            <w:r>
              <w:t xml:space="preserve">Outsourcing (Buckeye)</w:t>
            </w:r>
          </w:p>
        </w:tc>
        <w:tc>
          <w:tcPr/>
          <w:p>
            <w:pPr>
              <w:pStyle w:val="Compact"/>
              <w:jc w:val="left"/>
            </w:pPr>
            <w:r>
              <w:t xml:space="preserve">$412,000 gross</w:t>
            </w:r>
          </w:p>
        </w:tc>
        <w:tc>
          <w:tcPr/>
          <w:p>
            <w:pPr>
              <w:pStyle w:val="Compact"/>
              <w:jc w:val="left"/>
            </w:pPr>
            <w:r>
              <w:t xml:space="preserve">Incremental cost only</w:t>
            </w:r>
          </w:p>
        </w:tc>
      </w:tr>
      <w:tr>
        <w:tc>
          <w:tcPr/>
          <w:p>
            <w:pPr>
              <w:pStyle w:val="Compact"/>
              <w:jc w:val="left"/>
            </w:pPr>
            <w:r>
              <w:t xml:space="preserve">Customer liquidated damages</w:t>
            </w:r>
          </w:p>
        </w:tc>
        <w:tc>
          <w:tcPr/>
          <w:p>
            <w:pPr>
              <w:pStyle w:val="Compact"/>
              <w:jc w:val="left"/>
            </w:pPr>
            <w:r>
              <w:t xml:space="preserve">TBD</w:t>
            </w:r>
          </w:p>
        </w:tc>
        <w:tc>
          <w:tcPr/>
          <w:p>
            <w:pPr>
              <w:pStyle w:val="Compact"/>
              <w:jc w:val="left"/>
            </w:pPr>
            <w:r>
              <w:t xml:space="preserve">Review the aerospace supply contracts</w:t>
            </w:r>
          </w:p>
        </w:tc>
      </w:tr>
      <w:tr>
        <w:tc>
          <w:tcPr/>
          <w:p>
            <w:pPr>
              <w:pStyle w:val="Compact"/>
              <w:jc w:val="left"/>
            </w:pPr>
            <w:r>
              <w:t xml:space="preserve">Workers’ compensation benefits paid or payable</w:t>
            </w:r>
          </w:p>
        </w:tc>
        <w:tc>
          <w:tcPr/>
          <w:p>
            <w:pPr>
              <w:pStyle w:val="Compact"/>
              <w:jc w:val="left"/>
            </w:pPr>
            <w:r>
              <w:t xml:space="preserve">$436,500+ medical to date, plus indemnity and death benefits</w:t>
            </w:r>
          </w:p>
        </w:tc>
        <w:tc>
          <w:tcPr/>
          <w:p>
            <w:pPr>
              <w:pStyle w:val="Compact"/>
              <w:jc w:val="left"/>
            </w:pPr>
            <w:r>
              <w:t xml:space="preserve">Statutory subrogation against Ironclad and HydraCore</w:t>
            </w:r>
          </w:p>
        </w:tc>
      </w:tr>
      <w:tr>
        <w:tc>
          <w:tcPr/>
          <w:p>
            <w:pPr>
              <w:pStyle w:val="Compact"/>
              <w:jc w:val="left"/>
            </w:pPr>
            <w:r>
              <w:rPr>
                <w:b/>
                <w:bCs/>
              </w:rPr>
              <w:t xml:space="preserve">Indicative gross claim (before netting)</w:t>
            </w:r>
          </w:p>
        </w:tc>
        <w:tc>
          <w:tcPr/>
          <w:p>
            <w:pPr>
              <w:pStyle w:val="Compact"/>
              <w:jc w:val="left"/>
            </w:pPr>
            <w:r>
              <w:rPr>
                <w:b/>
                <w:bCs/>
              </w:rPr>
              <w:t xml:space="preserve">≈ $2.93M + WC + TBD items</w:t>
            </w:r>
          </w:p>
        </w:tc>
        <w:tc>
          <w:tcPr/>
          <w:p>
            <w:pPr>
              <w:pStyle w:val="Compact"/>
              <w:jc w:val="left"/>
            </w:pPr>
            <w:r>
              <w:t xml:space="preserve">Compare the Ironclad cap of ≤ $1.29M</w:t>
            </w:r>
          </w:p>
        </w:tc>
      </w:tr>
    </w:tbl>
    <w:bookmarkEnd w:id="34"/>
    <w:bookmarkStart w:id="35" w:name="Xa8fb53c39d8de7404be100dbeef9706f8c03d00"/>
    <w:p>
      <w:pPr>
        <w:pStyle w:val="Heading2"/>
      </w:pPr>
      <w:r>
        <w:t xml:space="preserve">6.2 Employee claims (they belong to the employees, not Dalton)</w:t>
      </w:r>
    </w:p>
    <w:p>
      <w:pPr>
        <w:pStyle w:val="FirstParagraph"/>
      </w:pPr>
      <w:r>
        <w:t xml:space="preserve">These matter to Dalton for three reasons: (i) Dalton’s workers’ compensation subrogation recovery comes out of them; (ii) they set the size of Ironclad’s §11.1(d) indemnity demand; and (iii) they create settlement leverage against the manufacturers. The workbook’s</w:t>
      </w:r>
      <w:r>
        <w:t xml:space="preserve"> </w:t>
      </w:r>
      <w:r>
        <w:t xml:space="preserve">“</w:t>
      </w:r>
      <w:r>
        <w:t xml:space="preserve">aggregate exposure</w:t>
      </w:r>
      <w:r>
        <w:t xml:space="preserve">”</w:t>
      </w:r>
      <w:r>
        <w:t xml:space="preserve"> </w:t>
      </w:r>
      <w:r>
        <w:t xml:space="preserve">figure of $11.8M–$18.8M mixes these claims with Dalton’s own, and compares the total with Dalton’s liability insurance.</w:t>
      </w:r>
      <w:r>
        <w:t xml:space="preserve"> </w:t>
      </w:r>
      <w:r>
        <w:rPr>
          <w:b/>
          <w:bCs/>
        </w:rPr>
        <w:t xml:space="preserve">That comparison is misleading and should be withdrawn.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Claimant</w:t>
            </w:r>
          </w:p>
        </w:tc>
        <w:tc>
          <w:tcPr/>
          <w:p>
            <w:pPr>
              <w:pStyle w:val="Compact"/>
              <w:jc w:val="left"/>
            </w:pPr>
            <w:r>
              <w:t xml:space="preserve">Workbook range</w:t>
            </w:r>
          </w:p>
        </w:tc>
        <w:tc>
          <w:tcPr/>
          <w:p>
            <w:pPr>
              <w:pStyle w:val="Compact"/>
              <w:jc w:val="left"/>
            </w:pPr>
            <w:r>
              <w:t xml:space="preserve">Issues identified</w:t>
            </w:r>
          </w:p>
        </w:tc>
      </w:tr>
      <w:tr>
        <w:tc>
          <w:tcPr/>
          <w:p>
            <w:pPr>
              <w:pStyle w:val="Compact"/>
              <w:jc w:val="left"/>
            </w:pPr>
            <w:r>
              <w:t xml:space="preserve">Reyes (wrongful death, R.C. 2125.02)</w:t>
            </w:r>
          </w:p>
        </w:tc>
        <w:tc>
          <w:tcPr/>
          <w:p>
            <w:pPr>
              <w:pStyle w:val="Compact"/>
              <w:jc w:val="left"/>
            </w:pPr>
            <w:r>
              <w:t xml:space="preserve">$5.10M – $9.10M</w:t>
            </w:r>
          </w:p>
        </w:tc>
        <w:tc>
          <w:tcPr/>
          <w:p>
            <w:pPr>
              <w:pStyle w:val="Compact"/>
              <w:jc w:val="left"/>
            </w:pPr>
            <w:r>
              <w:t xml:space="preserve">Lost earnings PV of $1.89M</w:t>
            </w:r>
            <w:r>
              <w:t xml:space="preserve"> </w:t>
            </w:r>
            <w:r>
              <w:rPr>
                <w:b/>
                <w:bCs/>
              </w:rPr>
              <w:t xml:space="preserve">cannot be reproduced from the stated inputs</w:t>
            </w:r>
            <w:r>
              <w:t xml:space="preserve">. $79,600/yr, 2.5% growth, 3.0% discount, 31 years gives about</w:t>
            </w:r>
            <w:r>
              <w:t xml:space="preserve"> </w:t>
            </w:r>
            <w:r>
              <w:rPr>
                <w:b/>
                <w:bCs/>
              </w:rPr>
              <w:t xml:space="preserve">$2.23M–$2.28M</w:t>
            </w:r>
            <w:r>
              <w:t xml:space="preserve">. Separately, Ohio measures loss of support to beneficiaries, so personal consumption should be deducted. Household services of $195K does not match its inputs either: 50 years at 3% gives about $211K, and the period should run over the</w:t>
            </w:r>
            <w:r>
              <w:t xml:space="preserve"> </w:t>
            </w:r>
            <w:r>
              <w:rPr>
                <w:i/>
                <w:iCs/>
              </w:rPr>
              <w:t xml:space="preserve">decedent’s</w:t>
            </w:r>
            <w:r>
              <w:t xml:space="preserve"> </w:t>
            </w:r>
            <w:r>
              <w:t xml:space="preserve">expectancy, not the spouse’s. Ask Dr. Voigt to reconcile. Ohio’s non-economic caps do not apply to wrongful death.</w:t>
            </w:r>
            <w:r>
              <w:t xml:space="preserve"> </w:t>
            </w:r>
            <w:r>
              <w:rPr>
                <w:b/>
                <w:bCs/>
              </w:rPr>
              <w:t xml:space="preserve">No personal representative has been appointed yet.</w:t>
            </w:r>
          </w:p>
        </w:tc>
      </w:tr>
      <w:tr>
        <w:tc>
          <w:tcPr/>
          <w:p>
            <w:pPr>
              <w:pStyle w:val="Compact"/>
              <w:jc w:val="left"/>
            </w:pPr>
            <w:r>
              <w:t xml:space="preserve">Trask (personal injury)</w:t>
            </w:r>
          </w:p>
        </w:tc>
        <w:tc>
          <w:tcPr/>
          <w:p>
            <w:pPr>
              <w:pStyle w:val="Compact"/>
              <w:jc w:val="left"/>
            </w:pPr>
            <w:r>
              <w:t xml:space="preserve">$4.56M – $7.16M</w:t>
            </w:r>
          </w:p>
        </w:tc>
        <w:tc>
          <w:tcPr/>
          <w:p>
            <w:pPr>
              <w:pStyle w:val="Compact"/>
              <w:jc w:val="left"/>
            </w:pPr>
            <w:r>
              <w:t xml:space="preserve">Arithmetic checks. The totals use the life-care planner’s</w:t>
            </w:r>
            <w:r>
              <w:t xml:space="preserve"> </w:t>
            </w:r>
            <w:r>
              <w:rPr>
                <w:i/>
                <w:iCs/>
              </w:rPr>
              <w:t xml:space="preserve">adjusted</w:t>
            </w:r>
            <w:r>
              <w:t xml:space="preserve"> </w:t>
            </w:r>
            <w:r>
              <w:t xml:space="preserve">range ($1.2–1.8M), but no planner has been retained yet. Amputation fits the</w:t>
            </w:r>
            <w:r>
              <w:t xml:space="preserve"> </w:t>
            </w:r>
            <w:r>
              <w:t xml:space="preserve">“</w:t>
            </w:r>
            <w:r>
              <w:t xml:space="preserve">catastrophic</w:t>
            </w:r>
            <w:r>
              <w:t xml:space="preserve">”</w:t>
            </w:r>
            <w:r>
              <w:t xml:space="preserve"> </w:t>
            </w:r>
            <w:r>
              <w:t xml:space="preserve">exception to the R.C. 2315.18 non-economic cap (permanent deformity / loss of use of a limb), so non-economic damages are likely</w:t>
            </w:r>
            <w:r>
              <w:t xml:space="preserve"> </w:t>
            </w:r>
            <w:r>
              <w:rPr>
                <w:b/>
                <w:bCs/>
              </w:rPr>
              <w:t xml:space="preserve">uncapped</w:t>
            </w:r>
            <w:r>
              <w:t xml:space="preserve">.</w:t>
            </w:r>
          </w:p>
        </w:tc>
      </w:tr>
      <w:tr>
        <w:tc>
          <w:tcPr/>
          <w:p>
            <w:pPr>
              <w:pStyle w:val="Compact"/>
              <w:jc w:val="left"/>
            </w:pPr>
            <w:r>
              <w:t xml:space="preserve">Anand (personal injury)</w:t>
            </w:r>
          </w:p>
        </w:tc>
        <w:tc>
          <w:tcPr/>
          <w:p>
            <w:pPr>
              <w:pStyle w:val="Compact"/>
              <w:jc w:val="left"/>
            </w:pPr>
            <w:r>
              <w:t xml:space="preserve">$0.45M – $0.90M</w:t>
            </w:r>
          </w:p>
        </w:tc>
        <w:tc>
          <w:tcPr/>
          <w:p>
            <w:pPr>
              <w:pStyle w:val="Compact"/>
              <w:jc w:val="left"/>
            </w:pPr>
            <w:r>
              <w:t xml:space="preserve">Non-economic damages ($300K–$700K) probably</w:t>
            </w:r>
            <w:r>
              <w:t xml:space="preserve"> </w:t>
            </w:r>
            <w:r>
              <w:rPr>
                <w:b/>
                <w:bCs/>
              </w:rPr>
              <w:t xml:space="preserve">exceed the R.C. 2315.18 cap</w:t>
            </w:r>
            <w:r>
              <w:t xml:space="preserve">: the greater of $250K or 3× economic loss, to a maximum of $350K per plaintiff, unless her burns/scarring qualify as permanent substantial deformity. Three weeks of lost wages looks understated for a compound tib/fib ORIF with ongoing physical therapy.</w:t>
            </w:r>
          </w:p>
        </w:tc>
      </w:tr>
    </w:tbl>
    <w:p>
      <w:pPr>
        <w:pStyle w:val="BodyText"/>
      </w:pPr>
      <w:r>
        <w:t xml:space="preserve">Punitive damages against Ironclad in the employees’ suits could add up to 2× compensatory damages. That significantly raises Ironclad’s incentive to settle globally.</w:t>
      </w:r>
    </w:p>
    <w:bookmarkEnd w:id="35"/>
    <w:bookmarkEnd w:id="36"/>
    <w:bookmarkStart w:id="37" w:name="insurance-analysis"/>
    <w:p>
      <w:pPr>
        <w:pStyle w:val="Heading1"/>
      </w:pPr>
      <w:r>
        <w:t xml:space="preserve">7. Insurance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w:t>
            </w:r>
          </w:p>
        </w:tc>
        <w:tc>
          <w:tcPr/>
          <w:p>
            <w:pPr>
              <w:pStyle w:val="Compact"/>
              <w:jc w:val="left"/>
            </w:pPr>
            <w:r>
              <w:t xml:space="preserve">Relevance</w:t>
            </w:r>
          </w:p>
        </w:tc>
        <w:tc>
          <w:tcPr/>
          <w:p>
            <w:pPr>
              <w:pStyle w:val="Compact"/>
              <w:jc w:val="left"/>
            </w:pPr>
            <w:r>
              <w:t xml:space="preserve">Assessment</w:t>
            </w:r>
          </w:p>
        </w:tc>
      </w:tr>
      <w:tr>
        <w:tc>
          <w:tcPr/>
          <w:p>
            <w:pPr>
              <w:pStyle w:val="Compact"/>
              <w:jc w:val="left"/>
            </w:pPr>
            <w:r>
              <w:t xml:space="preserve">Pinnacle CGL PMI-OH-4421876 ($5M occurrence / $10M aggregate)</w:t>
            </w:r>
          </w:p>
        </w:tc>
        <w:tc>
          <w:tcPr/>
          <w:p>
            <w:pPr>
              <w:pStyle w:val="Compact"/>
              <w:jc w:val="left"/>
            </w:pPr>
            <w:r>
              <w:t xml:space="preserve">Third-party claims</w:t>
            </w:r>
            <w:r>
              <w:t xml:space="preserve"> </w:t>
            </w:r>
            <w:r>
              <w:rPr>
                <w:i/>
                <w:iCs/>
              </w:rPr>
              <w:t xml:space="preserve">against</w:t>
            </w:r>
            <w:r>
              <w:t xml:space="preserve"> </w:t>
            </w:r>
            <w:r>
              <w:t xml:space="preserve">Dalton</w:t>
            </w:r>
          </w:p>
        </w:tc>
        <w:tc>
          <w:tcPr/>
          <w:p>
            <w:pPr>
              <w:pStyle w:val="Compact"/>
              <w:jc w:val="left"/>
            </w:pPr>
            <w:r>
              <w:t xml:space="preserve">Does not fund Dalton’s affirmative claims. The employer’s liability exclusion bars employee bodily-injury claims</w:t>
            </w:r>
            <w:r>
              <w:t xml:space="preserve"> </w:t>
            </w:r>
            <w:r>
              <w:rPr>
                <w:b/>
                <w:bCs/>
              </w:rPr>
              <w:t xml:space="preserve">and</w:t>
            </w:r>
            <w:r>
              <w:rPr>
                <w:b/>
                <w:bCs/>
              </w:rPr>
              <w:t xml:space="preserve"> </w:t>
            </w:r>
            <w:r>
              <w:rPr>
                <w:b/>
                <w:bCs/>
              </w:rPr>
              <w:t xml:space="preserve">“</w:t>
            </w:r>
            <w:r>
              <w:rPr>
                <w:b/>
                <w:bCs/>
              </w:rPr>
              <w:t xml:space="preserve">any obligation… to indemnify or contribute with another because of damages arising out of such injury.</w:t>
            </w:r>
            <w:r>
              <w:rPr>
                <w:b/>
                <w:bCs/>
              </w:rPr>
              <w:t xml:space="preserve">”</w:t>
            </w:r>
            <w:r>
              <w:t xml:space="preserve"> </w:t>
            </w:r>
            <w:r>
              <w:t xml:space="preserve">That likely defeats coverage for Ironclad’s §11.1(d) tender, despite the usual</w:t>
            </w:r>
            <w:r>
              <w:t xml:space="preserve"> </w:t>
            </w:r>
            <w:r>
              <w:t xml:space="preserve">“</w:t>
            </w:r>
            <w:r>
              <w:t xml:space="preserve">insured contract</w:t>
            </w:r>
            <w:r>
              <w:t xml:space="preserve">”</w:t>
            </w:r>
            <w:r>
              <w:t xml:space="preserve"> </w:t>
            </w:r>
            <w:r>
              <w:t xml:space="preserve">exception (CG 24 26). Obtain the full policy form.</w:t>
            </w:r>
          </w:p>
        </w:tc>
      </w:tr>
      <w:tr>
        <w:tc>
          <w:tcPr/>
          <w:p>
            <w:pPr>
              <w:pStyle w:val="Compact"/>
              <w:jc w:val="left"/>
            </w:pPr>
            <w:r>
              <w:t xml:space="preserve">Great Plains umbrella GPES-2024-00319 ($15M)</w:t>
            </w:r>
          </w:p>
        </w:tc>
        <w:tc>
          <w:tcPr/>
          <w:p>
            <w:pPr>
              <w:pStyle w:val="Compact"/>
              <w:jc w:val="left"/>
            </w:pPr>
            <w:r>
              <w:t xml:space="preserve">Excess over the CGL</w:t>
            </w:r>
          </w:p>
        </w:tc>
        <w:tc>
          <w:tcPr/>
          <w:p>
            <w:pPr>
              <w:pStyle w:val="Compact"/>
              <w:jc w:val="left"/>
            </w:pPr>
            <w:r>
              <w:t xml:space="preserve">Follows form, so the same employer’s liability exclusion applies. Excludes punitive damages and property owned by Dalton. The drop-down with a $25K SIR does not help where exclusions apply. It is a surplus-lines carrier with no Ohio guaranty-fund protection. Notice was timely (Mar. 14, well within 60 days).</w:t>
            </w:r>
          </w:p>
        </w:tc>
      </w:tr>
      <w:tr>
        <w:tc>
          <w:tcPr/>
          <w:p>
            <w:pPr>
              <w:pStyle w:val="Compact"/>
              <w:jc w:val="left"/>
            </w:pPr>
            <w:r>
              <w:t xml:space="preserve">Ohio BWC self-insured group SI-7782</w:t>
            </w:r>
          </w:p>
        </w:tc>
        <w:tc>
          <w:tcPr/>
          <w:p>
            <w:pPr>
              <w:pStyle w:val="Compact"/>
              <w:jc w:val="left"/>
            </w:pPr>
            <w:r>
              <w:t xml:space="preserve">Statutory benefits</w:t>
            </w:r>
          </w:p>
        </w:tc>
        <w:tc>
          <w:tcPr/>
          <w:p>
            <w:pPr>
              <w:pStyle w:val="Compact"/>
              <w:jc w:val="left"/>
            </w:pPr>
            <w:r>
              <w:t xml:space="preserve">Dalton pays benefits directly and holds subrogation rights. The umbrella schedule lists</w:t>
            </w:r>
            <w:r>
              <w:t xml:space="preserve"> </w:t>
            </w:r>
            <w:r>
              <w:t xml:space="preserve">“</w:t>
            </w:r>
            <w:r>
              <w:t xml:space="preserve">$1M employers liability</w:t>
            </w:r>
            <w:r>
              <w:t xml:space="preserve">”</w:t>
            </w:r>
            <w:r>
              <w:t xml:space="preserve"> </w:t>
            </w:r>
            <w:r>
              <w:t xml:space="preserve">through BWC.</w:t>
            </w:r>
            <w:r>
              <w:t xml:space="preserve"> </w:t>
            </w:r>
            <w:r>
              <w:rPr>
                <w:b/>
                <w:bCs/>
              </w:rPr>
              <w:t xml:space="preserve">Ohio is a monopolistic state, so confirm whether Dalton actually has stop-gap employers’ liability coverage for intentional-tort claims under R.C. 2745.01.</w:t>
            </w:r>
          </w:p>
        </w:tc>
      </w:tr>
      <w:tr>
        <w:tc>
          <w:tcPr/>
          <w:p>
            <w:pPr>
              <w:pStyle w:val="Compact"/>
              <w:jc w:val="left"/>
            </w:pPr>
            <w:r>
              <w:t xml:space="preserve">First-party property / business interruption / equipment breakdown</w:t>
            </w:r>
          </w:p>
        </w:tc>
        <w:tc>
          <w:tcPr/>
          <w:p>
            <w:pPr>
              <w:pStyle w:val="Compact"/>
              <w:jc w:val="left"/>
            </w:pPr>
            <w:r>
              <w:t xml:space="preserve">Dalton’s own losses (about $2.9M+)</w:t>
            </w:r>
          </w:p>
        </w:tc>
        <w:tc>
          <w:tcPr/>
          <w:p>
            <w:pPr>
              <w:pStyle w:val="Compact"/>
              <w:jc w:val="left"/>
            </w:pPr>
            <w:r>
              <w:rPr>
                <w:b/>
                <w:bCs/>
              </w:rPr>
              <w:t xml:space="preserve">NOT IN FILE. This is a critical gap.</w:t>
            </w:r>
            <w:r>
              <w:t xml:space="preserve"> </w:t>
            </w:r>
            <w:r>
              <w:t xml:space="preserve">Ask Dalton’s broker (Hargrove &amp; Associates) immediately. If a policy exists, give notice, check proof-of-loss deadlines (often 60 days, around May 13, 2025), and</w:t>
            </w:r>
            <w:r>
              <w:t xml:space="preserve"> </w:t>
            </w:r>
            <w:r>
              <w:rPr>
                <w:b/>
                <w:bCs/>
              </w:rPr>
              <w:t xml:space="preserve">do not release or impair the insurer’s subrogation rights</w:t>
            </w:r>
            <w:r>
              <w:t xml:space="preserve">. Get the insurer’s consent before any settlement with Ironclad or HydraCore.</w:t>
            </w:r>
          </w:p>
        </w:tc>
      </w:tr>
    </w:tbl>
    <w:p>
      <w:pPr>
        <w:pStyle w:val="BodyText"/>
      </w:pPr>
      <w:r>
        <w:t xml:space="preserve">Also send written notice to Pinnacle and Great Plains of the potential Ironclad indemnity demand and any intentional-tort claim, and request coverage positions. The Haas mill’s ownership status (owned or leased) affects both the property claim and CGL exclusions.</w:t>
      </w:r>
    </w:p>
    <w:bookmarkEnd w:id="37"/>
    <w:bookmarkStart w:id="38" w:name="venue-and-forum-strategy"/>
    <w:p>
      <w:pPr>
        <w:pStyle w:val="Heading1"/>
      </w:pPr>
      <w:r>
        <w:t xml:space="preserve">8. Venue and Forum Strategy</w:t>
      </w:r>
    </w:p>
    <w:p>
      <w:pPr>
        <w:pStyle w:val="FirstParagraph"/>
      </w:pPr>
      <w:r>
        <w:rPr>
          <w:b/>
          <w:bCs/>
        </w:rPr>
        <w:t xml:space="preserve">Recommended approach: parallel proceedings, keeping HydraCore in Ohio court.</w:t>
      </w:r>
    </w:p>
    <w:p>
      <w:pPr>
        <w:pStyle w:val="Compact"/>
        <w:numPr>
          <w:ilvl w:val="0"/>
          <w:numId w:val="1016"/>
        </w:numPr>
      </w:pPr>
      <w:r>
        <w:rPr>
          <w:b/>
          <w:bCs/>
        </w:rPr>
        <w:t xml:space="preserve">Dalton v. HydraCore: Montgomery County Court of Common Pleas.</w:t>
      </w:r>
      <w:r>
        <w:t xml:space="preserve"> </w:t>
      </w:r>
      <w:r>
        <w:t xml:space="preserve">Ohio law (OPLA manufacturing defect, negligence). Claims for other-property damage, and workers’ compensation subrogation as statutory subrogee. HydraCore is not bound by the arbitration clause or the cap, and a local jury is available. Assess removal: the S.D. Ohio (Dayton) is still a local forum, and HydraCore’s LLC members’ citizenship determines diversity. Expect HydraCore to implead Ironclad for contribution; Ironclad will then move to compel arbitration only as to Dalton-derived claims.</w:t>
      </w:r>
    </w:p>
    <w:p>
      <w:pPr>
        <w:pStyle w:val="Compact"/>
        <w:numPr>
          <w:ilvl w:val="0"/>
          <w:numId w:val="1016"/>
        </w:numPr>
      </w:pPr>
      <w:r>
        <w:rPr>
          <w:b/>
          <w:bCs/>
        </w:rPr>
        <w:t xml:space="preserve">Dalton v. Ironclad: AAA arbitration, Grand Rapids.</w:t>
      </w:r>
      <w:r>
        <w:t xml:space="preserve"> </w:t>
      </w:r>
      <w:r>
        <w:t xml:space="preserve">This is unavoidable for contract and warranty claims absent Ironclad’s waiver. Plead breach of express warranty (§§10.1 and 18.1), failure of essential purpose, gross negligence/willful misconduct (to break the cap), and declaratory relief that §11.1(d) does not apply. Advantages: a single arbitrator can be chosen for technical skill, the process is fast, and confidentiality may push Ironclad toward a quieter settlement. Disadvantages: no punitive damages, limited discovery (seek early document subpoenas for the HydraCore batch records and Apex complaint file), and Michigan law.</w:t>
      </w:r>
    </w:p>
    <w:p>
      <w:pPr>
        <w:pStyle w:val="Compact"/>
        <w:numPr>
          <w:ilvl w:val="0"/>
          <w:numId w:val="1016"/>
        </w:numPr>
      </w:pPr>
      <w:r>
        <w:rPr>
          <w:b/>
          <w:bCs/>
        </w:rPr>
        <w:t xml:space="preserve">Alternatively, propose a global agreement.</w:t>
      </w:r>
      <w:r>
        <w:t xml:space="preserve"> </w:t>
      </w:r>
      <w:r>
        <w:t xml:space="preserve">Offer Ironclad a stipulation that Dalton’s claims be tried in Ohio court with the employee cases, in exchange for waiving arbitration. Ironclad may prefer one forum to avoid inconsistent results. Get a</w:t>
      </w:r>
      <w:r>
        <w:t xml:space="preserve"> </w:t>
      </w:r>
      <w:r>
        <w:rPr>
          <w:b/>
          <w:bCs/>
        </w:rPr>
        <w:t xml:space="preserve">tolling agreement</w:t>
      </w:r>
      <w:r>
        <w:t xml:space="preserve"> </w:t>
      </w:r>
      <w:r>
        <w:t xml:space="preserve">covering the §15.3 period in any event.</w:t>
      </w:r>
    </w:p>
    <w:p>
      <w:pPr>
        <w:pStyle w:val="Compact"/>
        <w:numPr>
          <w:ilvl w:val="0"/>
          <w:numId w:val="1016"/>
        </w:numPr>
      </w:pPr>
      <w:r>
        <w:rPr>
          <w:b/>
          <w:bCs/>
        </w:rPr>
        <w:t xml:space="preserve">Employee suits (Reyes estate, Trask, Anand)</w:t>
      </w:r>
      <w:r>
        <w:t xml:space="preserve"> </w:t>
      </w:r>
      <w:r>
        <w:t xml:space="preserve">will almost certainly be filed in Montgomery County against both manufacturers. Dalton has aligned interests (liability, punitive damages, subrogation) and conflicting ones (§11.1(d), non-party fault allocation, possible intentional-tort claims). Coordinate through the subrogation statute and a common-interest agreement</w:t>
      </w:r>
      <w:r>
        <w:t xml:space="preserve"> </w:t>
      </w:r>
      <w:r>
        <w:rPr>
          <w:b/>
          <w:bCs/>
        </w:rPr>
        <w:t xml:space="preserve">on liability issues only</w:t>
      </w:r>
      <w:r>
        <w:t xml:space="preserve">. Dalton must receive notice of, and protect its lien in, any settlement (R.C. 4123.931).</w:t>
      </w:r>
    </w:p>
    <w:p>
      <w:pPr>
        <w:pStyle w:val="Compact"/>
        <w:numPr>
          <w:ilvl w:val="0"/>
          <w:numId w:val="1016"/>
        </w:numPr>
      </w:pPr>
      <w:r>
        <w:rPr>
          <w:b/>
          <w:bCs/>
        </w:rPr>
        <w:t xml:space="preserve">Personal jurisdiction</w:t>
      </w:r>
      <w:r>
        <w:t xml:space="preserve"> </w:t>
      </w:r>
      <w:r>
        <w:t xml:space="preserve">over Ironclad in Ohio is sound: it sold the press into Ohio and installed and commissioned it on site.</w:t>
      </w:r>
    </w:p>
    <w:bookmarkEnd w:id="38"/>
    <w:bookmarkStart w:id="39" w:name="osha-citations-recommendation-to-contest"/>
    <w:p>
      <w:pPr>
        <w:pStyle w:val="Heading1"/>
      </w:pPr>
      <w:r>
        <w:t xml:space="preserve">9. OSHA Citations: Recommendation to Contest</w:t>
      </w:r>
    </w:p>
    <w:p>
      <w:pPr>
        <w:pStyle w:val="FirstParagraph"/>
      </w:pPr>
      <w:r>
        <w:rPr>
          <w:b/>
          <w:bCs/>
        </w:rPr>
        <w:t xml:space="preserve">File a Notice of Contest on both items by May 16, 2025</w:t>
      </w:r>
      <w:r>
        <w:t xml:space="preserve">, one business day before the computed May 19 deadline. An informal conference does not extend the deadline. Final orders would be used by Ironclad and HydraCore as evidence of Dalton’s fault and to trigger §§11.1(d) and 18.4.</w:t>
      </w:r>
    </w:p>
    <w:p>
      <w:pPr>
        <w:pStyle w:val="Compact"/>
        <w:numPr>
          <w:ilvl w:val="0"/>
          <w:numId w:val="1017"/>
        </w:numPr>
      </w:pPr>
      <w:r>
        <w:rPr>
          <w:b/>
          <w:bCs/>
        </w:rPr>
        <w:t xml:space="preserve">Item 1, LOTO (1910.147(c)(4)(i), $18,900):</w:t>
      </w:r>
    </w:p>
    <w:p>
      <w:pPr>
        <w:pStyle w:val="Compact"/>
        <w:numPr>
          <w:ilvl w:val="1"/>
          <w:numId w:val="1018"/>
        </w:numPr>
      </w:pPr>
      <w:r>
        <w:t xml:space="preserve">The standard covers servicing and maintenance. The injury happened during normal production, and the citation itself says no LOTO was in progress (see 1910.147(a)(2)(i)).</w:t>
      </w:r>
    </w:p>
    <w:p>
      <w:pPr>
        <w:pStyle w:val="Compact"/>
        <w:numPr>
          <w:ilvl w:val="1"/>
          <w:numId w:val="1018"/>
        </w:numPr>
      </w:pPr>
      <w:r>
        <w:t xml:space="preserve">The facts conflict. The citation says the ball valve had</w:t>
      </w:r>
      <w:r>
        <w:t xml:space="preserve"> </w:t>
      </w:r>
      <w:r>
        <w:rPr>
          <w:b/>
          <w:bCs/>
        </w:rPr>
        <w:t xml:space="preserve">no lockout hasp</w:t>
      </w:r>
      <w:r>
        <w:t xml:space="preserve">, but Meridian photographed a valve</w:t>
      </w:r>
      <w:r>
        <w:t xml:space="preserve"> </w:t>
      </w:r>
      <w:r>
        <w:rPr>
          <w:b/>
          <w:bCs/>
        </w:rPr>
        <w:t xml:space="preserve">equipped with a lockout hasp</w:t>
      </w:r>
      <w:r>
        <w:t xml:space="preserve"> </w:t>
      </w:r>
      <w:r>
        <w:t xml:space="preserve">(Photos 125–130).</w:t>
      </w:r>
    </w:p>
    <w:p>
      <w:pPr>
        <w:pStyle w:val="Compact"/>
        <w:numPr>
          <w:ilvl w:val="1"/>
          <w:numId w:val="1018"/>
        </w:numPr>
      </w:pPr>
      <w:r>
        <w:t xml:space="preserve">The real deficiency (no bleed-down valve or gauge) is an OEM design issue.</w:t>
      </w:r>
    </w:p>
    <w:p>
      <w:pPr>
        <w:pStyle w:val="Compact"/>
        <w:numPr>
          <w:ilvl w:val="0"/>
          <w:numId w:val="1017"/>
        </w:numPr>
      </w:pPr>
      <w:r>
        <w:rPr>
          <w:b/>
          <w:bCs/>
        </w:rPr>
        <w:t xml:space="preserve">Item 2, Guarding (1910.212(a)(1), $12,500):</w:t>
      </w:r>
    </w:p>
    <w:p>
      <w:pPr>
        <w:pStyle w:val="Compact"/>
        <w:numPr>
          <w:ilvl w:val="1"/>
          <w:numId w:val="1019"/>
        </w:numPr>
      </w:pPr>
      <w:r>
        <w:t xml:space="preserve">The standard targets point-of-operation hazards and flying chips, not containment of internal hydraulic components in a catastrophic failure caused by a hidden defect.</w:t>
      </w:r>
    </w:p>
    <w:p>
      <w:pPr>
        <w:pStyle w:val="Compact"/>
        <w:numPr>
          <w:ilvl w:val="1"/>
          <w:numId w:val="1019"/>
        </w:numPr>
      </w:pPr>
      <w:r>
        <w:t xml:space="preserve">The press had the OEM guarding package.</w:t>
      </w:r>
    </w:p>
    <w:p>
      <w:pPr>
        <w:pStyle w:val="Compact"/>
        <w:numPr>
          <w:ilvl w:val="1"/>
          <w:numId w:val="1019"/>
        </w:numPr>
      </w:pPr>
      <w:r>
        <w:t xml:space="preserve">Operator distance is inconsistent: the citation says 8 ft, the incident report about 4 ft.</w:t>
      </w:r>
    </w:p>
    <w:p>
      <w:pPr>
        <w:pStyle w:val="Compact"/>
        <w:numPr>
          <w:ilvl w:val="1"/>
          <w:numId w:val="1019"/>
        </w:numPr>
      </w:pPr>
      <w:r>
        <w:t xml:space="preserve">Argue that the hazard was not foreseeable to the employer.</w:t>
      </w:r>
    </w:p>
    <w:p>
      <w:pPr>
        <w:pStyle w:val="Compact"/>
        <w:numPr>
          <w:ilvl w:val="0"/>
          <w:numId w:val="1017"/>
        </w:numPr>
      </w:pPr>
      <w:r>
        <w:rPr>
          <w:b/>
          <w:bCs/>
        </w:rPr>
        <w:t xml:space="preserve">Fallback:</w:t>
      </w:r>
      <w:r>
        <w:t xml:space="preserve"> </w:t>
      </w:r>
      <w:r>
        <w:t xml:space="preserve">Seek reclassification to</w:t>
      </w:r>
      <w:r>
        <w:t xml:space="preserve"> </w:t>
      </w:r>
      <w:r>
        <w:t xml:space="preserve">“</w:t>
      </w:r>
      <w:r>
        <w:t xml:space="preserve">Other-than-Serious,</w:t>
      </w:r>
      <w:r>
        <w:t xml:space="preserve">”</w:t>
      </w:r>
      <w:r>
        <w:t xml:space="preserve"> </w:t>
      </w:r>
      <w:r>
        <w:t xml:space="preserve">or re-characterization under Ohio’s settlement provisions, with language that the settlement is not an admission for any other proceeding. Also ask for the good-faith reduction on Item 1 to be restored.</w:t>
      </w:r>
    </w:p>
    <w:p>
      <w:pPr>
        <w:pStyle w:val="Compact"/>
        <w:numPr>
          <w:ilvl w:val="0"/>
          <w:numId w:val="1017"/>
        </w:numPr>
      </w:pPr>
      <w:r>
        <w:rPr>
          <w:b/>
          <w:bCs/>
        </w:rPr>
        <w:t xml:space="preserve">Complete the abatement work anyway.</w:t>
      </w:r>
      <w:r>
        <w:t xml:space="preserve"> </w:t>
      </w:r>
      <w:r>
        <w:t xml:space="preserve">It is the right safety step: add accumulator bleed-down and gauges, add containment/blast shielding, and revise LOTO-HX9000-01. Subsequent remedial measures are generally inadmissible to prove fault (Evid.R. 407). Contesting stays the July 28, 2025 abatement date.</w:t>
      </w:r>
    </w:p>
    <w:p>
      <w:pPr>
        <w:pStyle w:val="Compact"/>
        <w:numPr>
          <w:ilvl w:val="0"/>
          <w:numId w:val="1017"/>
        </w:numPr>
      </w:pPr>
      <w:r>
        <w:t xml:space="preserve">Request the complete OSHA file, including photographs, samples and interview notes, and ask about the status of the separate</w:t>
      </w:r>
      <w:r>
        <w:t xml:space="preserve"> </w:t>
      </w:r>
      <w:r>
        <w:rPr>
          <w:b/>
          <w:bCs/>
        </w:rPr>
        <w:t xml:space="preserve">investigation of Ironclad</w:t>
      </w:r>
      <w:r>
        <w:t xml:space="preserve">. That investigation could support our case.</w:t>
      </w:r>
    </w:p>
    <w:bookmarkEnd w:id="39"/>
    <w:bookmarkStart w:id="40" w:name="ethics-and-engagement-issues"/>
    <w:p>
      <w:pPr>
        <w:pStyle w:val="Heading1"/>
      </w:pPr>
      <w:r>
        <w:t xml:space="preserve">10. Ethics and Engagement Issues</w:t>
      </w:r>
    </w:p>
    <w:p>
      <w:pPr>
        <w:pStyle w:val="Compact"/>
        <w:numPr>
          <w:ilvl w:val="0"/>
          <w:numId w:val="1020"/>
        </w:numPr>
      </w:pPr>
      <w:r>
        <w:rPr>
          <w:b/>
          <w:bCs/>
        </w:rPr>
        <w:t xml:space="preserve">Engagement letter:</w:t>
      </w:r>
      <w:r>
        <w:t xml:space="preserve"> </w:t>
      </w:r>
      <w:r>
        <w:t xml:space="preserve">Have both parties sign it now. Consider a backdated effectiveness clause covering March 20 onward, so work before signature (including Meridian’s retention on March 24) is covered.</w:t>
      </w:r>
    </w:p>
    <w:p>
      <w:pPr>
        <w:pStyle w:val="Compact"/>
        <w:numPr>
          <w:ilvl w:val="0"/>
          <w:numId w:val="1020"/>
        </w:numPr>
      </w:pPr>
      <w:r>
        <w:rPr>
          <w:b/>
          <w:bCs/>
        </w:rPr>
        <w:t xml:space="preserve">Individual employees:</w:t>
      </w:r>
      <w:r>
        <w:t xml:space="preserve"> </w:t>
      </w:r>
      <w:r>
        <w:t xml:space="preserve">The firm represents only the corporation.</w:t>
      </w:r>
      <w:r>
        <w:t xml:space="preserve"> </w:t>
      </w:r>
      <w:r>
        <w:rPr>
          <w:b/>
          <w:bCs/>
        </w:rPr>
        <w:t xml:space="preserve">Do not represent Trask, Anand or the Reyes estate.</w:t>
      </w:r>
      <w:r>
        <w:t xml:space="preserve"> </w:t>
      </w:r>
      <w:r>
        <w:t xml:space="preserve">There are direct conflicts over subrogation liens, §11.1(d) and potential intentional-tort claims. Follow Prof. Cond. R. 4.3 when dealing with them, and issue</w:t>
      </w:r>
      <w:r>
        <w:t xml:space="preserve"> </w:t>
      </w:r>
      <w:r>
        <w:rPr>
          <w:i/>
          <w:iCs/>
        </w:rPr>
        <w:t xml:space="preserve">Upjohn</w:t>
      </w:r>
      <w:r>
        <w:t xml:space="preserve"> </w:t>
      </w:r>
      <w:r>
        <w:t xml:space="preserve">warnings in employee interviews.</w:t>
      </w:r>
    </w:p>
    <w:p>
      <w:pPr>
        <w:pStyle w:val="Compact"/>
        <w:numPr>
          <w:ilvl w:val="0"/>
          <w:numId w:val="1020"/>
        </w:numPr>
      </w:pPr>
      <w:r>
        <w:rPr>
          <w:b/>
          <w:bCs/>
        </w:rPr>
        <w:t xml:space="preserve">Privilege:</w:t>
      </w:r>
      <w:r>
        <w:t xml:space="preserve"> </w:t>
      </w:r>
      <w:r>
        <w:t xml:space="preserve">The Hadley incident report was prepared</w:t>
      </w:r>
      <w:r>
        <w:t xml:space="preserve"> </w:t>
      </w:r>
      <w:r>
        <w:t xml:space="preserve">“</w:t>
      </w:r>
      <w:r>
        <w:t xml:space="preserve">in the ordinary course of business</w:t>
      </w:r>
      <w:r>
        <w:t xml:space="preserve">”</w:t>
      </w:r>
      <w:r>
        <w:t xml:space="preserve"> </w:t>
      </w:r>
      <w:r>
        <w:t xml:space="preserve">and is likely</w:t>
      </w:r>
      <w:r>
        <w:t xml:space="preserve"> </w:t>
      </w:r>
      <w:r>
        <w:rPr>
          <w:b/>
          <w:bCs/>
        </w:rPr>
        <w:t xml:space="preserve">discoverable</w:t>
      </w:r>
      <w:r>
        <w:t xml:space="preserve">. It contains unhelpful admissions, such as the faded tags and the LOTO audit. Route all further investigation through counsel. Meridian’s work product loses protection once Cordero is designated as a testifying expert. Consider a separate consulting expert.</w:t>
      </w:r>
    </w:p>
    <w:p>
      <w:pPr>
        <w:pStyle w:val="Compact"/>
        <w:numPr>
          <w:ilvl w:val="0"/>
          <w:numId w:val="1020"/>
        </w:numPr>
      </w:pPr>
      <w:r>
        <w:rPr>
          <w:b/>
          <w:bCs/>
        </w:rPr>
        <w:t xml:space="preserve">Email provenance:</w:t>
      </w:r>
      <w:r>
        <w:t xml:space="preserve"> </w:t>
      </w:r>
      <w:r>
        <w:t xml:space="preserve">see Section 5.5.</w:t>
      </w:r>
    </w:p>
    <w:bookmarkEnd w:id="40"/>
    <w:bookmarkStart w:id="41" w:name="recommended-action-plan"/>
    <w:p>
      <w:pPr>
        <w:pStyle w:val="Heading1"/>
      </w:pPr>
      <w:r>
        <w:t xml:space="preserve">11. Recommended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Countersign the engagement letter</w:t>
            </w:r>
          </w:p>
        </w:tc>
        <w:tc>
          <w:tcPr/>
          <w:p>
            <w:pPr>
              <w:pStyle w:val="Compact"/>
              <w:jc w:val="left"/>
            </w:pPr>
            <w:r>
              <w:t xml:space="preserve">SW / G. Dalton</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Confirm the OSHA receipt date; request informal conference;</w:t>
            </w:r>
            <w:r>
              <w:t xml:space="preserve"> </w:t>
            </w:r>
            <w:r>
              <w:rPr>
                <w:b/>
                <w:bCs/>
              </w:rPr>
              <w:t xml:space="preserve">file Notice of Contest (both items)</w:t>
            </w:r>
          </w:p>
        </w:tc>
        <w:tc>
          <w:tcPr/>
          <w:p>
            <w:pPr>
              <w:pStyle w:val="Compact"/>
              <w:jc w:val="left"/>
            </w:pPr>
            <w:r>
              <w:t xml:space="preserve">W&amp;C</w:t>
            </w:r>
          </w:p>
        </w:tc>
        <w:tc>
          <w:tcPr/>
          <w:p>
            <w:pPr>
              <w:pStyle w:val="Compact"/>
              <w:jc w:val="left"/>
            </w:pPr>
            <w:r>
              <w:rPr>
                <w:b/>
                <w:bCs/>
              </w:rPr>
              <w:t xml:space="preserve">By May 16, 2025</w:t>
            </w:r>
          </w:p>
        </w:tc>
      </w:tr>
      <w:tr>
        <w:tc>
          <w:tcPr/>
          <w:p>
            <w:pPr>
              <w:pStyle w:val="Compact"/>
              <w:jc w:val="left"/>
            </w:pPr>
            <w:r>
              <w:t xml:space="preserve">3</w:t>
            </w:r>
          </w:p>
        </w:tc>
        <w:tc>
          <w:tcPr/>
          <w:p>
            <w:pPr>
              <w:pStyle w:val="Compact"/>
              <w:jc w:val="left"/>
            </w:pPr>
            <w:r>
              <w:t xml:space="preserve">Find any property, BI, equipment-breakdown or stop-gap EL policies through Hargrove &amp; Associates; give notice; check proof-of-loss deadlines</w:t>
            </w:r>
          </w:p>
        </w:tc>
        <w:tc>
          <w:tcPr/>
          <w:p>
            <w:pPr>
              <w:pStyle w:val="Compact"/>
              <w:jc w:val="left"/>
            </w:pPr>
            <w:r>
              <w:t xml:space="preserve">W&amp;C / Dalton CFO</w:t>
            </w:r>
          </w:p>
        </w:tc>
        <w:tc>
          <w:tcPr/>
          <w:p>
            <w:pPr>
              <w:pStyle w:val="Compact"/>
              <w:jc w:val="left"/>
            </w:pPr>
            <w:r>
              <w:t xml:space="preserve">This week</w:t>
            </w:r>
          </w:p>
        </w:tc>
      </w:tr>
      <w:tr>
        <w:tc>
          <w:tcPr/>
          <w:p>
            <w:pPr>
              <w:pStyle w:val="Compact"/>
              <w:jc w:val="left"/>
            </w:pPr>
            <w:r>
              <w:t xml:space="preserve">4</w:t>
            </w:r>
          </w:p>
        </w:tc>
        <w:tc>
          <w:tcPr/>
          <w:p>
            <w:pPr>
              <w:pStyle w:val="Compact"/>
              <w:jc w:val="left"/>
            </w:pPr>
            <w:r>
              <w:t xml:space="preserve">Issue the litigation hold memo (promised in the engagement letter). Formalize chain of custody for the wreckage, the data drive (now in the EHS safe), fluid samples and Meridian specimens</w:t>
            </w:r>
          </w:p>
        </w:tc>
        <w:tc>
          <w:tcPr/>
          <w:p>
            <w:pPr>
              <w:pStyle w:val="Compact"/>
              <w:jc w:val="left"/>
            </w:pPr>
            <w:r>
              <w:t xml:space="preserve">W&amp;C / Hadley</w:t>
            </w:r>
          </w:p>
        </w:tc>
        <w:tc>
          <w:tcPr/>
          <w:p>
            <w:pPr>
              <w:pStyle w:val="Compact"/>
              <w:jc w:val="left"/>
            </w:pPr>
            <w:r>
              <w:t xml:space="preserve">This week</w:t>
            </w:r>
          </w:p>
        </w:tc>
      </w:tr>
      <w:tr>
        <w:tc>
          <w:tcPr/>
          <w:p>
            <w:pPr>
              <w:pStyle w:val="Compact"/>
              <w:jc w:val="left"/>
            </w:pPr>
            <w:r>
              <w:t xml:space="preserve">5</w:t>
            </w:r>
          </w:p>
        </w:tc>
        <w:tc>
          <w:tcPr/>
          <w:p>
            <w:pPr>
              <w:pStyle w:val="Compact"/>
              <w:jc w:val="left"/>
            </w:pPr>
            <w:r>
              <w:t xml:space="preserve">Send preservation demands to Ironclad (via Bancroft, Steele &amp; Hodge), HydraCore and Apex Forging. Offer a joint-inspection and non-destructive/destructive testing protocol</w:t>
            </w:r>
          </w:p>
        </w:tc>
        <w:tc>
          <w:tcPr/>
          <w:p>
            <w:pPr>
              <w:pStyle w:val="Compact"/>
              <w:jc w:val="left"/>
            </w:pPr>
            <w:r>
              <w:t xml:space="preserve">W&amp;C</w:t>
            </w:r>
          </w:p>
        </w:tc>
        <w:tc>
          <w:tcPr/>
          <w:p>
            <w:pPr>
              <w:pStyle w:val="Compact"/>
              <w:jc w:val="left"/>
            </w:pPr>
            <w:r>
              <w:t xml:space="preserve">Within 7 days</w:t>
            </w:r>
          </w:p>
        </w:tc>
      </w:tr>
      <w:tr>
        <w:tc>
          <w:tcPr/>
          <w:p>
            <w:pPr>
              <w:pStyle w:val="Compact"/>
              <w:jc w:val="left"/>
            </w:pPr>
            <w:r>
              <w:t xml:space="preserve">6</w:t>
            </w:r>
          </w:p>
        </w:tc>
        <w:tc>
          <w:tcPr/>
          <w:p>
            <w:pPr>
              <w:pStyle w:val="Compact"/>
              <w:jc w:val="left"/>
            </w:pPr>
            <w:r>
              <w:t xml:space="preserve">Establish the provenance of the Brennan/Cutler emails; restrict circulation until cleared</w:t>
            </w:r>
          </w:p>
        </w:tc>
        <w:tc>
          <w:tcPr/>
          <w:p>
            <w:pPr>
              <w:pStyle w:val="Compact"/>
              <w:jc w:val="left"/>
            </w:pPr>
            <w:r>
              <w:t xml:space="preserve">SW</w:t>
            </w:r>
          </w:p>
        </w:tc>
        <w:tc>
          <w:tcPr/>
          <w:p>
            <w:pPr>
              <w:pStyle w:val="Compact"/>
              <w:jc w:val="left"/>
            </w:pPr>
            <w:r>
              <w:t xml:space="preserve">Within 7 days</w:t>
            </w:r>
          </w:p>
        </w:tc>
      </w:tr>
      <w:tr>
        <w:tc>
          <w:tcPr/>
          <w:p>
            <w:pPr>
              <w:pStyle w:val="Compact"/>
              <w:jc w:val="left"/>
            </w:pPr>
            <w:r>
              <w:t xml:space="preserve">7</w:t>
            </w:r>
          </w:p>
        </w:tc>
        <w:tc>
          <w:tcPr/>
          <w:p>
            <w:pPr>
              <w:pStyle w:val="Compact"/>
              <w:jc w:val="left"/>
            </w:pPr>
            <w:r>
              <w:t xml:space="preserve">Serve the §14.1 Notice of Dispute and warranty demand on Ironclad’s General Counsel (per §15.7: certified mail/courier), reserving all rights. Propose a tolling agreement and waiver of arbitration</w:t>
            </w:r>
          </w:p>
        </w:tc>
        <w:tc>
          <w:tcPr/>
          <w:p>
            <w:pPr>
              <w:pStyle w:val="Compact"/>
              <w:jc w:val="left"/>
            </w:pPr>
            <w:r>
              <w:t xml:space="preserve">W&amp;C</w:t>
            </w:r>
          </w:p>
        </w:tc>
        <w:tc>
          <w:tcPr/>
          <w:p>
            <w:pPr>
              <w:pStyle w:val="Compact"/>
              <w:jc w:val="left"/>
            </w:pPr>
            <w:r>
              <w:t xml:space="preserve">Within 14 days</w:t>
            </w:r>
          </w:p>
        </w:tc>
      </w:tr>
      <w:tr>
        <w:tc>
          <w:tcPr/>
          <w:p>
            <w:pPr>
              <w:pStyle w:val="Compact"/>
              <w:jc w:val="left"/>
            </w:pPr>
            <w:r>
              <w:t xml:space="preserve">8</w:t>
            </w:r>
          </w:p>
        </w:tc>
        <w:tc>
          <w:tcPr/>
          <w:p>
            <w:pPr>
              <w:pStyle w:val="Compact"/>
              <w:jc w:val="left"/>
            </w:pPr>
            <w:r>
              <w:t xml:space="preserve">Confirm the purchase price payment status; advise against setoff</w:t>
            </w:r>
          </w:p>
        </w:tc>
        <w:tc>
          <w:tcPr/>
          <w:p>
            <w:pPr>
              <w:pStyle w:val="Compact"/>
              <w:jc w:val="left"/>
            </w:pPr>
            <w:r>
              <w:t xml:space="preserve">Dalton / W&amp;C</w:t>
            </w:r>
          </w:p>
        </w:tc>
        <w:tc>
          <w:tcPr/>
          <w:p>
            <w:pPr>
              <w:pStyle w:val="Compact"/>
              <w:jc w:val="left"/>
            </w:pPr>
            <w:r>
              <w:t xml:space="preserve">Within 14 days</w:t>
            </w:r>
          </w:p>
        </w:tc>
      </w:tr>
      <w:tr>
        <w:tc>
          <w:tcPr/>
          <w:p>
            <w:pPr>
              <w:pStyle w:val="Compact"/>
              <w:jc w:val="left"/>
            </w:pPr>
            <w:r>
              <w:t xml:space="preserve">9</w:t>
            </w:r>
          </w:p>
        </w:tc>
        <w:tc>
          <w:tcPr/>
          <w:p>
            <w:pPr>
              <w:pStyle w:val="Compact"/>
              <w:jc w:val="left"/>
            </w:pPr>
            <w:r>
              <w:t xml:space="preserve">Retain a forensic accountant (BI and outsourcing netting), a workplace-safety/OSHA expert, an actuary for WC death benefits, and a life-care planner. Have Dr. Voigt reconcile the Reyes figures</w:t>
            </w:r>
          </w:p>
        </w:tc>
        <w:tc>
          <w:tcPr/>
          <w:p>
            <w:pPr>
              <w:pStyle w:val="Compact"/>
              <w:jc w:val="left"/>
            </w:pPr>
            <w:r>
              <w:t xml:space="preserve">W&amp;C</w:t>
            </w:r>
          </w:p>
        </w:tc>
        <w:tc>
          <w:tcPr/>
          <w:p>
            <w:pPr>
              <w:pStyle w:val="Compact"/>
              <w:jc w:val="left"/>
            </w:pPr>
            <w:r>
              <w:t xml:space="preserve">Within 30 days</w:t>
            </w:r>
          </w:p>
        </w:tc>
      </w:tr>
      <w:tr>
        <w:tc>
          <w:tcPr/>
          <w:p>
            <w:pPr>
              <w:pStyle w:val="Compact"/>
              <w:jc w:val="left"/>
            </w:pPr>
            <w:r>
              <w:t xml:space="preserve">10</w:t>
            </w:r>
          </w:p>
        </w:tc>
        <w:tc>
          <w:tcPr/>
          <w:p>
            <w:pPr>
              <w:pStyle w:val="Compact"/>
              <w:jc w:val="left"/>
            </w:pPr>
            <w:r>
              <w:t xml:space="preserve">Demand HydraCore batch and lot records, and the Ironclad–HydraCore supply agreement and warranty</w:t>
            </w:r>
          </w:p>
        </w:tc>
        <w:tc>
          <w:tcPr/>
          <w:p>
            <w:pPr>
              <w:pStyle w:val="Compact"/>
              <w:jc w:val="left"/>
            </w:pPr>
            <w:r>
              <w:t xml:space="preserve">W&amp;C</w:t>
            </w:r>
          </w:p>
        </w:tc>
        <w:tc>
          <w:tcPr/>
          <w:p>
            <w:pPr>
              <w:pStyle w:val="Compact"/>
              <w:jc w:val="left"/>
            </w:pPr>
            <w:r>
              <w:t xml:space="preserve">Within 30 days</w:t>
            </w:r>
          </w:p>
        </w:tc>
      </w:tr>
      <w:tr>
        <w:tc>
          <w:tcPr/>
          <w:p>
            <w:pPr>
              <w:pStyle w:val="Compact"/>
              <w:jc w:val="left"/>
            </w:pPr>
            <w:r>
              <w:t xml:space="preserve">11</w:t>
            </w:r>
          </w:p>
        </w:tc>
        <w:tc>
          <w:tcPr/>
          <w:p>
            <w:pPr>
              <w:pStyle w:val="Compact"/>
              <w:jc w:val="left"/>
            </w:pPr>
            <w:r>
              <w:t xml:space="preserve">Research memos: Michigan indemnity and exculpatory law (§§11.1(d), 12); enforceability of the arbitration clause as to subrogation claims; OPLA economic-loss limits; R.C. 2307.23 non-party allocation</w:t>
            </w:r>
          </w:p>
        </w:tc>
        <w:tc>
          <w:tcPr/>
          <w:p>
            <w:pPr>
              <w:pStyle w:val="Compact"/>
              <w:jc w:val="left"/>
            </w:pPr>
            <w:r>
              <w:t xml:space="preserve">Associates</w:t>
            </w:r>
          </w:p>
        </w:tc>
        <w:tc>
          <w:tcPr/>
          <w:p>
            <w:pPr>
              <w:pStyle w:val="Compact"/>
              <w:jc w:val="left"/>
            </w:pPr>
            <w:r>
              <w:t xml:space="preserve">Within 30 days</w:t>
            </w:r>
          </w:p>
        </w:tc>
      </w:tr>
      <w:tr>
        <w:tc>
          <w:tcPr/>
          <w:p>
            <w:pPr>
              <w:pStyle w:val="Compact"/>
              <w:jc w:val="left"/>
            </w:pPr>
            <w:r>
              <w:t xml:space="preserve">12</w:t>
            </w:r>
          </w:p>
        </w:tc>
        <w:tc>
          <w:tcPr/>
          <w:p>
            <w:pPr>
              <w:pStyle w:val="Compact"/>
              <w:jc w:val="left"/>
            </w:pPr>
            <w:r>
              <w:t xml:space="preserve">Tender or notice the anticipated §11.1(d) and intentional-tort exposure to Pinnacle and Great Plains; obtain full policy forms</w:t>
            </w:r>
          </w:p>
        </w:tc>
        <w:tc>
          <w:tcPr/>
          <w:p>
            <w:pPr>
              <w:pStyle w:val="Compact"/>
              <w:jc w:val="left"/>
            </w:pPr>
            <w:r>
              <w:t xml:space="preserve">W&amp;C</w:t>
            </w:r>
          </w:p>
        </w:tc>
        <w:tc>
          <w:tcPr/>
          <w:p>
            <w:pPr>
              <w:pStyle w:val="Compact"/>
              <w:jc w:val="left"/>
            </w:pPr>
            <w:r>
              <w:t xml:space="preserve">Within 30 days</w:t>
            </w:r>
          </w:p>
        </w:tc>
      </w:tr>
      <w:tr>
        <w:tc>
          <w:tcPr/>
          <w:p>
            <w:pPr>
              <w:pStyle w:val="Compact"/>
              <w:jc w:val="left"/>
            </w:pPr>
            <w:r>
              <w:t xml:space="preserve">13</w:t>
            </w:r>
          </w:p>
        </w:tc>
        <w:tc>
          <w:tcPr/>
          <w:p>
            <w:pPr>
              <w:pStyle w:val="Compact"/>
              <w:jc w:val="left"/>
            </w:pPr>
            <w:r>
              <w:t xml:space="preserve">Review the aerospace customer contracts for delay/force majeure terms; manage customer notices</w:t>
            </w:r>
          </w:p>
        </w:tc>
        <w:tc>
          <w:tcPr/>
          <w:p>
            <w:pPr>
              <w:pStyle w:val="Compact"/>
              <w:jc w:val="left"/>
            </w:pPr>
            <w:r>
              <w:t xml:space="preserve">W&amp;C / Kemp</w:t>
            </w:r>
          </w:p>
        </w:tc>
        <w:tc>
          <w:tcPr/>
          <w:p>
            <w:pPr>
              <w:pStyle w:val="Compact"/>
              <w:jc w:val="left"/>
            </w:pPr>
            <w:r>
              <w:t xml:space="preserve">Within 30 days</w:t>
            </w:r>
          </w:p>
        </w:tc>
      </w:tr>
      <w:tr>
        <w:tc>
          <w:tcPr/>
          <w:p>
            <w:pPr>
              <w:pStyle w:val="Compact"/>
              <w:jc w:val="left"/>
            </w:pPr>
            <w:r>
              <w:t xml:space="preserve">14</w:t>
            </w:r>
          </w:p>
        </w:tc>
        <w:tc>
          <w:tcPr/>
          <w:p>
            <w:pPr>
              <w:pStyle w:val="Compact"/>
              <w:jc w:val="left"/>
            </w:pPr>
            <w:r>
              <w:t xml:space="preserve">Prepare and file Dalton v. HydraCore in Montgomery County C.P.</w:t>
            </w:r>
          </w:p>
        </w:tc>
        <w:tc>
          <w:tcPr/>
          <w:p>
            <w:pPr>
              <w:pStyle w:val="Compact"/>
              <w:jc w:val="left"/>
            </w:pPr>
            <w:r>
              <w:t xml:space="preserve">W&amp;C</w:t>
            </w:r>
          </w:p>
        </w:tc>
        <w:tc>
          <w:tcPr/>
          <w:p>
            <w:pPr>
              <w:pStyle w:val="Compact"/>
              <w:jc w:val="left"/>
            </w:pPr>
            <w:r>
              <w:t xml:space="preserve">Target Q3 2025</w:t>
            </w:r>
          </w:p>
        </w:tc>
      </w:tr>
      <w:tr>
        <w:tc>
          <w:tcPr/>
          <w:p>
            <w:pPr>
              <w:pStyle w:val="Compact"/>
              <w:jc w:val="left"/>
            </w:pPr>
            <w:r>
              <w:t xml:space="preserve">15</w:t>
            </w:r>
          </w:p>
        </w:tc>
        <w:tc>
          <w:tcPr/>
          <w:p>
            <w:pPr>
              <w:pStyle w:val="Compact"/>
              <w:jc w:val="left"/>
            </w:pPr>
            <w:r>
              <w:t xml:space="preserve">File the AAA demand against Ironclad unless tolled or resolved</w:t>
            </w:r>
          </w:p>
        </w:tc>
        <w:tc>
          <w:tcPr/>
          <w:p>
            <w:pPr>
              <w:pStyle w:val="Compact"/>
              <w:jc w:val="left"/>
            </w:pPr>
            <w:r>
              <w:t xml:space="preserve">W&amp;C</w:t>
            </w:r>
          </w:p>
        </w:tc>
        <w:tc>
          <w:tcPr/>
          <w:p>
            <w:pPr>
              <w:pStyle w:val="Compact"/>
              <w:jc w:val="left"/>
            </w:pPr>
            <w:r>
              <w:rPr>
                <w:b/>
                <w:bCs/>
              </w:rPr>
              <w:t xml:space="preserve">No later than Feb. 2026 (hard bar Mar. 14, 2026)</w:t>
            </w:r>
          </w:p>
        </w:tc>
      </w:tr>
      <w:tr>
        <w:tc>
          <w:tcPr/>
          <w:p>
            <w:pPr>
              <w:pStyle w:val="Compact"/>
              <w:jc w:val="left"/>
            </w:pPr>
            <w:r>
              <w:t xml:space="preserve">16</w:t>
            </w:r>
          </w:p>
        </w:tc>
        <w:tc>
          <w:tcPr/>
          <w:p>
            <w:pPr>
              <w:pStyle w:val="Compact"/>
              <w:jc w:val="left"/>
            </w:pPr>
            <w:r>
              <w:t xml:space="preserve">Explore global mediation with all claimants and both manufacturers once the employee suits are filed</w:t>
            </w:r>
          </w:p>
        </w:tc>
        <w:tc>
          <w:tcPr/>
          <w:p>
            <w:pPr>
              <w:pStyle w:val="Compact"/>
              <w:jc w:val="left"/>
            </w:pPr>
            <w:r>
              <w:t xml:space="preserve">SW</w:t>
            </w:r>
          </w:p>
        </w:tc>
        <w:tc>
          <w:tcPr/>
          <w:p>
            <w:pPr>
              <w:pStyle w:val="Compact"/>
              <w:jc w:val="left"/>
            </w:pPr>
            <w:r>
              <w:t xml:space="preserve">After pleadings</w:t>
            </w:r>
          </w:p>
        </w:tc>
      </w:tr>
      <w:tr>
        <w:tc>
          <w:tcPr/>
          <w:p>
            <w:pPr>
              <w:pStyle w:val="Compact"/>
              <w:jc w:val="left"/>
            </w:pPr>
            <w:r>
              <w:t xml:space="preserve">17</w:t>
            </w:r>
          </w:p>
        </w:tc>
        <w:tc>
          <w:tcPr/>
          <w:p>
            <w:pPr>
              <w:pStyle w:val="Compact"/>
              <w:jc w:val="left"/>
            </w:pPr>
            <w:r>
              <w:t xml:space="preserve">Do not buy a replacement HX-9000 or accept a warranty refund or replacement without counsel negotiating the terms (cap, indemnity, arbitration)</w:t>
            </w:r>
          </w:p>
        </w:tc>
        <w:tc>
          <w:tcPr/>
          <w:p>
            <w:pPr>
              <w:pStyle w:val="Compact"/>
              <w:jc w:val="left"/>
            </w:pPr>
            <w:r>
              <w:t xml:space="preserve">Dalton / Kemp</w:t>
            </w:r>
          </w:p>
        </w:tc>
        <w:tc>
          <w:tcPr/>
          <w:p>
            <w:pPr>
              <w:pStyle w:val="Compact"/>
              <w:jc w:val="left"/>
            </w:pPr>
            <w:r>
              <w:t xml:space="preserve">Ongoing</w:t>
            </w:r>
          </w:p>
        </w:tc>
      </w:tr>
    </w:tbl>
    <w:bookmarkEnd w:id="41"/>
    <w:bookmarkStart w:id="42" w:name="overall-assessment"/>
    <w:p>
      <w:pPr>
        <w:pStyle w:val="Heading1"/>
      </w:pPr>
      <w:r>
        <w:t xml:space="preserve">12. Overall Assessment</w:t>
      </w:r>
    </w:p>
    <w:p>
      <w:pPr>
        <w:pStyle w:val="Compact"/>
        <w:numPr>
          <w:ilvl w:val="0"/>
          <w:numId w:val="1021"/>
        </w:numPr>
      </w:pPr>
      <w:r>
        <w:rPr>
          <w:b/>
          <w:bCs/>
        </w:rPr>
        <w:t xml:space="preserve">Liability merits:</w:t>
      </w:r>
      <w:r>
        <w:t xml:space="preserve"> </w:t>
      </w:r>
      <w:r>
        <w:t xml:space="preserve">strong against both manufacturers. The Cutler email is exceptional evidence of conscious disregard.</w:t>
      </w:r>
    </w:p>
    <w:p>
      <w:pPr>
        <w:pStyle w:val="Compact"/>
        <w:numPr>
          <w:ilvl w:val="0"/>
          <w:numId w:val="1021"/>
        </w:numPr>
      </w:pPr>
      <w:r>
        <w:rPr>
          <w:b/>
          <w:bCs/>
        </w:rPr>
        <w:t xml:space="preserve">Dalton’s net recovery:</w:t>
      </w:r>
      <w:r>
        <w:t xml:space="preserve"> </w:t>
      </w:r>
      <w:r>
        <w:t xml:space="preserve">constrained by Ironclad’s terms. Realistic sources are:</w:t>
      </w:r>
    </w:p>
    <w:p>
      <w:pPr>
        <w:pStyle w:val="Compact"/>
        <w:numPr>
          <w:ilvl w:val="1"/>
          <w:numId w:val="1022"/>
        </w:numPr>
      </w:pPr>
      <w:r>
        <w:t xml:space="preserve">uncapped other-property and subrogation recovery from HydraCore (and from Ironclad through the employee suits);</w:t>
      </w:r>
    </w:p>
    <w:p>
      <w:pPr>
        <w:pStyle w:val="Compact"/>
        <w:numPr>
          <w:ilvl w:val="1"/>
          <w:numId w:val="1022"/>
        </w:numPr>
      </w:pPr>
      <w:r>
        <w:t xml:space="preserve">capped contract recovery from Ironclad (≤ $1.29M) unless the cap is broken by gross negligence or willful misconduct; and</w:t>
      </w:r>
    </w:p>
    <w:p>
      <w:pPr>
        <w:pStyle w:val="Compact"/>
        <w:numPr>
          <w:ilvl w:val="1"/>
          <w:numId w:val="1022"/>
        </w:numPr>
      </w:pPr>
      <w:r>
        <w:t xml:space="preserve">any first-party insurance still to be found.</w:t>
      </w:r>
    </w:p>
    <w:p>
      <w:pPr>
        <w:pStyle w:val="Compact"/>
        <w:numPr>
          <w:ilvl w:val="0"/>
          <w:numId w:val="1021"/>
        </w:numPr>
      </w:pPr>
      <w:r>
        <w:rPr>
          <w:b/>
          <w:bCs/>
        </w:rPr>
        <w:t xml:space="preserve">Principal downside risks:</w:t>
      </w:r>
    </w:p>
    <w:p>
      <w:pPr>
        <w:pStyle w:val="Compact"/>
        <w:numPr>
          <w:ilvl w:val="1"/>
          <w:numId w:val="1023"/>
        </w:numPr>
      </w:pPr>
      <w:r>
        <w:t xml:space="preserve">the §11.1(d) indemnity demand, which is likely uninsured;</w:t>
      </w:r>
    </w:p>
    <w:p>
      <w:pPr>
        <w:pStyle w:val="Compact"/>
        <w:numPr>
          <w:ilvl w:val="1"/>
          <w:numId w:val="1023"/>
        </w:numPr>
      </w:pPr>
      <w:r>
        <w:t xml:space="preserve">OSHA findings used as evidence of comparative fault; and</w:t>
      </w:r>
    </w:p>
    <w:p>
      <w:pPr>
        <w:pStyle w:val="Compact"/>
        <w:numPr>
          <w:ilvl w:val="1"/>
          <w:numId w:val="1023"/>
        </w:numPr>
      </w:pPr>
      <w:r>
        <w:t xml:space="preserve">the missed deadlines described above.</w:t>
      </w:r>
    </w:p>
    <w:p>
      <w:pPr>
        <w:pStyle w:val="FirstParagraph"/>
      </w:pPr>
      <w:r>
        <w:t xml:space="preserve">The best leverage is Ironclad’s punitive-damages exposure in the employee cases. Use it to negotiate a global resolution that includes a release of the §11.1(d) indemnity.</w:t>
      </w:r>
    </w:p>
    <w:p>
      <w:pPr>
        <w:pStyle w:val="BodyText"/>
      </w:pPr>
      <w:r>
        <w:rPr>
          <w:i/>
          <w:iCs/>
        </w:rPr>
        <w:t xml:space="preserve">Preliminary assessment based on the file as of May 5, 2025. Subject to revision as discovery, the final Meridian report and legal research are completed.</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ASSESSMENT MEMORANDUM</dc:title>
  <dc:creator/>
  <cp:keywords/>
  <dcterms:created xsi:type="dcterms:W3CDTF">2026-09-27T00:44:05Z</dcterms:created>
  <dcterms:modified xsi:type="dcterms:W3CDTF">2026-09-27T00:44:05Z</dcterms:modified>
</cp:coreProperties>
</file>

<file path=docProps/custom.xml><?xml version="1.0" encoding="utf-8"?>
<Properties xmlns="http://schemas.openxmlformats.org/officeDocument/2006/custom-properties" xmlns:vt="http://schemas.openxmlformats.org/officeDocument/2006/docPropsVTypes"/>
</file>