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20"/>
        </w:rPr>
        <w:t>UNITED STATES DISTRICT COURT</w:t>
        <w:br/>
        <w:t>DISTRICT OF ARIZONA</w:t>
      </w:r>
    </w:p>
    <w:p>
      <w:pPr>
        <w:spacing w:before="100" w:after="40"/>
        <w:jc w:val="center"/>
      </w:pPr>
      <w:r>
        <w:rPr>
          <w:b/>
          <w:color w:val="202A35"/>
          <w:sz w:val="22"/>
        </w:rPr>
        <w:t>MARIANA DELGADO-REYES v. RIDGELINE NATIONAL BANK, N.A.</w:t>
      </w:r>
    </w:p>
    <w:p>
      <w:pPr>
        <w:spacing w:after="160"/>
        <w:jc w:val="center"/>
      </w:pPr>
      <w:r>
        <w:rPr>
          <w:color w:val="5B6573"/>
          <w:sz w:val="18"/>
        </w:rPr>
        <w:t>Case No. 2:24-cv-03841-DLR</w:t>
      </w:r>
    </w:p>
    <w:p>
      <w:pPr>
        <w:pStyle w:val="Title"/>
        <w:spacing w:after="60"/>
        <w:jc w:val="center"/>
      </w:pPr>
      <w:r>
        <w:t>DEPOSITION OUTLINE</w:t>
      </w:r>
    </w:p>
    <w:p>
      <w:pPr>
        <w:spacing w:after="200"/>
        <w:jc w:val="center"/>
      </w:pPr>
      <w:r>
        <w:rPr>
          <w:b/>
          <w:color w:val="1F4E79"/>
          <w:sz w:val="22"/>
        </w:rPr>
        <w:t>THOMAS J. WHITFORD  |  PLAINTIFF’S FORMER SUPERVISOR</w:t>
      </w:r>
    </w:p>
    <w:tbl>
      <w:tblPr>
        <w:tblW w:type="auto" w:w="0"/>
        <w:jc w:val="center"/>
        <w:tblLayout w:type="fixed"/>
        <w:tblLook w:firstColumn="1" w:firstRow="1" w:lastColumn="0" w:lastRow="0" w:noHBand="0" w:noVBand="1" w:val="04A0"/>
      </w:tblPr>
      <w:tblGrid>
        <w:gridCol w:w="4752"/>
        <w:gridCol w:w="4752"/>
      </w:tblGrid>
      <w:tr>
        <w:trPr>
          <w:cantSplit/>
        </w:trPr>
        <w:tc>
          <w:tcPr>
            <w:tcW w:type="dxa" w:w="2088"/>
            <w:vAlign w:val="top"/>
            <w:shd w:fill="EAF0F6"/>
          </w:tcPr>
          <w:p>
            <w:pPr>
              <w:pStyle w:val="Compact"/>
            </w:pPr>
            <w:r/>
            <w:r>
              <w:rPr>
                <w:rFonts w:ascii="Aptos" w:hAnsi="Aptos"/>
                <w:b/>
                <w:color w:val="1F4E79"/>
                <w:sz w:val="16"/>
              </w:rPr>
              <w:t>WITNESS</w:t>
            </w:r>
          </w:p>
        </w:tc>
        <w:tc>
          <w:tcPr>
            <w:tcW w:type="dxa" w:w="7416"/>
            <w:vAlign w:val="top"/>
            <w:shd w:fill="F4F7FA"/>
          </w:tcPr>
          <w:p>
            <w:pPr>
              <w:pStyle w:val="Compact"/>
            </w:pPr>
            <w:r/>
            <w:r>
              <w:rPr>
                <w:rFonts w:ascii="Aptos" w:hAnsi="Aptos"/>
                <w:b w:val="0"/>
                <w:color w:val="202A35"/>
                <w:sz w:val="17"/>
              </w:rPr>
              <w:t>Thomas J. Whitford, Regional President, Southwest Division</w:t>
            </w:r>
          </w:p>
        </w:tc>
      </w:tr>
      <w:tr>
        <w:trPr>
          <w:cantSplit/>
        </w:trPr>
        <w:tc>
          <w:tcPr>
            <w:tcW w:type="dxa" w:w="2088"/>
            <w:vAlign w:val="top"/>
            <w:shd w:fill="EAF0F6"/>
          </w:tcPr>
          <w:p>
            <w:pPr>
              <w:pStyle w:val="Compact"/>
            </w:pPr>
            <w:r/>
            <w:r>
              <w:rPr>
                <w:rFonts w:ascii="Aptos" w:hAnsi="Aptos"/>
                <w:b/>
                <w:color w:val="1F4E79"/>
                <w:sz w:val="16"/>
              </w:rPr>
              <w:t>EXAMINATION PURPOSE</w:t>
            </w:r>
          </w:p>
        </w:tc>
        <w:tc>
          <w:tcPr>
            <w:tcW w:type="dxa" w:w="7416"/>
            <w:vAlign w:val="top"/>
            <w:shd w:fill="F4F7FA"/>
          </w:tcPr>
          <w:p>
            <w:pPr>
              <w:pStyle w:val="Compact"/>
            </w:pPr>
            <w:r/>
            <w:r>
              <w:rPr>
                <w:rFonts w:ascii="Aptos" w:hAnsi="Aptos"/>
                <w:b w:val="0"/>
                <w:color w:val="202A35"/>
                <w:sz w:val="17"/>
              </w:rPr>
              <w:t>Discrimination, retaliation, pretext, policy compliance, and decision-making</w:t>
            </w:r>
          </w:p>
        </w:tc>
      </w:tr>
    </w:tbl>
    <w:p>
      <w:pPr>
        <w:spacing w:before="160" w:after="100"/>
      </w:pPr>
      <w:r>
        <w:rPr>
          <w:b/>
          <w:color w:val="17365D"/>
        </w:rPr>
        <w:t xml:space="preserve">Working outline. </w:t>
      </w:r>
      <w:r>
        <w:t>Prepared from the case file and listed documents. Exhibit numbers below are proposed for deposition convenience, not represented as filed exhibit numbers. Adapt to the court’s orders, discovery rulings, privilege determinations, and the witness’s testimony. Ask the witness to distinguish personal knowledge from information learned from others; do not assume a disputed allegation is established.</w:t>
      </w:r>
    </w:p>
    <w:p>
      <w:pPr>
        <w:pStyle w:val="Heading1"/>
      </w:pPr>
      <w:r>
        <w:t>I. Examination objectives and central timeline</w:t>
      </w:r>
    </w:p>
    <w:p>
      <w:pPr>
        <w:ind w:left="317" w:hanging="230"/>
      </w:pPr>
      <w:r>
        <w:rPr>
          <w:b/>
          <w:color w:val="0F6B78"/>
        </w:rPr>
        <w:t xml:space="preserve">• </w:t>
      </w:r>
      <w:r>
        <w:t>Establish Whitford’s authority over Delgado-Reyes, his role in evaluating and recommending discipline, and his personal responsibility for the challenged decisions.</w:t>
      </w:r>
    </w:p>
    <w:p>
      <w:pPr>
        <w:ind w:left="317" w:hanging="230"/>
      </w:pPr>
      <w:r>
        <w:rPr>
          <w:b/>
          <w:color w:val="0F6B78"/>
        </w:rPr>
        <w:t xml:space="preserve">• </w:t>
      </w:r>
      <w:r>
        <w:t>Fix the sequence: three alleged ethnicity-linked comments (Nov. 15, Dec. 7, Dec. 20, 2023); written complaint (Jan. 8, 2024); review finalized (Feb. 5); HR report dated (Feb. 12); Whitford’s email (Feb. 18); PIP issued (Feb. 20); termination (Mar. 14), seven days before the stated PIP end date (Mar. 21).</w:t>
      </w:r>
    </w:p>
    <w:p>
      <w:pPr>
        <w:ind w:left="317" w:hanging="230"/>
      </w:pPr>
      <w:r>
        <w:rPr>
          <w:b/>
          <w:color w:val="0F6B78"/>
        </w:rPr>
        <w:t xml:space="preserve">• </w:t>
      </w:r>
      <w:r>
        <w:t>Test the stated performance reasons against the source records, peer data, approved outage extension, submission timestamps, his prior knowledge, and the written review/PIP/termination documents.</w:t>
      </w:r>
    </w:p>
    <w:p>
      <w:pPr>
        <w:ind w:left="317" w:hanging="230"/>
      </w:pPr>
      <w:r>
        <w:rPr>
          <w:b/>
          <w:color w:val="0F6B78"/>
        </w:rPr>
        <w:t xml:space="preserve">• </w:t>
      </w:r>
      <w:r>
        <w:t>Determine whether the bank’s mandatory safeguards for complainants were followed: written approvals, independent HR review, specific manager certification, comparator review, and completion of the full PIP period.</w:t>
      </w:r>
    </w:p>
    <w:p>
      <w:pPr>
        <w:ind w:left="317" w:hanging="230"/>
      </w:pPr>
      <w:r>
        <w:rPr>
          <w:b/>
          <w:color w:val="0F6B78"/>
        </w:rPr>
        <w:t xml:space="preserve">• </w:t>
      </w:r>
      <w:r>
        <w:t>Identify all drafts, communications, data sources, decision participants, witnesses, and records necessary to test his explanations and the asserted business rationale.</w:t>
      </w:r>
    </w:p>
    <w:p>
      <w:pPr>
        <w:pStyle w:val="CounselNote"/>
      </w:pPr>
      <w:r>
        <w:rPr>
          <w:b/>
        </w:rPr>
        <w:t xml:space="preserve">Counsel note: </w:t>
      </w:r>
      <w:r>
        <w:t>Keep the key distinction clear: the 2023 review/PIP refer to historical metrics; the March 14 termination letter says performance was reviewed “during the PIP period,” but chiefly recites 2023 metrics and supplies no particular new incident. Obtain the witness’s exact, contemporaneous basis for each decision.</w:t>
      </w:r>
    </w:p>
    <w:p>
      <w:pPr>
        <w:pStyle w:val="Heading1"/>
      </w:pPr>
      <w:r>
        <w:t>II. Proposed deposition exhibit plan</w:t>
      </w:r>
    </w:p>
    <w:p>
      <w:pPr>
        <w:pStyle w:val="Compact"/>
      </w:pPr>
      <w:r>
        <w:rPr>
          <w:b/>
        </w:rPr>
        <w:t xml:space="preserve">Confirm exhibit numbering against the production set and mark only the version produced/authorized. </w:t>
      </w:r>
    </w:p>
    <w:tbl>
      <w:tblPr>
        <w:tblW w:type="auto" w:w="0"/>
        <w:jc w:val="center"/>
        <w:tblLayout w:type="fixed"/>
        <w:tblLook w:firstColumn="1" w:firstRow="1" w:lastColumn="0" w:lastRow="0" w:noHBand="0" w:noVBand="1" w:val="04A0"/>
      </w:tblPr>
      <w:tblGrid>
        <w:gridCol w:w="605"/>
        <w:gridCol w:w="3773"/>
        <w:gridCol w:w="5256"/>
      </w:tblGrid>
      <w:tr>
        <w:trPr>
          <w:cantSplit/>
        </w:trPr>
        <w:tc>
          <w:tcPr>
            <w:tcW w:type="dxa" w:w="3293"/>
            <w:vAlign w:val="top"/>
            <w:shd w:fill="17365D"/>
          </w:tcPr>
          <w:p>
            <w:pPr>
              <w:pStyle w:val="Compact"/>
            </w:pPr>
            <w:r/>
            <w:r>
              <w:rPr>
                <w:rFonts w:ascii="Aptos" w:hAnsi="Aptos"/>
                <w:b/>
                <w:color w:val="FFFFFF"/>
                <w:sz w:val="16"/>
              </w:rPr>
              <w:t>No.</w:t>
            </w:r>
          </w:p>
        </w:tc>
        <w:tc>
          <w:tcPr>
            <w:tcW w:type="dxa" w:w="3293"/>
            <w:vAlign w:val="top"/>
            <w:shd w:fill="17365D"/>
          </w:tcPr>
          <w:p>
            <w:pPr>
              <w:pStyle w:val="Compact"/>
            </w:pPr>
            <w:r/>
            <w:r>
              <w:rPr>
                <w:rFonts w:ascii="Aptos" w:hAnsi="Aptos"/>
                <w:b/>
                <w:color w:val="FFFFFF"/>
                <w:sz w:val="16"/>
              </w:rPr>
              <w:t>Document</w:t>
            </w:r>
          </w:p>
        </w:tc>
        <w:tc>
          <w:tcPr>
            <w:tcW w:type="dxa" w:w="3293"/>
            <w:vAlign w:val="top"/>
            <w:shd w:fill="17365D"/>
          </w:tcPr>
          <w:p>
            <w:pPr>
              <w:pStyle w:val="Compact"/>
            </w:pPr>
            <w:r/>
            <w:r>
              <w:rPr>
                <w:rFonts w:ascii="Aptos" w:hAnsi="Aptos"/>
                <w:b/>
                <w:color w:val="FFFFFF"/>
                <w:sz w:val="16"/>
              </w:rPr>
              <w:t>Use / focus</w:t>
            </w:r>
          </w:p>
        </w:tc>
      </w:tr>
      <w:tr>
        <w:trPr>
          <w:cantSplit/>
        </w:trPr>
        <w:tc>
          <w:tcPr>
            <w:tcW w:type="dxa" w:w="605"/>
            <w:vAlign w:val="top"/>
            <w:shd w:fill="F4F7FA"/>
          </w:tcPr>
          <w:p>
            <w:pPr>
              <w:pStyle w:val="Compact"/>
            </w:pPr>
            <w:r/>
            <w:r>
              <w:rPr>
                <w:rFonts w:ascii="Aptos" w:hAnsi="Aptos"/>
                <w:b/>
                <w:color w:val="0F6B78"/>
                <w:sz w:val="16"/>
              </w:rPr>
              <w:t>1</w:t>
            </w:r>
          </w:p>
        </w:tc>
        <w:tc>
          <w:tcPr>
            <w:tcW w:type="dxa" w:w="3773"/>
            <w:vAlign w:val="top"/>
            <w:shd w:fill="F4F7FA"/>
          </w:tcPr>
          <w:p>
            <w:pPr>
              <w:pStyle w:val="Compact"/>
            </w:pPr>
            <w:r/>
            <w:r>
              <w:rPr>
                <w:rFonts w:ascii="Aptos" w:hAnsi="Aptos"/>
                <w:b/>
                <w:color w:val="202A35"/>
                <w:sz w:val="16"/>
              </w:rPr>
              <w:t>Jan. 8, 2024 email: Formal Complaint of Discrimination—National Origin</w:t>
            </w:r>
          </w:p>
        </w:tc>
        <w:tc>
          <w:tcPr>
            <w:tcW w:type="dxa" w:w="5256"/>
            <w:vAlign w:val="top"/>
            <w:shd w:fill="F4F7FA"/>
          </w:tcPr>
          <w:p>
            <w:pPr>
              <w:pStyle w:val="Compact"/>
            </w:pPr>
            <w:r/>
            <w:r>
              <w:rPr>
                <w:rFonts w:ascii="Aptos" w:hAnsi="Aptos"/>
                <w:b w:val="0"/>
                <w:color w:val="202A35"/>
                <w:sz w:val="15"/>
              </w:rPr>
              <w:t>Notice, protected activity, details, dates, witnesses, request for anti-retaliation protection.</w:t>
            </w:r>
          </w:p>
        </w:tc>
      </w:tr>
      <w:tr>
        <w:trPr>
          <w:cantSplit/>
        </w:trPr>
        <w:tc>
          <w:tcPr>
            <w:tcW w:type="dxa" w:w="605"/>
            <w:vAlign w:val="top"/>
          </w:tcPr>
          <w:p>
            <w:pPr>
              <w:pStyle w:val="Compact"/>
            </w:pPr>
            <w:r/>
            <w:r>
              <w:rPr>
                <w:rFonts w:ascii="Aptos" w:hAnsi="Aptos"/>
                <w:b/>
                <w:color w:val="0F6B78"/>
                <w:sz w:val="16"/>
              </w:rPr>
              <w:t>2</w:t>
            </w:r>
          </w:p>
        </w:tc>
        <w:tc>
          <w:tcPr>
            <w:tcW w:type="dxa" w:w="3773"/>
            <w:vAlign w:val="top"/>
          </w:tcPr>
          <w:p>
            <w:pPr>
              <w:pStyle w:val="Compact"/>
            </w:pPr>
            <w:r/>
            <w:r>
              <w:rPr>
                <w:rFonts w:ascii="Aptos" w:hAnsi="Aptos"/>
                <w:b/>
                <w:color w:val="202A35"/>
                <w:sz w:val="16"/>
              </w:rPr>
              <w:t>2023 Annual Employee Performance Review, finalized Feb. 5, 2024</w:t>
            </w:r>
          </w:p>
        </w:tc>
        <w:tc>
          <w:tcPr>
            <w:tcW w:type="dxa" w:w="5256"/>
            <w:vAlign w:val="top"/>
          </w:tcPr>
          <w:p>
            <w:pPr>
              <w:pStyle w:val="Compact"/>
            </w:pPr>
            <w:r/>
            <w:r>
              <w:rPr>
                <w:rFonts w:ascii="Aptos" w:hAnsi="Aptos"/>
                <w:b w:val="0"/>
                <w:color w:val="202A35"/>
                <w:sz w:val="15"/>
              </w:rPr>
              <w:t>Ratings, category narratives, claimed prior coaching, data, reviewer/reviewer approval, disputed handwritten response.</w:t>
            </w:r>
          </w:p>
        </w:tc>
      </w:tr>
      <w:tr>
        <w:trPr>
          <w:cantSplit/>
        </w:trPr>
        <w:tc>
          <w:tcPr>
            <w:tcW w:type="dxa" w:w="605"/>
            <w:vAlign w:val="top"/>
            <w:shd w:fill="F4F7FA"/>
          </w:tcPr>
          <w:p>
            <w:pPr>
              <w:pStyle w:val="Compact"/>
            </w:pPr>
            <w:r/>
            <w:r>
              <w:rPr>
                <w:rFonts w:ascii="Aptos" w:hAnsi="Aptos"/>
                <w:b/>
                <w:color w:val="0F6B78"/>
                <w:sz w:val="16"/>
              </w:rPr>
              <w:t>3</w:t>
            </w:r>
          </w:p>
        </w:tc>
        <w:tc>
          <w:tcPr>
            <w:tcW w:type="dxa" w:w="3773"/>
            <w:vAlign w:val="top"/>
            <w:shd w:fill="F4F7FA"/>
          </w:tcPr>
          <w:p>
            <w:pPr>
              <w:pStyle w:val="Compact"/>
            </w:pPr>
            <w:r/>
            <w:r>
              <w:rPr>
                <w:rFonts w:ascii="Aptos" w:hAnsi="Aptos"/>
                <w:b/>
                <w:color w:val="202A35"/>
                <w:sz w:val="16"/>
              </w:rPr>
              <w:t>Whitford–Cho email chain, Feb. 18, 2024</w:t>
            </w:r>
          </w:p>
        </w:tc>
        <w:tc>
          <w:tcPr>
            <w:tcW w:type="dxa" w:w="5256"/>
            <w:vAlign w:val="top"/>
            <w:shd w:fill="F4F7FA"/>
          </w:tcPr>
          <w:p>
            <w:pPr>
              <w:pStyle w:val="Compact"/>
            </w:pPr>
            <w:r/>
            <w:r>
              <w:rPr>
                <w:rFonts w:ascii="Aptos" w:hAnsi="Aptos"/>
                <w:b w:val="0"/>
                <w:color w:val="202A35"/>
                <w:sz w:val="15"/>
              </w:rPr>
              <w:t>“Between the complaint and her numbers”; “move quickly”; PIP plan; Cho’s caution; exact sequence and metadata.</w:t>
            </w:r>
          </w:p>
        </w:tc>
      </w:tr>
      <w:tr>
        <w:trPr>
          <w:cantSplit/>
        </w:trPr>
        <w:tc>
          <w:tcPr>
            <w:tcW w:type="dxa" w:w="605"/>
            <w:vAlign w:val="top"/>
          </w:tcPr>
          <w:p>
            <w:pPr>
              <w:pStyle w:val="Compact"/>
            </w:pPr>
            <w:r/>
            <w:r>
              <w:rPr>
                <w:rFonts w:ascii="Aptos" w:hAnsi="Aptos"/>
                <w:b/>
                <w:color w:val="0F6B78"/>
                <w:sz w:val="16"/>
              </w:rPr>
              <w:t>4</w:t>
            </w:r>
          </w:p>
        </w:tc>
        <w:tc>
          <w:tcPr>
            <w:tcW w:type="dxa" w:w="3773"/>
            <w:vAlign w:val="top"/>
          </w:tcPr>
          <w:p>
            <w:pPr>
              <w:pStyle w:val="Compact"/>
            </w:pPr>
            <w:r/>
            <w:r>
              <w:rPr>
                <w:rFonts w:ascii="Aptos" w:hAnsi="Aptos"/>
                <w:b/>
                <w:color w:val="202A35"/>
                <w:sz w:val="16"/>
              </w:rPr>
              <w:t>Performance Improvement Plan HR-PIP-2024-SW-0387, Feb. 20, 2024</w:t>
            </w:r>
          </w:p>
        </w:tc>
        <w:tc>
          <w:tcPr>
            <w:tcW w:type="dxa" w:w="5256"/>
            <w:vAlign w:val="top"/>
          </w:tcPr>
          <w:p>
            <w:pPr>
              <w:pStyle w:val="Compact"/>
            </w:pPr>
            <w:r/>
            <w:r>
              <w:rPr>
                <w:rFonts w:ascii="Aptos" w:hAnsi="Aptos"/>
                <w:b w:val="0"/>
                <w:color w:val="202A35"/>
                <w:sz w:val="15"/>
              </w:rPr>
              <w:t>Three asserted deficiencies, measurable objectives, resources, duration/end date, signatures and approvals.</w:t>
            </w:r>
          </w:p>
        </w:tc>
      </w:tr>
      <w:tr>
        <w:trPr>
          <w:cantSplit/>
        </w:trPr>
        <w:tc>
          <w:tcPr>
            <w:tcW w:type="dxa" w:w="605"/>
            <w:vAlign w:val="top"/>
            <w:shd w:fill="F4F7FA"/>
          </w:tcPr>
          <w:p>
            <w:pPr>
              <w:pStyle w:val="Compact"/>
            </w:pPr>
            <w:r/>
            <w:r>
              <w:rPr>
                <w:rFonts w:ascii="Aptos" w:hAnsi="Aptos"/>
                <w:b/>
                <w:color w:val="0F6B78"/>
                <w:sz w:val="16"/>
              </w:rPr>
              <w:t>5</w:t>
            </w:r>
          </w:p>
        </w:tc>
        <w:tc>
          <w:tcPr>
            <w:tcW w:type="dxa" w:w="3773"/>
            <w:vAlign w:val="top"/>
            <w:shd w:fill="F4F7FA"/>
          </w:tcPr>
          <w:p>
            <w:pPr>
              <w:pStyle w:val="Compact"/>
            </w:pPr>
            <w:r/>
            <w:r>
              <w:rPr>
                <w:rFonts w:ascii="Aptos" w:hAnsi="Aptos"/>
                <w:b/>
                <w:color w:val="202A35"/>
                <w:sz w:val="16"/>
              </w:rPr>
              <w:t>Ridgeline EEO/Anti-Discrimination/Anti-Retaliation Policy HR-POL-007 (effective Jan. 15, 2023)</w:t>
            </w:r>
          </w:p>
        </w:tc>
        <w:tc>
          <w:tcPr>
            <w:tcW w:type="dxa" w:w="5256"/>
            <w:vAlign w:val="top"/>
            <w:shd w:fill="F4F7FA"/>
          </w:tcPr>
          <w:p>
            <w:pPr>
              <w:pStyle w:val="Compact"/>
            </w:pPr>
            <w:r/>
            <w:r>
              <w:rPr>
                <w:rFonts w:ascii="Aptos" w:hAnsi="Aptos"/>
                <w:b w:val="0"/>
                <w:color w:val="202A35"/>
                <w:sz w:val="15"/>
              </w:rPr>
              <w:t>Sections 7.4 (90-day review/approvals), 7.5 (investigations), 7.7 (complainant PIPs), 7.9 (manager duties).</w:t>
            </w:r>
          </w:p>
        </w:tc>
      </w:tr>
      <w:tr>
        <w:trPr>
          <w:cantSplit/>
        </w:trPr>
        <w:tc>
          <w:tcPr>
            <w:tcW w:type="dxa" w:w="605"/>
            <w:vAlign w:val="top"/>
          </w:tcPr>
          <w:p>
            <w:pPr>
              <w:pStyle w:val="Compact"/>
            </w:pPr>
            <w:r/>
            <w:r>
              <w:rPr>
                <w:rFonts w:ascii="Aptos" w:hAnsi="Aptos"/>
                <w:b/>
                <w:color w:val="0F6B78"/>
                <w:sz w:val="16"/>
              </w:rPr>
              <w:t>6</w:t>
            </w:r>
          </w:p>
        </w:tc>
        <w:tc>
          <w:tcPr>
            <w:tcW w:type="dxa" w:w="3773"/>
            <w:vAlign w:val="top"/>
          </w:tcPr>
          <w:p>
            <w:pPr>
              <w:pStyle w:val="Compact"/>
            </w:pPr>
            <w:r/>
            <w:r>
              <w:rPr>
                <w:rFonts w:ascii="Aptos" w:hAnsi="Aptos"/>
                <w:b/>
                <w:color w:val="202A35"/>
                <w:sz w:val="16"/>
              </w:rPr>
              <w:t>SVP Performance Data 2023, Bates RNB-SW-004721–004722</w:t>
            </w:r>
          </w:p>
        </w:tc>
        <w:tc>
          <w:tcPr>
            <w:tcW w:type="dxa" w:w="5256"/>
            <w:vAlign w:val="top"/>
          </w:tcPr>
          <w:p>
            <w:pPr>
              <w:pStyle w:val="Compact"/>
            </w:pPr>
            <w:r/>
            <w:r>
              <w:rPr>
                <w:rFonts w:ascii="Aptos" w:hAnsi="Aptos"/>
                <w:b w:val="0"/>
                <w:color w:val="202A35"/>
                <w:sz w:val="15"/>
              </w:rPr>
              <w:t>Comparators, division averages, default totals, other discipline, finalization and PIP/termination fields.</w:t>
            </w:r>
          </w:p>
        </w:tc>
      </w:tr>
      <w:tr>
        <w:trPr>
          <w:cantSplit/>
        </w:trPr>
        <w:tc>
          <w:tcPr>
            <w:tcW w:type="dxa" w:w="605"/>
            <w:vAlign w:val="top"/>
            <w:shd w:fill="F4F7FA"/>
          </w:tcPr>
          <w:p>
            <w:pPr>
              <w:pStyle w:val="Compact"/>
            </w:pPr>
            <w:r/>
            <w:r>
              <w:rPr>
                <w:rFonts w:ascii="Aptos" w:hAnsi="Aptos"/>
                <w:b/>
                <w:color w:val="0F6B78"/>
                <w:sz w:val="16"/>
              </w:rPr>
              <w:t>7</w:t>
            </w:r>
          </w:p>
        </w:tc>
        <w:tc>
          <w:tcPr>
            <w:tcW w:type="dxa" w:w="3773"/>
            <w:vAlign w:val="top"/>
            <w:shd w:fill="F4F7FA"/>
          </w:tcPr>
          <w:p>
            <w:pPr>
              <w:pStyle w:val="Compact"/>
            </w:pPr>
            <w:r/>
            <w:r>
              <w:rPr>
                <w:rFonts w:ascii="Aptos" w:hAnsi="Aptos"/>
                <w:b/>
                <w:color w:val="202A35"/>
                <w:sz w:val="16"/>
              </w:rPr>
              <w:t>IT Service Ticket SR-20231002-4471 (Oct. 2–5, 2023)</w:t>
            </w:r>
          </w:p>
        </w:tc>
        <w:tc>
          <w:tcPr>
            <w:tcW w:type="dxa" w:w="5256"/>
            <w:vAlign w:val="top"/>
            <w:shd w:fill="F4F7FA"/>
          </w:tcPr>
          <w:p>
            <w:pPr>
              <w:pStyle w:val="Compact"/>
            </w:pPr>
            <w:r/>
            <w:r>
              <w:rPr>
                <w:rFonts w:ascii="Aptos" w:hAnsi="Aptos"/>
                <w:b w:val="0"/>
                <w:color w:val="202A35"/>
                <w:sz w:val="15"/>
              </w:rPr>
              <w:t>System outage, all-user impact, authorized two-business-day extension, Oct. 4 extended deadline.</w:t>
            </w:r>
          </w:p>
        </w:tc>
      </w:tr>
      <w:tr>
        <w:trPr>
          <w:cantSplit/>
        </w:trPr>
        <w:tc>
          <w:tcPr>
            <w:tcW w:type="dxa" w:w="605"/>
            <w:vAlign w:val="top"/>
          </w:tcPr>
          <w:p>
            <w:pPr>
              <w:pStyle w:val="Compact"/>
            </w:pPr>
            <w:r/>
            <w:r>
              <w:rPr>
                <w:rFonts w:ascii="Aptos" w:hAnsi="Aptos"/>
                <w:b/>
                <w:color w:val="0F6B78"/>
                <w:sz w:val="16"/>
              </w:rPr>
              <w:t>8</w:t>
            </w:r>
          </w:p>
        </w:tc>
        <w:tc>
          <w:tcPr>
            <w:tcW w:type="dxa" w:w="3773"/>
            <w:vAlign w:val="top"/>
          </w:tcPr>
          <w:p>
            <w:pPr>
              <w:pStyle w:val="Compact"/>
            </w:pPr>
            <w:r/>
            <w:r>
              <w:rPr>
                <w:rFonts w:ascii="Aptos" w:hAnsi="Aptos"/>
                <w:b/>
                <w:color w:val="202A35"/>
                <w:sz w:val="16"/>
              </w:rPr>
              <w:t>Q4 2023 Risk Report transmittal email to Whitford (Jan. 10, 2024)</w:t>
            </w:r>
          </w:p>
        </w:tc>
        <w:tc>
          <w:tcPr>
            <w:tcW w:type="dxa" w:w="5256"/>
            <w:vAlign w:val="top"/>
          </w:tcPr>
          <w:p>
            <w:pPr>
              <w:pStyle w:val="Compact"/>
            </w:pPr>
            <w:r/>
            <w:r>
              <w:rPr>
                <w:rFonts w:ascii="Aptos" w:hAnsi="Aptos"/>
                <w:b w:val="0"/>
                <w:color w:val="202A35"/>
                <w:sz w:val="15"/>
              </w:rPr>
              <w:t>Recipient, report content, actual transmission/delivery time and whether report was timely.</w:t>
            </w:r>
          </w:p>
        </w:tc>
      </w:tr>
      <w:tr>
        <w:trPr>
          <w:cantSplit/>
        </w:trPr>
        <w:tc>
          <w:tcPr>
            <w:tcW w:type="dxa" w:w="605"/>
            <w:vAlign w:val="top"/>
            <w:shd w:fill="F4F7FA"/>
          </w:tcPr>
          <w:p>
            <w:pPr>
              <w:pStyle w:val="Compact"/>
            </w:pPr>
            <w:r/>
            <w:r>
              <w:rPr>
                <w:rFonts w:ascii="Aptos" w:hAnsi="Aptos"/>
                <w:b/>
                <w:color w:val="0F6B78"/>
                <w:sz w:val="16"/>
              </w:rPr>
              <w:t>9</w:t>
            </w:r>
          </w:p>
        </w:tc>
        <w:tc>
          <w:tcPr>
            <w:tcW w:type="dxa" w:w="3773"/>
            <w:vAlign w:val="top"/>
            <w:shd w:fill="F4F7FA"/>
          </w:tcPr>
          <w:p>
            <w:pPr>
              <w:pStyle w:val="Compact"/>
            </w:pPr>
            <w:r/>
            <w:r>
              <w:rPr>
                <w:rFonts w:ascii="Aptos" w:hAnsi="Aptos"/>
                <w:b/>
                <w:color w:val="202A35"/>
                <w:sz w:val="16"/>
              </w:rPr>
              <w:t>Termination letter signed by Whitford (Mar. 14, 2024)</w:t>
            </w:r>
          </w:p>
        </w:tc>
        <w:tc>
          <w:tcPr>
            <w:tcW w:type="dxa" w:w="5256"/>
            <w:vAlign w:val="top"/>
            <w:shd w:fill="F4F7FA"/>
          </w:tcPr>
          <w:p>
            <w:pPr>
              <w:pStyle w:val="Compact"/>
            </w:pPr>
            <w:r/>
            <w:r>
              <w:rPr>
                <w:rFonts w:ascii="Aptos" w:hAnsi="Aptos"/>
                <w:b w:val="0"/>
                <w:color w:val="202A35"/>
                <w:sz w:val="15"/>
              </w:rPr>
              <w:t>Stated reasons, claimed review during PIP, approval chain, timing before PIP end.</w:t>
            </w:r>
          </w:p>
        </w:tc>
      </w:tr>
      <w:tr>
        <w:trPr>
          <w:cantSplit/>
        </w:trPr>
        <w:tc>
          <w:tcPr>
            <w:tcW w:type="dxa" w:w="605"/>
            <w:vAlign w:val="top"/>
          </w:tcPr>
          <w:p>
            <w:pPr>
              <w:pStyle w:val="Compact"/>
            </w:pPr>
            <w:r/>
            <w:r>
              <w:rPr>
                <w:rFonts w:ascii="Aptos" w:hAnsi="Aptos"/>
                <w:b/>
                <w:color w:val="0F6B78"/>
                <w:sz w:val="16"/>
              </w:rPr>
              <w:t>10</w:t>
            </w:r>
          </w:p>
        </w:tc>
        <w:tc>
          <w:tcPr>
            <w:tcW w:type="dxa" w:w="3773"/>
            <w:vAlign w:val="top"/>
          </w:tcPr>
          <w:p>
            <w:pPr>
              <w:pStyle w:val="Compact"/>
            </w:pPr>
            <w:r/>
            <w:r>
              <w:rPr>
                <w:rFonts w:ascii="Aptos" w:hAnsi="Aptos"/>
                <w:b/>
                <w:color w:val="202A35"/>
                <w:sz w:val="16"/>
              </w:rPr>
              <w:t>HR Investigation Report, Complaint SW-2024-0012 (Feb. 12, 2024)</w:t>
            </w:r>
          </w:p>
        </w:tc>
        <w:tc>
          <w:tcPr>
            <w:tcW w:type="dxa" w:w="5256"/>
            <w:vAlign w:val="top"/>
          </w:tcPr>
          <w:p>
            <w:pPr>
              <w:pStyle w:val="Compact"/>
            </w:pPr>
            <w:r/>
            <w:r>
              <w:rPr>
                <w:rFonts w:ascii="Aptos" w:hAnsi="Aptos"/>
                <w:b w:val="0"/>
                <w:color w:val="202A35"/>
                <w:sz w:val="15"/>
              </w:rPr>
              <w:t>Use only if produced and any privilege issue resolved; investigation findings, timing, Whitford’s admissions/counseling, record inconsistencies.</w:t>
            </w:r>
          </w:p>
        </w:tc>
      </w:tr>
      <w:tr>
        <w:trPr>
          <w:cantSplit/>
        </w:trPr>
        <w:tc>
          <w:tcPr>
            <w:tcW w:type="dxa" w:w="605"/>
            <w:vAlign w:val="top"/>
            <w:shd w:fill="F4F7FA"/>
          </w:tcPr>
          <w:p>
            <w:pPr>
              <w:pStyle w:val="Compact"/>
            </w:pPr>
            <w:r/>
            <w:r>
              <w:rPr>
                <w:rFonts w:ascii="Aptos" w:hAnsi="Aptos"/>
                <w:b/>
                <w:color w:val="0F6B78"/>
                <w:sz w:val="16"/>
              </w:rPr>
              <w:t>11</w:t>
            </w:r>
          </w:p>
        </w:tc>
        <w:tc>
          <w:tcPr>
            <w:tcW w:type="dxa" w:w="3773"/>
            <w:vAlign w:val="top"/>
            <w:shd w:fill="F4F7FA"/>
          </w:tcPr>
          <w:p>
            <w:pPr>
              <w:pStyle w:val="Compact"/>
            </w:pPr>
            <w:r/>
            <w:r>
              <w:rPr>
                <w:rFonts w:ascii="Aptos" w:hAnsi="Aptos"/>
                <w:b/>
                <w:color w:val="202A35"/>
                <w:sz w:val="16"/>
              </w:rPr>
              <w:t>Whitford personnel-file section re Patricia Yazzie, 2017 (Bates RNB-WHITFORD-PF-000412 et seq.)</w:t>
            </w:r>
          </w:p>
        </w:tc>
        <w:tc>
          <w:tcPr>
            <w:tcW w:type="dxa" w:w="5256"/>
            <w:vAlign w:val="top"/>
            <w:shd w:fill="F4F7FA"/>
          </w:tcPr>
          <w:p>
            <w:pPr>
              <w:pStyle w:val="Compact"/>
            </w:pPr>
            <w:r/>
            <w:r>
              <w:rPr>
                <w:rFonts w:ascii="Aptos" w:hAnsi="Aptos"/>
                <w:b w:val="0"/>
                <w:color w:val="202A35"/>
                <w:sz w:val="15"/>
              </w:rPr>
              <w:t>Only subject to discovery ruling/protective order: prior complaint notice, his response, counseling and lessons learned.</w:t>
            </w:r>
          </w:p>
        </w:tc>
      </w:tr>
      <w:tr>
        <w:trPr>
          <w:cantSplit/>
        </w:trPr>
        <w:tc>
          <w:tcPr>
            <w:tcW w:type="dxa" w:w="605"/>
            <w:vAlign w:val="top"/>
          </w:tcPr>
          <w:p>
            <w:pPr>
              <w:pStyle w:val="Compact"/>
            </w:pPr>
            <w:r/>
            <w:r>
              <w:rPr>
                <w:rFonts w:ascii="Aptos" w:hAnsi="Aptos"/>
                <w:b/>
                <w:color w:val="0F6B78"/>
                <w:sz w:val="16"/>
              </w:rPr>
              <w:t>12</w:t>
            </w:r>
          </w:p>
        </w:tc>
        <w:tc>
          <w:tcPr>
            <w:tcW w:type="dxa" w:w="3773"/>
            <w:vAlign w:val="top"/>
          </w:tcPr>
          <w:p>
            <w:pPr>
              <w:pStyle w:val="Compact"/>
            </w:pPr>
            <w:r/>
            <w:r>
              <w:rPr>
                <w:rFonts w:ascii="Aptos" w:hAnsi="Aptos"/>
                <w:b/>
                <w:color w:val="202A35"/>
                <w:sz w:val="16"/>
              </w:rPr>
              <w:t>Any underlying drafts, source-data extracts, PIP approval records, termination recommendation/approval, calendar and email records</w:t>
            </w:r>
          </w:p>
        </w:tc>
        <w:tc>
          <w:tcPr>
            <w:tcW w:type="dxa" w:w="5256"/>
            <w:vAlign w:val="top"/>
          </w:tcPr>
          <w:p>
            <w:pPr>
              <w:pStyle w:val="Compact"/>
            </w:pPr>
            <w:r/>
            <w:r>
              <w:rPr>
                <w:rFonts w:ascii="Aptos" w:hAnsi="Aptos"/>
                <w:b w:val="0"/>
                <w:color w:val="202A35"/>
                <w:sz w:val="15"/>
              </w:rPr>
              <w:t>Request/mark when identified; authenticate through Whitford or custodian as appropriate.</w:t>
            </w:r>
          </w:p>
        </w:tc>
      </w:tr>
    </w:tbl>
    <w:p>
      <w:pPr>
        <w:pStyle w:val="CounselNote"/>
      </w:pPr>
      <w:r>
        <w:rPr>
          <w:b/>
        </w:rPr>
        <w:t xml:space="preserve">Counsel note: </w:t>
      </w:r>
      <w:r>
        <w:t>The investigation report is expressly labeled attorney-client privileged/work product; do not elicit privileged attorney communications or use it as an exhibit absent resolution of privilege/production status. Ask nonprivileged facts and Whitford’s own actions. The Yazzie file is confidential personnel material; limit use to permitted discovery and notice/knowledge, not propensity rhetoric.</w:t>
      </w:r>
    </w:p>
    <w:p>
      <w:pPr>
        <w:pStyle w:val="Heading1"/>
      </w:pPr>
      <w:r>
        <w:t>III. Preliminary matters, preparation, and completeness</w:t>
      </w:r>
    </w:p>
    <w:p>
      <w:pPr>
        <w:pStyle w:val="DepoQuestion"/>
      </w:pPr>
      <w:r>
        <w:rPr>
          <w:b/>
          <w:color w:val="0F6B78"/>
        </w:rPr>
        <w:t xml:space="preserve">1. </w:t>
      </w:r>
      <w:r>
        <w:t>Please state your full name, current employer, position, business address, and the dates you have held your present and prior positions at Ridgeline.</w:t>
      </w:r>
    </w:p>
    <w:p>
      <w:pPr>
        <w:pStyle w:val="DepoQuestion"/>
      </w:pPr>
      <w:r>
        <w:rPr>
          <w:b/>
          <w:color w:val="0F6B78"/>
        </w:rPr>
        <w:t xml:space="preserve">2. </w:t>
      </w:r>
      <w:r>
        <w:t>You were Regional President of the Southwest Division from July 2019 through March 2024, correct? What is your current role and reporting line?</w:t>
      </w:r>
    </w:p>
    <w:p>
      <w:pPr>
        <w:pStyle w:val="DepoQuestion"/>
      </w:pPr>
      <w:r>
        <w:rPr>
          <w:b/>
          <w:color w:val="0F6B78"/>
        </w:rPr>
        <w:t xml:space="preserve">3. </w:t>
      </w:r>
      <w:r>
        <w:t>Have you used any other names, email addresses, titles, or user accounts relevant to Ridgeline business? Identify them, including whether you used twhitford@ridgelinenb.com, twhitford@ridgelinenational.com, or other domains.</w:t>
      </w:r>
    </w:p>
    <w:p>
      <w:pPr>
        <w:pStyle w:val="DepoQuestion"/>
      </w:pPr>
      <w:r>
        <w:rPr>
          <w:b/>
          <w:color w:val="0F6B78"/>
        </w:rPr>
        <w:t xml:space="preserve">4. </w:t>
      </w:r>
      <w:r>
        <w:t>What did you do to prepare for today’s deposition? Identify every document you reviewed, every person with whom you discussed the substance of your testimony, and when those steps occurred.</w:t>
      </w:r>
    </w:p>
    <w:p>
      <w:pPr>
        <w:pStyle w:val="DepoQuestion"/>
      </w:pPr>
      <w:r>
        <w:rPr>
          <w:b/>
          <w:color w:val="0F6B78"/>
        </w:rPr>
        <w:t xml:space="preserve">5. </w:t>
      </w:r>
      <w:r>
        <w:t>Did you review each proposed exhibit? Which versions, annotations, attachments, metadata, or related records did you review?</w:t>
      </w:r>
    </w:p>
    <w:p>
      <w:pPr>
        <w:pStyle w:val="DepoQuestion"/>
      </w:pPr>
      <w:r>
        <w:rPr>
          <w:b/>
          <w:color w:val="0F6B78"/>
        </w:rPr>
        <w:t xml:space="preserve">6. </w:t>
      </w:r>
      <w:r>
        <w:t>Have you searched for or collected any personal notes, calendars, text messages, chat messages, emails, drafts, or files concerning Delgado-Reyes, her complaint, the review, the PIP, or termination? Identify the systems searched and results.</w:t>
      </w:r>
    </w:p>
    <w:p>
      <w:pPr>
        <w:pStyle w:val="DepoQuestion"/>
      </w:pPr>
      <w:r>
        <w:rPr>
          <w:b/>
          <w:color w:val="0F6B78"/>
        </w:rPr>
        <w:t xml:space="preserve">7. </w:t>
      </w:r>
      <w:r>
        <w:t>Are any responsive records known to exist but not produced, deleted, inaccessible, or held on a personal device/account? What steps were taken to preserve them?</w:t>
      </w:r>
    </w:p>
    <w:p>
      <w:pPr>
        <w:pStyle w:val="DepoQuestion"/>
      </w:pPr>
      <w:r>
        <w:rPr>
          <w:b/>
          <w:color w:val="0F6B78"/>
        </w:rPr>
        <w:t xml:space="preserve">8. </w:t>
      </w:r>
      <w:r>
        <w:t>Is any answer today based on something you were told rather than something you personally saw or did? Identify the source and separate that information from your own recollection.</w:t>
      </w:r>
    </w:p>
    <w:p>
      <w:pPr>
        <w:pStyle w:val="CounselNote"/>
      </w:pPr>
      <w:r>
        <w:rPr>
          <w:b/>
        </w:rPr>
        <w:t xml:space="preserve">Counsel note: </w:t>
      </w:r>
      <w:r>
        <w:t>Follow up with the date range and custodians for relevant searches; ask about litigation hold, deletion settings, archived mail, text/chat, and attachments. Do not accept “I don’t recall” without asking whether records refresh recollection.</w:t>
      </w:r>
    </w:p>
    <w:p>
      <w:pPr>
        <w:pStyle w:val="Heading1"/>
      </w:pPr>
      <w:r>
        <w:t>IV. Role, authority, and relationship with Delgado-Reyes</w:t>
      </w:r>
    </w:p>
    <w:p>
      <w:pPr>
        <w:pStyle w:val="DepoQuestion"/>
      </w:pPr>
      <w:r>
        <w:rPr>
          <w:b/>
          <w:color w:val="0F6B78"/>
        </w:rPr>
        <w:t xml:space="preserve">1. </w:t>
      </w:r>
      <w:r>
        <w:t>Describe your responsibilities as Regional President, including authority over commercial lending, SVP evaluations, compensation, account/territory assignments, PIPs, discipline, and termination recommendations.</w:t>
      </w:r>
    </w:p>
    <w:p>
      <w:pPr>
        <w:pStyle w:val="DepoQuestion"/>
      </w:pPr>
      <w:r>
        <w:rPr>
          <w:b/>
          <w:color w:val="0F6B78"/>
        </w:rPr>
        <w:t xml:space="preserve">2. </w:t>
      </w:r>
      <w:r>
        <w:t>How many employees reported directly or indirectly to you in the Southwest Division? Who reported to you in commercial lending?</w:t>
      </w:r>
    </w:p>
    <w:p>
      <w:pPr>
        <w:pStyle w:val="DepoQuestion"/>
      </w:pPr>
      <w:r>
        <w:rPr>
          <w:b/>
          <w:color w:val="0F6B78"/>
        </w:rPr>
        <w:t xml:space="preserve">3. </w:t>
      </w:r>
      <w:r>
        <w:t>When did Delgado-Reyes first report directly to you? What work did you observe personally, and how often did you meet with her?</w:t>
      </w:r>
    </w:p>
    <w:p>
      <w:pPr>
        <w:pStyle w:val="DepoQuestion"/>
      </w:pPr>
      <w:r>
        <w:rPr>
          <w:b/>
          <w:color w:val="0F6B78"/>
        </w:rPr>
        <w:t xml:space="preserve">4. </w:t>
      </w:r>
      <w:r>
        <w:t>What authority did you have to assign, approve, revise, or finalize her annual review? Who provided input, and who had approval or veto authority?</w:t>
      </w:r>
    </w:p>
    <w:p>
      <w:pPr>
        <w:pStyle w:val="DepoQuestion"/>
      </w:pPr>
      <w:r>
        <w:rPr>
          <w:b/>
          <w:color w:val="0F6B78"/>
        </w:rPr>
        <w:t xml:space="preserve">5. </w:t>
      </w:r>
      <w:r>
        <w:t>What authority did you have to draft, issue, modify, or end her PIP and to recommend or decide termination?</w:t>
      </w:r>
    </w:p>
    <w:p>
      <w:pPr>
        <w:pStyle w:val="DepoQuestion"/>
      </w:pPr>
      <w:r>
        <w:rPr>
          <w:b/>
          <w:color w:val="0F6B78"/>
        </w:rPr>
        <w:t xml:space="preserve">6. </w:t>
      </w:r>
      <w:r>
        <w:t>Who was the final decision-maker on each of the Feb. 5 review, Feb. 20 PIP, and Mar. 14 termination? Identify each person’s actual contribution, not just title.</w:t>
      </w:r>
    </w:p>
    <w:p>
      <w:pPr>
        <w:pStyle w:val="DepoQuestion"/>
      </w:pPr>
      <w:r>
        <w:rPr>
          <w:b/>
          <w:color w:val="0F6B78"/>
        </w:rPr>
        <w:t xml:space="preserve">7. </w:t>
      </w:r>
      <w:r>
        <w:t>Describe the process by which an SVP’s annual rating is determined, including the calibration process, data sources, reviewer approvals, and ordinary timing.</w:t>
      </w:r>
    </w:p>
    <w:p>
      <w:pPr>
        <w:pStyle w:val="DepoQuestion"/>
      </w:pPr>
      <w:r>
        <w:rPr>
          <w:b/>
          <w:color w:val="0F6B78"/>
        </w:rPr>
        <w:t xml:space="preserve">8. </w:t>
      </w:r>
      <w:r>
        <w:t>Before Jan. 8, 2024, had you ever placed Delgado-Reyes on a PIP, formally disciplined her, warned her termination was possible, or documented deficient performance? Identify each instance or confirm none.</w:t>
      </w:r>
    </w:p>
    <w:p>
      <w:pPr>
        <w:pStyle w:val="DepoQuestion"/>
      </w:pPr>
      <w:r>
        <w:rPr>
          <w:b/>
          <w:color w:val="0F6B78"/>
        </w:rPr>
        <w:t xml:space="preserve">9. </w:t>
      </w:r>
      <w:r>
        <w:t>What were her ratings under your supervision for 2019, 2020, 2021, and 2022? Did she receive Exceeds in 2019, 2020, and 2022 and Meets in 2021?</w:t>
      </w:r>
    </w:p>
    <w:p>
      <w:pPr>
        <w:pStyle w:val="DepoQuestion"/>
      </w:pPr>
      <w:r>
        <w:rPr>
          <w:b/>
          <w:color w:val="0F6B78"/>
        </w:rPr>
        <w:t xml:space="preserve">10. </w:t>
      </w:r>
      <w:r>
        <w:t>What was her portfolio size and scope compared with the other Southwest SVP commercial-lending portfolios? How did her $340 million book affect workload, risk exposure, targets, and evaluation?</w:t>
      </w:r>
    </w:p>
    <w:p>
      <w:pPr>
        <w:pStyle w:val="CounselNote"/>
      </w:pPr>
      <w:r>
        <w:rPr>
          <w:b/>
        </w:rPr>
        <w:t xml:space="preserve">Counsel note: </w:t>
      </w:r>
      <w:r>
        <w:t>Establish the “same supervisor” comparator foundation and Whitford’s personal role. The complaint alleges he was the sole recommending decision-maker; have him identify any other person who originated the action or independently verified its basis.</w:t>
      </w:r>
    </w:p>
    <w:p>
      <w:pPr>
        <w:pStyle w:val="Heading1"/>
      </w:pPr>
      <w:r>
        <w:t>V. The three comments: words, context, and meaning</w:t>
      </w:r>
    </w:p>
    <w:p>
      <w:pPr>
        <w:pStyle w:val="DepoQuestion"/>
      </w:pPr>
      <w:r>
        <w:rPr>
          <w:b/>
          <w:color w:val="0F6B78"/>
        </w:rPr>
        <w:t xml:space="preserve">1. </w:t>
      </w:r>
      <w:r>
        <w:t>At the Nov. 15, 2023 Southwest regional team meeting, did you discuss lending in border communities? State as precisely as you can the words you used.</w:t>
      </w:r>
    </w:p>
    <w:p>
      <w:pPr>
        <w:pStyle w:val="DepoQuestion"/>
      </w:pPr>
      <w:r>
        <w:rPr>
          <w:b/>
          <w:color w:val="0F6B78"/>
        </w:rPr>
        <w:t xml:space="preserve">2. </w:t>
      </w:r>
      <w:r>
        <w:t>Did you say the bank needed to “be careful about lending in border communities” and that “people from those areas don’t always have the same credit culture we expect”? If not, what is your best recollection and what records refresh it?</w:t>
      </w:r>
    </w:p>
    <w:p>
      <w:pPr>
        <w:pStyle w:val="DepoQuestion"/>
      </w:pPr>
      <w:r>
        <w:rPr>
          <w:b/>
          <w:color w:val="0F6B78"/>
        </w:rPr>
        <w:t xml:space="preserve">3. </w:t>
      </w:r>
      <w:r>
        <w:t>What did “people from those areas” mean to you? Which areas, borrowers, or communities were you referring to? What objective data or specific loan categories were discussed?</w:t>
      </w:r>
    </w:p>
    <w:p>
      <w:pPr>
        <w:pStyle w:val="DepoQuestion"/>
      </w:pPr>
      <w:r>
        <w:rPr>
          <w:b/>
          <w:color w:val="0F6B78"/>
        </w:rPr>
        <w:t xml:space="preserve">4. </w:t>
      </w:r>
      <w:r>
        <w:t>Did you refer to Mexican-American, Hispanic, Latino, or other residents or borrowers? Did you identify any particular borrower, application, or credit statistic at the meeting?</w:t>
      </w:r>
    </w:p>
    <w:p>
      <w:pPr>
        <w:pStyle w:val="DepoQuestion"/>
      </w:pPr>
      <w:r>
        <w:rPr>
          <w:b/>
          <w:color w:val="0F6B78"/>
        </w:rPr>
        <w:t xml:space="preserve">5. </w:t>
      </w:r>
      <w:r>
        <w:t>Who attended? Identify the approximately 12 attendees and the source of the roster. Were minutes, slides, or notes prepared? Where are they?</w:t>
      </w:r>
    </w:p>
    <w:p>
      <w:pPr>
        <w:pStyle w:val="DepoQuestion"/>
      </w:pPr>
      <w:r>
        <w:rPr>
          <w:b/>
          <w:color w:val="0F6B78"/>
        </w:rPr>
        <w:t xml:space="preserve">6. </w:t>
      </w:r>
      <w:r>
        <w:t>Did you know that Delgado-Reyes’s portfolio included Tucson and southern Arizona border communities and was the division’s largest SVP book? What did you understand about the overlap between the geography discussed and her portfolio?</w:t>
      </w:r>
    </w:p>
    <w:p>
      <w:pPr>
        <w:pStyle w:val="DepoQuestion"/>
      </w:pPr>
      <w:r>
        <w:rPr>
          <w:b/>
          <w:color w:val="0F6B78"/>
        </w:rPr>
        <w:t xml:space="preserve">7. </w:t>
      </w:r>
      <w:r>
        <w:t>At the Dec. 7 one-on-one about the $8.5 million Sonora Freight Logistics proposal, did you tell her to consider whether her “background” gave her “blind spots with certain borrowers”? State the exact words and context.</w:t>
      </w:r>
    </w:p>
    <w:p>
      <w:pPr>
        <w:pStyle w:val="DepoQuestion"/>
      </w:pPr>
      <w:r>
        <w:rPr>
          <w:b/>
          <w:color w:val="0F6B78"/>
        </w:rPr>
        <w:t xml:space="preserve">8. </w:t>
      </w:r>
      <w:r>
        <w:t>What did “background” mean when you said it? Did you mean professional background, ethnicity, national origin, cultural background, geographic experience, or something else? Why?</w:t>
      </w:r>
    </w:p>
    <w:p>
      <w:pPr>
        <w:pStyle w:val="DepoQuestion"/>
      </w:pPr>
      <w:r>
        <w:rPr>
          <w:b/>
          <w:color w:val="0F6B78"/>
        </w:rPr>
        <w:t xml:space="preserve">9. </w:t>
      </w:r>
      <w:r>
        <w:t>What particular blind spot did you believe she had? Identify the underwriting fact, analytical error, borrower relationship, or loan-specific concern you communicated to her.</w:t>
      </w:r>
    </w:p>
    <w:p>
      <w:pPr>
        <w:pStyle w:val="DepoQuestion"/>
      </w:pPr>
      <w:r>
        <w:rPr>
          <w:b/>
          <w:color w:val="0F6B78"/>
        </w:rPr>
        <w:t xml:space="preserve">10. </w:t>
      </w:r>
      <w:r>
        <w:t>Did you identify any weakness in the proposal’s financial projections, collateral, credit fundamentals, repayment capacity, or risk profile? What was your contemporaneous documentation?</w:t>
      </w:r>
    </w:p>
    <w:p>
      <w:pPr>
        <w:pStyle w:val="DepoQuestion"/>
      </w:pPr>
      <w:r>
        <w:rPr>
          <w:b/>
          <w:color w:val="0F6B78"/>
        </w:rPr>
        <w:t xml:space="preserve">11. </w:t>
      </w:r>
      <w:r>
        <w:t>Before Dec. 7, had you ever told her that her professional background or familiarity with a borrower created a blind spot? Identify other examples and the words used.</w:t>
      </w:r>
    </w:p>
    <w:p>
      <w:pPr>
        <w:pStyle w:val="DepoQuestion"/>
      </w:pPr>
      <w:r>
        <w:rPr>
          <w:b/>
          <w:color w:val="0F6B78"/>
        </w:rPr>
        <w:t xml:space="preserve">12. </w:t>
      </w:r>
      <w:r>
        <w:t>At the Dec. 20 holiday party, did you introduce her as your “local expert” who knew the border market and say “it’s in her blood”? State the exact phrase and what you meant.</w:t>
      </w:r>
    </w:p>
    <w:p>
      <w:pPr>
        <w:pStyle w:val="DepoQuestion"/>
      </w:pPr>
      <w:r>
        <w:rPr>
          <w:b/>
          <w:color w:val="0F6B78"/>
        </w:rPr>
        <w:t xml:space="preserve">13. </w:t>
      </w:r>
      <w:r>
        <w:t>Did you use “in her blood,” “in her DNA,” or both? How did you connect her expertise to her qualifications, work experience, or heritage in that introduction?</w:t>
      </w:r>
    </w:p>
    <w:p>
      <w:pPr>
        <w:pStyle w:val="DepoQuestion"/>
      </w:pPr>
      <w:r>
        <w:rPr>
          <w:b/>
          <w:color w:val="0F6B78"/>
        </w:rPr>
        <w:t xml:space="preserve">14. </w:t>
      </w:r>
      <w:r>
        <w:t>Who was the visiting Denver executive? Who else was present, including Jennifer Marsh and Roberto Fuentes? Did you notice Delgado-Reyes’s reaction or anyone’s reaction?</w:t>
      </w:r>
    </w:p>
    <w:p>
      <w:pPr>
        <w:pStyle w:val="DepoQuestion"/>
      </w:pPr>
      <w:r>
        <w:rPr>
          <w:b/>
          <w:color w:val="0F6B78"/>
        </w:rPr>
        <w:t xml:space="preserve">15. </w:t>
      </w:r>
      <w:r>
        <w:t>Did anyone tell you before Jan. 8 that any remark was offensive or could be understood as a reference to ethnicity? What did you do in response?</w:t>
      </w:r>
    </w:p>
    <w:p>
      <w:pPr>
        <w:pStyle w:val="DepoQuestion"/>
      </w:pPr>
      <w:r>
        <w:rPr>
          <w:b/>
          <w:color w:val="0F6B78"/>
        </w:rPr>
        <w:t xml:space="preserve">16. </w:t>
      </w:r>
      <w:r>
        <w:t>Do you agree that references to “credit culture,” “background” or expertise being “in her blood” could reasonably be heard as associating professional ability with ethnicity? If not, explain why not.</w:t>
      </w:r>
    </w:p>
    <w:p>
      <w:pPr>
        <w:pStyle w:val="DepoQuestion"/>
      </w:pPr>
      <w:r>
        <w:rPr>
          <w:b/>
          <w:color w:val="0F6B78"/>
        </w:rPr>
        <w:t xml:space="preserve">17. </w:t>
      </w:r>
      <w:r>
        <w:t>What training or policy guidance had you received about comments connecting geographic areas, borrowers, or employee attributes with racial or ethnic communities?</w:t>
      </w:r>
    </w:p>
    <w:p>
      <w:pPr>
        <w:pStyle w:val="CounselNote"/>
      </w:pPr>
      <w:r>
        <w:rPr>
          <w:b/>
        </w:rPr>
        <w:t xml:space="preserve">Counsel note: </w:t>
      </w:r>
      <w:r>
        <w:t>For each event, secure the setting, exact words, audience, timing, context, contemporaneous notes, prior explanations, and any change in recollection. Do not let “compliment” substitute for what he actually said or why.</w:t>
      </w:r>
    </w:p>
    <w:p>
      <w:pPr>
        <w:pStyle w:val="Heading1"/>
      </w:pPr>
      <w:r>
        <w:t>VI. Jan. 8 complaint, notice, and investigation</w:t>
      </w:r>
    </w:p>
    <w:p>
      <w:pPr>
        <w:pStyle w:val="DepoQuestion"/>
      </w:pPr>
      <w:r>
        <w:rPr>
          <w:b/>
          <w:color w:val="0F6B78"/>
        </w:rPr>
        <w:t xml:space="preserve">1. </w:t>
      </w:r>
      <w:r>
        <w:t>When did you first learn that Delgado-Reyes had filed a formal complaint? Who informed you, how, and what exactly were you told?</w:t>
      </w:r>
    </w:p>
    <w:p>
      <w:pPr>
        <w:pStyle w:val="DepoQuestion"/>
      </w:pPr>
      <w:r>
        <w:rPr>
          <w:b/>
          <w:color w:val="0F6B78"/>
        </w:rPr>
        <w:t xml:space="preserve">2. </w:t>
      </w:r>
      <w:r>
        <w:t>Did you receive the Jan. 8 email or a summary? When did you first learn the complainant, the three allegations, the witnesses, and that she requested protection from retaliation?</w:t>
      </w:r>
    </w:p>
    <w:p>
      <w:pPr>
        <w:pStyle w:val="DepoQuestion"/>
      </w:pPr>
      <w:r>
        <w:rPr>
          <w:b/>
          <w:color w:val="0F6B78"/>
        </w:rPr>
        <w:t xml:space="preserve">3. </w:t>
      </w:r>
      <w:r>
        <w:t>Were you interviewed by Janet Embree on Jan. 16? How long did the interview last, what documents did you review, and did you give a written or recorded statement?</w:t>
      </w:r>
    </w:p>
    <w:p>
      <w:pPr>
        <w:pStyle w:val="DepoQuestion"/>
      </w:pPr>
      <w:r>
        <w:rPr>
          <w:b/>
          <w:color w:val="0F6B78"/>
        </w:rPr>
        <w:t xml:space="preserve">4. </w:t>
      </w:r>
      <w:r>
        <w:t>What did you admit to Embree about each of the three comments? Did you agree that you made the border-community remarks, used “background” and “blind spots,” and said “it’s in her blood”?</w:t>
      </w:r>
    </w:p>
    <w:p>
      <w:pPr>
        <w:pStyle w:val="DepoQuestion"/>
      </w:pPr>
      <w:r>
        <w:rPr>
          <w:b/>
          <w:color w:val="0F6B78"/>
        </w:rPr>
        <w:t xml:space="preserve">5. </w:t>
      </w:r>
      <w:r>
        <w:t>What explanations did you offer in that interview? Did you describe the first as market-risk discussion, the second as professional familiarity, and the third as a compliment?</w:t>
      </w:r>
    </w:p>
    <w:p>
      <w:pPr>
        <w:pStyle w:val="DepoQuestion"/>
      </w:pPr>
      <w:r>
        <w:rPr>
          <w:b/>
          <w:color w:val="0F6B78"/>
        </w:rPr>
        <w:t xml:space="preserve">6. </w:t>
      </w:r>
      <w:r>
        <w:t>Did you identify any contemporaneous data, policy, or document supporting those explanations? What did you provide?</w:t>
      </w:r>
    </w:p>
    <w:p>
      <w:pPr>
        <w:pStyle w:val="DepoQuestion"/>
      </w:pPr>
      <w:r>
        <w:rPr>
          <w:b/>
          <w:color w:val="0F6B78"/>
        </w:rPr>
        <w:t xml:space="preserve">7. </w:t>
      </w:r>
      <w:r>
        <w:t>Did Embree or anyone else tell you that the complaint was unsubstantiated, that the investigation was closed, or that you were counseled? When and in what words?</w:t>
      </w:r>
    </w:p>
    <w:p>
      <w:pPr>
        <w:pStyle w:val="DepoQuestion"/>
      </w:pPr>
      <w:r>
        <w:rPr>
          <w:b/>
          <w:color w:val="0F6B78"/>
        </w:rPr>
        <w:t xml:space="preserve">8. </w:t>
      </w:r>
      <w:r>
        <w:t>Were you counseled on Jan. 16 and again Feb. 5 to exercise care and sensitivity? What exactly was said, by whom, and did you agree to change your language?</w:t>
      </w:r>
    </w:p>
    <w:p>
      <w:pPr>
        <w:pStyle w:val="DepoQuestion"/>
      </w:pPr>
      <w:r>
        <w:rPr>
          <w:b/>
          <w:color w:val="0F6B78"/>
        </w:rPr>
        <w:t xml:space="preserve">9. </w:t>
      </w:r>
      <w:r>
        <w:t>Did the investigation result in any discipline, written warning, required training, or restriction on your supervisory decisions? What did you understand the outcome to mean?</w:t>
      </w:r>
    </w:p>
    <w:p>
      <w:pPr>
        <w:pStyle w:val="DepoQuestion"/>
      </w:pPr>
      <w:r>
        <w:rPr>
          <w:b/>
          <w:color w:val="0F6B78"/>
        </w:rPr>
        <w:t xml:space="preserve">10. </w:t>
      </w:r>
      <w:r>
        <w:t>Who investigated a complaint against a Regional President? Did the Chief Human Resources Officer or an outside investigator conduct or supervise it? What do you know from personal knowledge?</w:t>
      </w:r>
    </w:p>
    <w:p>
      <w:pPr>
        <w:pStyle w:val="DepoQuestion"/>
      </w:pPr>
      <w:r>
        <w:rPr>
          <w:b/>
          <w:color w:val="0F6B78"/>
        </w:rPr>
        <w:t xml:space="preserve">11. </w:t>
      </w:r>
      <w:r>
        <w:t>Did you have any contact with Marsh, Fuentes, or the Nov. 15 meeting witnesses about their interviews or accounts? If so, when, what was discussed, and who initiated it?</w:t>
      </w:r>
    </w:p>
    <w:p>
      <w:pPr>
        <w:pStyle w:val="DepoQuestion"/>
      </w:pPr>
      <w:r>
        <w:rPr>
          <w:b/>
          <w:color w:val="0F6B78"/>
        </w:rPr>
        <w:t xml:space="preserve">12. </w:t>
      </w:r>
      <w:r>
        <w:t>Did the investigation examine performance data, report deadlines, IT records, comparator treatment, or any contemplated review/PIP/termination? If not, why not?</w:t>
      </w:r>
    </w:p>
    <w:p>
      <w:pPr>
        <w:pStyle w:val="DepoQuestion"/>
      </w:pPr>
      <w:r>
        <w:rPr>
          <w:b/>
          <w:color w:val="0F6B78"/>
        </w:rPr>
        <w:t xml:space="preserve">13. </w:t>
      </w:r>
      <w:r>
        <w:t>The Feb. 12 report says the 2023 review was still “in process” and not finalized, although the review document bears a Feb. 5 finalization date. Which is accurate? Explain the discrepancy and identify the underlying record.</w:t>
      </w:r>
    </w:p>
    <w:p>
      <w:pPr>
        <w:pStyle w:val="DepoQuestion"/>
      </w:pPr>
      <w:r>
        <w:rPr>
          <w:b/>
          <w:color w:val="0F6B78"/>
        </w:rPr>
        <w:t xml:space="preserve">14. </w:t>
      </w:r>
      <w:r>
        <w:t>The report says eight persons were interviewed and refers to the complainant, respondent, and six additional witnesses, while its listed interview schedule identifies Whitford, Delgado-Reyes, Marsh, Fuentes, and Witnesses A, B, and C. Is that list complete? Who else was interviewed?</w:t>
      </w:r>
    </w:p>
    <w:p>
      <w:pPr>
        <w:pStyle w:val="DepoQuestion"/>
      </w:pPr>
      <w:r>
        <w:rPr>
          <w:b/>
          <w:color w:val="0F6B78"/>
        </w:rPr>
        <w:t xml:space="preserve">15. </w:t>
      </w:r>
      <w:r>
        <w:t>After the report was issued, what actions did you take regarding Delgado-Reyes’s employment? Did you discuss any adverse action with Cho, Embree, HR, or Legal?</w:t>
      </w:r>
    </w:p>
    <w:p>
      <w:pPr>
        <w:pStyle w:val="CounselNote"/>
      </w:pPr>
      <w:r>
        <w:rPr>
          <w:b/>
        </w:rPr>
        <w:t xml:space="preserve">Counsel note: </w:t>
      </w:r>
      <w:r>
        <w:t>Use the investigation report only if privilege is resolved. The report states the complaint was unsubstantiated, but also records that Whitford acknowledged the remarks and was counseled. Ask about his own communications and conduct; avoid asking for legal advice or counsel mental impressions.</w:t>
      </w:r>
    </w:p>
    <w:p>
      <w:pPr>
        <w:pStyle w:val="Heading1"/>
      </w:pPr>
      <w:r>
        <w:t>VII. Feb. 5, 2024 annual review: origin, data, and timing</w:t>
      </w:r>
    </w:p>
    <w:p>
      <w:pPr>
        <w:pStyle w:val="DepoQuestion"/>
      </w:pPr>
      <w:r>
        <w:rPr>
          <w:b/>
          <w:color w:val="0F6B78"/>
        </w:rPr>
        <w:t xml:space="preserve">1. </w:t>
      </w:r>
      <w:r>
        <w:t>When did you first begin drafting Delgado-Reyes’s 2023 review? Identify the first draft, author, creation date, revision history, and all reviewers.</w:t>
      </w:r>
    </w:p>
    <w:p>
      <w:pPr>
        <w:pStyle w:val="DepoQuestion"/>
      </w:pPr>
      <w:r>
        <w:rPr>
          <w:b/>
          <w:color w:val="0F6B78"/>
        </w:rPr>
        <w:t xml:space="preserve">2. </w:t>
      </w:r>
      <w:r>
        <w:t>Was the overall rating initially Exceeds, Meets, or another rating? What changed, when, by whom, and why? Identify each version and its metadata.</w:t>
      </w:r>
    </w:p>
    <w:p>
      <w:pPr>
        <w:pStyle w:val="DepoQuestion"/>
      </w:pPr>
      <w:r>
        <w:rPr>
          <w:b/>
          <w:color w:val="0F6B78"/>
        </w:rPr>
        <w:t xml:space="preserve">3. </w:t>
      </w:r>
      <w:r>
        <w:t>When did you decide she should receive Meets Expectations? Had you decided or discussed that rating before Jan. 8? What document proves the date?</w:t>
      </w:r>
    </w:p>
    <w:p>
      <w:pPr>
        <w:pStyle w:val="DepoQuestion"/>
      </w:pPr>
      <w:r>
        <w:rPr>
          <w:b/>
          <w:color w:val="0F6B78"/>
        </w:rPr>
        <w:t xml:space="preserve">4. </w:t>
      </w:r>
      <w:r>
        <w:t>Why was the review finalized Feb. 5, 2024, after she complained on Jan. 8? Were other SVP reviews completed earlier or later? Explain the ordinary calendar and any delay.</w:t>
      </w:r>
    </w:p>
    <w:p>
      <w:pPr>
        <w:pStyle w:val="DepoQuestion"/>
      </w:pPr>
      <w:r>
        <w:rPr>
          <w:b/>
          <w:color w:val="0F6B78"/>
        </w:rPr>
        <w:t xml:space="preserve">5. </w:t>
      </w:r>
      <w:r>
        <w:t>Did Cho review or approve the review? What edits or instructions did she provide? Did HR participate? Identify communications and routing history.</w:t>
      </w:r>
    </w:p>
    <w:p>
      <w:pPr>
        <w:pStyle w:val="DepoQuestion"/>
      </w:pPr>
      <w:r>
        <w:rPr>
          <w:b/>
          <w:color w:val="0F6B78"/>
        </w:rPr>
        <w:t xml:space="preserve">6. </w:t>
      </w:r>
      <w:r>
        <w:t>The review gives ratings of 2—Below Expectations for portfolio quality, origination, and operational compliance, and 3 for leadership and professional development. What rating rubric and calibration did you apply?</w:t>
      </w:r>
    </w:p>
    <w:p>
      <w:pPr>
        <w:pStyle w:val="DepoQuestion"/>
      </w:pPr>
      <w:r>
        <w:rPr>
          <w:b/>
          <w:color w:val="0F6B78"/>
        </w:rPr>
        <w:t xml:space="preserve">7. </w:t>
      </w:r>
      <w:r>
        <w:t>What specific contemporaneous 2023 documentation supported each rating of 2? Identify dates, emails, meeting notes, source reports, data extracts, and who created each.</w:t>
      </w:r>
    </w:p>
    <w:p>
      <w:pPr>
        <w:pStyle w:val="DepoQuestion"/>
      </w:pPr>
      <w:r>
        <w:rPr>
          <w:b/>
          <w:color w:val="0F6B78"/>
        </w:rPr>
        <w:t xml:space="preserve">8. </w:t>
      </w:r>
      <w:r>
        <w:t>The review says you communicated portfolio-quality concerns in regular one-on-ones throughout 2023. Identify each date, what was said, any expected correction, and the record. Did you ever tell her a PIP or termination was possible?</w:t>
      </w:r>
    </w:p>
    <w:p>
      <w:pPr>
        <w:pStyle w:val="DepoQuestion"/>
      </w:pPr>
      <w:r>
        <w:rPr>
          <w:b/>
          <w:color w:val="0F6B78"/>
        </w:rPr>
        <w:t xml:space="preserve">9. </w:t>
      </w:r>
      <w:r>
        <w:t>The review says you discussed timely reporting after the Q3 delay. When exactly? Did you know the IT outage affected the division and that a two-business-day extension was granted?</w:t>
      </w:r>
    </w:p>
    <w:p>
      <w:pPr>
        <w:pStyle w:val="DepoQuestion"/>
      </w:pPr>
      <w:r>
        <w:rPr>
          <w:b/>
          <w:color w:val="0F6B78"/>
        </w:rPr>
        <w:t xml:space="preserve">10. </w:t>
      </w:r>
      <w:r>
        <w:t>The review says her Q4 report was five business days late. What deadline and actual submission time did you use? Did you check your own inbox or the Jan. 10 email before finalizing the review?</w:t>
      </w:r>
    </w:p>
    <w:p>
      <w:pPr>
        <w:pStyle w:val="DepoQuestion"/>
      </w:pPr>
      <w:r>
        <w:rPr>
          <w:b/>
          <w:color w:val="0F6B78"/>
        </w:rPr>
        <w:t xml:space="preserve">11. </w:t>
      </w:r>
      <w:r>
        <w:t>The review describes $42.3 million against a $50 million target. How was her target set, who set it, and did you account for market conditions, territory, portfolio capacity, or assigned opportunities?</w:t>
      </w:r>
    </w:p>
    <w:p>
      <w:pPr>
        <w:pStyle w:val="DepoQuestion"/>
      </w:pPr>
      <w:r>
        <w:rPr>
          <w:b/>
          <w:color w:val="0F6B78"/>
        </w:rPr>
        <w:t xml:space="preserve">12. </w:t>
      </w:r>
      <w:r>
        <w:t>The review says she did not diversify and remained concentrated in traditional geographies/borrowers. Which discussions, directions, market segments, and missed opportunities support that criticism? Did you direct her to expand away from border/southern Arizona markets?</w:t>
      </w:r>
    </w:p>
    <w:p>
      <w:pPr>
        <w:pStyle w:val="DepoQuestion"/>
      </w:pPr>
      <w:r>
        <w:rPr>
          <w:b/>
          <w:color w:val="0F6B78"/>
        </w:rPr>
        <w:t xml:space="preserve">13. </w:t>
      </w:r>
      <w:r>
        <w:t>Did you evaluate her $42.3 million against the division SVP average of $38.7 million? What was the average and was she above it?</w:t>
      </w:r>
    </w:p>
    <w:p>
      <w:pPr>
        <w:pStyle w:val="DepoQuestion"/>
      </w:pPr>
      <w:r>
        <w:rPr>
          <w:b/>
          <w:color w:val="0F6B78"/>
        </w:rPr>
        <w:t xml:space="preserve">14. </w:t>
      </w:r>
      <w:r>
        <w:t>Did you evaluate the 2.4% delinquency against the 2.6% division average and the rates of Langley, Kowalski, Trujillo, and Marsh? If not, why not?</w:t>
      </w:r>
    </w:p>
    <w:p>
      <w:pPr>
        <w:pStyle w:val="DepoQuestion"/>
      </w:pPr>
      <w:r>
        <w:rPr>
          <w:b/>
          <w:color w:val="0F6B78"/>
        </w:rPr>
        <w:t xml:space="preserve">15. </w:t>
      </w:r>
      <w:r>
        <w:t>Why does the review say she should reduce delinquency by end of Q2 2024 and develop a business strategy by Mar. 31, but the PIP issued two weeks later imposes different and immediate 30-day objectives?</w:t>
      </w:r>
    </w:p>
    <w:p>
      <w:pPr>
        <w:pStyle w:val="DepoQuestion"/>
      </w:pPr>
      <w:r>
        <w:rPr>
          <w:b/>
          <w:color w:val="0F6B78"/>
        </w:rPr>
        <w:t xml:space="preserve">16. </w:t>
      </w:r>
      <w:r>
        <w:t>Did the review mention the Jan. 8 complaint, the three remarks, or any concern about the complaint? Was the rating or narrative altered because she complained? Explain your Feb. 5 state of mind.</w:t>
      </w:r>
    </w:p>
    <w:p>
      <w:pPr>
        <w:pStyle w:val="DepoQuestion"/>
      </w:pPr>
      <w:r>
        <w:rPr>
          <w:b/>
          <w:color w:val="0F6B78"/>
        </w:rPr>
        <w:t xml:space="preserve">17. </w:t>
      </w:r>
      <w:r>
        <w:t>Did Delgado-Reyes sign under protest and write “I disagree with this rating”? Did you discuss or respond to her disagreement? Was a rebuttal offered or attached?</w:t>
      </w:r>
    </w:p>
    <w:p>
      <w:pPr>
        <w:pStyle w:val="DepoQuestion"/>
      </w:pPr>
      <w:r>
        <w:rPr>
          <w:b/>
          <w:color w:val="0F6B78"/>
        </w:rPr>
        <w:t xml:space="preserve">18. </w:t>
      </w:r>
      <w:r>
        <w:t>The review says the next-level reviewer, Cho, reviewed and signed Feb. 5. What did she know about the complaint at that time, and what did you tell her about the review’s timing and basis?</w:t>
      </w:r>
    </w:p>
    <w:p>
      <w:pPr>
        <w:pStyle w:val="CounselNote"/>
      </w:pPr>
      <w:r>
        <w:rPr>
          <w:b/>
        </w:rPr>
        <w:t xml:space="preserve">Counsel note: </w:t>
      </w:r>
      <w:r>
        <w:t>Seek native review file, audit trail, comments, calendar/one-on-one notes, and system timestamps. The HR report’s “in process” statement is a significant chronology inconsistency; get Whitford’s explanation before confronting with the document.</w:t>
      </w:r>
    </w:p>
    <w:p>
      <w:pPr>
        <w:pStyle w:val="Heading1"/>
      </w:pPr>
      <w:r>
        <w:t>VIII. Feb. 18 email to Cho: “the complaint and her numbers”</w:t>
      </w:r>
    </w:p>
    <w:p>
      <w:pPr>
        <w:pStyle w:val="DepoQuestion"/>
      </w:pPr>
      <w:r>
        <w:rPr>
          <w:b/>
          <w:color w:val="0F6B78"/>
        </w:rPr>
        <w:t xml:space="preserve">1. </w:t>
      </w:r>
      <w:r>
        <w:t>Please read the Feb. 18 email chain. Did you send the initial message to Cho? Did you write “Between the complaint and her numbers, I think we need to move quickly”?</w:t>
      </w:r>
    </w:p>
    <w:p>
      <w:pPr>
        <w:pStyle w:val="DepoQuestion"/>
      </w:pPr>
      <w:r>
        <w:rPr>
          <w:b/>
          <w:color w:val="0F6B78"/>
        </w:rPr>
        <w:t xml:space="preserve">2. </w:t>
      </w:r>
      <w:r>
        <w:t>What specifically did “the complaint” mean to you? Were you referring to Delgado-Reyes’s Jan. 8 discrimination complaint or something else?</w:t>
      </w:r>
    </w:p>
    <w:p>
      <w:pPr>
        <w:pStyle w:val="DepoQuestion"/>
      </w:pPr>
      <w:r>
        <w:rPr>
          <w:b/>
          <w:color w:val="0F6B78"/>
        </w:rPr>
        <w:t xml:space="preserve">3. </w:t>
      </w:r>
      <w:r>
        <w:t>What did “her numbers” refer to? Identify each metric, the source, and when you first selected it as a basis for action.</w:t>
      </w:r>
    </w:p>
    <w:p>
      <w:pPr>
        <w:pStyle w:val="DepoQuestion"/>
      </w:pPr>
      <w:r>
        <w:rPr>
          <w:b/>
          <w:color w:val="0F6B78"/>
        </w:rPr>
        <w:t xml:space="preserve">4. </w:t>
      </w:r>
      <w:r>
        <w:t>What did “move quickly” mean? What action did you intend to take, and by what date?</w:t>
      </w:r>
    </w:p>
    <w:p>
      <w:pPr>
        <w:pStyle w:val="DepoQuestion"/>
      </w:pPr>
      <w:r>
        <w:rPr>
          <w:b/>
          <w:color w:val="0F6B78"/>
        </w:rPr>
        <w:t xml:space="preserve">5. </w:t>
      </w:r>
      <w:r>
        <w:t>What did you mean by “I don’t want this to linger and become a bigger problem”? What was “this,” and what bigger problem did you anticipate?</w:t>
      </w:r>
    </w:p>
    <w:p>
      <w:pPr>
        <w:pStyle w:val="DepoQuestion"/>
      </w:pPr>
      <w:r>
        <w:rPr>
          <w:b/>
          <w:color w:val="0F6B78"/>
        </w:rPr>
        <w:t xml:space="preserve">6. </w:t>
      </w:r>
      <w:r>
        <w:t>When you wrote “She’s had a good run but I think it’s time,” what was “it” that you thought was time for? Had you already decided to terminate or to issue a PIP?</w:t>
      </w:r>
    </w:p>
    <w:p>
      <w:pPr>
        <w:pStyle w:val="DepoQuestion"/>
      </w:pPr>
      <w:r>
        <w:rPr>
          <w:b/>
          <w:color w:val="0F6B78"/>
        </w:rPr>
        <w:t xml:space="preserve">7. </w:t>
      </w:r>
      <w:r>
        <w:t>Had you decided on the PIP before Feb. 18? When did you start preparing it? Did the complaint cause or accelerate the PIP, review, or termination decision in any way?</w:t>
      </w:r>
    </w:p>
    <w:p>
      <w:pPr>
        <w:pStyle w:val="DepoQuestion"/>
      </w:pPr>
      <w:r>
        <w:rPr>
          <w:b/>
          <w:color w:val="0F6B78"/>
        </w:rPr>
        <w:t xml:space="preserve">8. </w:t>
      </w:r>
      <w:r>
        <w:t>Cho responded that HR should sign off and that you should be careful given the “open investigation.” What did you understand that warning to mean?</w:t>
      </w:r>
    </w:p>
    <w:p>
      <w:pPr>
        <w:pStyle w:val="DepoQuestion"/>
      </w:pPr>
      <w:r>
        <w:rPr>
          <w:b/>
          <w:color w:val="0F6B78"/>
        </w:rPr>
        <w:t xml:space="preserve">9. </w:t>
      </w:r>
      <w:r>
        <w:t>The investigation report is dated Feb. 12. Why did Cho refer on Feb. 18 to an “open investigation”? What did you tell her about its status?</w:t>
      </w:r>
    </w:p>
    <w:p>
      <w:pPr>
        <w:pStyle w:val="DepoQuestion"/>
      </w:pPr>
      <w:r>
        <w:rPr>
          <w:b/>
          <w:color w:val="0F6B78"/>
        </w:rPr>
        <w:t xml:space="preserve">10. </w:t>
      </w:r>
      <w:r>
        <w:t>Did you respond, “Investigation is closed. Embree said unsubstantiated. I’ll have the PIP ready by Wednesday”? Did you understand the unsubstantiated finding as permission to proceed with adverse action?</w:t>
      </w:r>
    </w:p>
    <w:p>
      <w:pPr>
        <w:pStyle w:val="DepoQuestion"/>
      </w:pPr>
      <w:r>
        <w:rPr>
          <w:b/>
          <w:color w:val="0F6B78"/>
        </w:rPr>
        <w:t xml:space="preserve">11. </w:t>
      </w:r>
      <w:r>
        <w:t>What HR sign-off did Cho mean? Did you obtain it before issuance? Identify the person, date, written approval, or document.</w:t>
      </w:r>
    </w:p>
    <w:p>
      <w:pPr>
        <w:pStyle w:val="DepoQuestion"/>
      </w:pPr>
      <w:r>
        <w:rPr>
          <w:b/>
          <w:color w:val="0F6B78"/>
        </w:rPr>
        <w:t xml:space="preserve">12. </w:t>
      </w:r>
      <w:r>
        <w:t>The displayed email headers show 3:22 p.m., 4:15 p.m., and 4:47 p.m. Mountain Standard Time in the quoted chain, while the top message is a reply. Confirm the actual order, date, time zone, recipients, complete thread, and whether any messages or attachments are omitted.</w:t>
      </w:r>
    </w:p>
    <w:p>
      <w:pPr>
        <w:pStyle w:val="DepoQuestion"/>
      </w:pPr>
      <w:r>
        <w:rPr>
          <w:b/>
          <w:color w:val="0F6B78"/>
        </w:rPr>
        <w:t xml:space="preserve">13. </w:t>
      </w:r>
      <w:r>
        <w:t>Who else received, was copied on, forwarded, or discussed this chain? Did you communicate the same plan by phone, text, meeting, or another email?</w:t>
      </w:r>
    </w:p>
    <w:p>
      <w:pPr>
        <w:pStyle w:val="CounselNote"/>
      </w:pPr>
      <w:r>
        <w:rPr>
          <w:b/>
        </w:rPr>
        <w:t xml:space="preserve">Counsel note: </w:t>
      </w:r>
      <w:r>
        <w:t>Have the witness distinguish the exact email content from later characterization. Obtain full native message files, headers, attachments, and mailbox export; do not rely only on the flattened .eml transcript.</w:t>
      </w:r>
    </w:p>
    <w:p>
      <w:pPr>
        <w:pStyle w:val="Heading1"/>
      </w:pPr>
      <w:r>
        <w:t>IX. Performance data, targets, and comparator treatment</w:t>
      </w:r>
    </w:p>
    <w:p>
      <w:pPr>
        <w:pStyle w:val="DepoQuestion"/>
      </w:pPr>
      <w:r>
        <w:rPr>
          <w:b/>
          <w:color w:val="0F6B78"/>
        </w:rPr>
        <w:t xml:space="preserve">1. </w:t>
      </w:r>
      <w:r>
        <w:t>Who prepared the FY2023 SVP performance spreadsheet, from what source systems, and for what purpose? Did you review or rely on it? Is it complete and accurate?</w:t>
      </w:r>
    </w:p>
    <w:p>
      <w:pPr>
        <w:pStyle w:val="DepoQuestion"/>
      </w:pPr>
      <w:r>
        <w:rPr>
          <w:b/>
          <w:color w:val="0F6B78"/>
        </w:rPr>
        <w:t xml:space="preserve">2. </w:t>
      </w:r>
      <w:r>
        <w:t>For Delgado-Reyes, the sheet shows a 2.4% delinquency rate against a 2.0% target and a 2.6% division average. Were those figures accurate? What data and denominator produce them?</w:t>
      </w:r>
    </w:p>
    <w:p>
      <w:pPr>
        <w:pStyle w:val="DepoQuestion"/>
      </w:pPr>
      <w:r>
        <w:rPr>
          <w:b/>
          <w:color w:val="0F6B78"/>
        </w:rPr>
        <w:t xml:space="preserve">3. </w:t>
      </w:r>
      <w:r>
        <w:t>Why describe 2.4% as a significant shortfall when it was 0.2 percentage points below the division average? What did the 2.0% target mean in practice, and was exceeding it always grounds for discipline?</w:t>
      </w:r>
    </w:p>
    <w:p>
      <w:pPr>
        <w:pStyle w:val="DepoQuestion"/>
      </w:pPr>
      <w:r>
        <w:rPr>
          <w:b/>
          <w:color w:val="0F6B78"/>
        </w:rPr>
        <w:t xml:space="preserve">4. </w:t>
      </w:r>
      <w:r>
        <w:t>Langley’s delinquency was 3.1%, Kowalski’s was 2.8%, and Trujillo’s was 2.8%. Were all subject to the same 2.0% target and evaluation standards? What action did you take for each?</w:t>
      </w:r>
    </w:p>
    <w:p>
      <w:pPr>
        <w:pStyle w:val="DepoQuestion"/>
      </w:pPr>
      <w:r>
        <w:rPr>
          <w:b/>
          <w:color w:val="0F6B78"/>
        </w:rPr>
        <w:t xml:space="preserve">5. </w:t>
      </w:r>
      <w:r>
        <w:t>Langley had three defaults totaling $4.7 million; Delgado-Reyes had two totaling $3.1 million. Did you compare default count and amount before placing her on a PIP? Why was Langley not placed on a PIP or disciplined?</w:t>
      </w:r>
    </w:p>
    <w:p>
      <w:pPr>
        <w:pStyle w:val="DepoQuestion"/>
      </w:pPr>
      <w:r>
        <w:rPr>
          <w:b/>
          <w:color w:val="0F6B78"/>
        </w:rPr>
        <w:t xml:space="preserve">6. </w:t>
      </w:r>
      <w:r>
        <w:t>Kowalski had two defaults totaling $2.9 million and a 2.8% delinquency rate. Was he placed on a PIP, formally disciplined, warned, or terminated? If not, why not?</w:t>
      </w:r>
    </w:p>
    <w:p>
      <w:pPr>
        <w:pStyle w:val="DepoQuestion"/>
      </w:pPr>
      <w:r>
        <w:rPr>
          <w:b/>
          <w:color w:val="0F6B78"/>
        </w:rPr>
        <w:t xml:space="preserve">7. </w:t>
      </w:r>
      <w:r>
        <w:t>For origination, Delgado-Reyes produced $42.3 million; Langley $36.1 million; Kowalski $39.4 million; Trujillo $22.9 million; the SVP average was $38.7 million. Are these figures accurate?</w:t>
      </w:r>
    </w:p>
    <w:p>
      <w:pPr>
        <w:pStyle w:val="DepoQuestion"/>
      </w:pPr>
      <w:r>
        <w:rPr>
          <w:b/>
          <w:color w:val="0F6B78"/>
        </w:rPr>
        <w:t xml:space="preserve">8. </w:t>
      </w:r>
      <w:r>
        <w:t>Why was Delgado-Reyes’s $42.3 million production called inadequate while the lower production of Langley and Kowalski did not result in a PIP or discipline?</w:t>
      </w:r>
    </w:p>
    <w:p>
      <w:pPr>
        <w:pStyle w:val="DepoQuestion"/>
      </w:pPr>
      <w:r>
        <w:rPr>
          <w:b/>
          <w:color w:val="0F6B78"/>
        </w:rPr>
        <w:t xml:space="preserve">9. </w:t>
      </w:r>
      <w:r>
        <w:t>Did you consider that the 2023 market downturn affected the whole division? What evidence showed her market-specific opportunities or support were different from those of her peers?</w:t>
      </w:r>
    </w:p>
    <w:p>
      <w:pPr>
        <w:pStyle w:val="DepoQuestion"/>
      </w:pPr>
      <w:r>
        <w:rPr>
          <w:b/>
          <w:color w:val="0F6B78"/>
        </w:rPr>
        <w:t xml:space="preserve">10. </w:t>
      </w:r>
      <w:r>
        <w:t>Were the comparators the same title, division, supervisor, fiscal year, target, evaluation criteria, and decision process? Identify any material difference and the document establishing it.</w:t>
      </w:r>
    </w:p>
    <w:p>
      <w:pPr>
        <w:pStyle w:val="DepoQuestion"/>
      </w:pPr>
      <w:r>
        <w:rPr>
          <w:b/>
          <w:color w:val="0F6B78"/>
        </w:rPr>
        <w:t xml:space="preserve">11. </w:t>
      </w:r>
      <w:r>
        <w:t>Who were the five SVPs included in the average? Why does the spreadsheet show division totals and say one of five SVPs was PIP’d/terminated? Confirm the “one” was Delgado-Reyes.</w:t>
      </w:r>
    </w:p>
    <w:p>
      <w:pPr>
        <w:pStyle w:val="DepoQuestion"/>
      </w:pPr>
      <w:r>
        <w:rPr>
          <w:b/>
          <w:color w:val="0F6B78"/>
        </w:rPr>
        <w:t xml:space="preserve">12. </w:t>
      </w:r>
      <w:r>
        <w:t>The sheet shows David Trujillo received Below Expectations and verbal coaching in October 2023 for origination pace, but no PIP or termination. What coaching did you provide, how was it documented, and why was a PIP not used?</w:t>
      </w:r>
    </w:p>
    <w:p>
      <w:pPr>
        <w:pStyle w:val="DepoQuestion"/>
      </w:pPr>
      <w:r>
        <w:rPr>
          <w:b/>
          <w:color w:val="0F6B78"/>
        </w:rPr>
        <w:t xml:space="preserve">13. </w:t>
      </w:r>
      <w:r>
        <w:t>The sheet shows Marsh had 1.9% delinquency and $52.8 million originations. Did you use her as a benchmark? How did portfolio size, territory, credit mix, and assignments differ?</w:t>
      </w:r>
    </w:p>
    <w:p>
      <w:pPr>
        <w:pStyle w:val="DepoQuestion"/>
      </w:pPr>
      <w:r>
        <w:rPr>
          <w:b/>
          <w:color w:val="0F6B78"/>
        </w:rPr>
        <w:t xml:space="preserve">14. </w:t>
      </w:r>
      <w:r>
        <w:t>Did you compare performance and discipline across all SVPs before the PIP? Who performed that analysis and when? Where is the written comparator review?</w:t>
      </w:r>
    </w:p>
    <w:p>
      <w:pPr>
        <w:pStyle w:val="DepoQuestion"/>
      </w:pPr>
      <w:r>
        <w:rPr>
          <w:b/>
          <w:color w:val="0F6B78"/>
        </w:rPr>
        <w:t xml:space="preserve">15. </w:t>
      </w:r>
      <w:r>
        <w:t>Were any other SVPs with Meets or Below Expectations ratings placed on PIPs, formally disciplined, or terminated during 2023–2024? Identify them and their metrics.</w:t>
      </w:r>
    </w:p>
    <w:p>
      <w:pPr>
        <w:pStyle w:val="DepoQuestion"/>
      </w:pPr>
      <w:r>
        <w:rPr>
          <w:b/>
          <w:color w:val="0F6B78"/>
        </w:rPr>
        <w:t xml:space="preserve">16. </w:t>
      </w:r>
      <w:r>
        <w:t>What discipline did Langley, Kowalski, and Trujillo receive during the relevant period, including informal coaching, warnings, scrutiny, or account changes? What records document it?</w:t>
      </w:r>
    </w:p>
    <w:p>
      <w:pPr>
        <w:pStyle w:val="DepoQuestion"/>
      </w:pPr>
      <w:r>
        <w:rPr>
          <w:b/>
          <w:color w:val="0F6B78"/>
        </w:rPr>
        <w:t xml:space="preserve">17. </w:t>
      </w:r>
      <w:r>
        <w:t>Did race, ethnicity, sex, age, complaint history, or territory factor into how you selected employees for scrutiny or PIP? Explain how consistent standards were ensured.</w:t>
      </w:r>
    </w:p>
    <w:p>
      <w:pPr>
        <w:pStyle w:val="CounselNote"/>
      </w:pPr>
      <w:r>
        <w:rPr>
          <w:b/>
        </w:rPr>
        <w:t xml:space="preserve">Counsel note: </w:t>
      </w:r>
      <w:r>
        <w:t>Avoid overstating that every comparator was identical in all respects; develop exact differences, same supervisor/targets, relative metrics, and actual action. Include Trujillo as a potentially important comparator/defense fact, not just Langley and Kowalski.</w:t>
      </w:r>
    </w:p>
    <w:p>
      <w:pPr>
        <w:pStyle w:val="Heading1"/>
      </w:pPr>
      <w:r>
        <w:t>X. PIP: preparation, policy safeguards, and feasibility</w:t>
      </w:r>
    </w:p>
    <w:p>
      <w:pPr>
        <w:pStyle w:val="DepoQuestion"/>
      </w:pPr>
      <w:r>
        <w:rPr>
          <w:b/>
          <w:color w:val="0F6B78"/>
        </w:rPr>
        <w:t xml:space="preserve">1. </w:t>
      </w:r>
      <w:r>
        <w:t>When did you first decide to place Delgado-Reyes on a PIP? Who proposed it, drafted it, edited it, and approved it? Identify every version and its creation date.</w:t>
      </w:r>
    </w:p>
    <w:p>
      <w:pPr>
        <w:pStyle w:val="DepoQuestion"/>
      </w:pPr>
      <w:r>
        <w:rPr>
          <w:b/>
          <w:color w:val="0F6B78"/>
        </w:rPr>
        <w:t xml:space="preserve">2. </w:t>
      </w:r>
      <w:r>
        <w:t>What standards or handbook provision governed PIPs? The PIP cites Employee Handbook §5.3; identify that version and any related policy that controlled when a recent complainant was placed on a PIP.</w:t>
      </w:r>
    </w:p>
    <w:p>
      <w:pPr>
        <w:pStyle w:val="DepoQuestion"/>
      </w:pPr>
      <w:r>
        <w:rPr>
          <w:b/>
          <w:color w:val="0F6B78"/>
        </w:rPr>
        <w:t xml:space="preserve">3. </w:t>
      </w:r>
      <w:r>
        <w:t>Did you know that Delgado-Reyes had filed a complaint within the preceding 12 months and that the complaint was against you? What did you understand policy HR-POL-007 §7.7 required?</w:t>
      </w:r>
    </w:p>
    <w:p>
      <w:pPr>
        <w:pStyle w:val="DepoQuestion"/>
      </w:pPr>
      <w:r>
        <w:rPr>
          <w:b/>
          <w:color w:val="0F6B78"/>
        </w:rPr>
        <w:t xml:space="preserve">4. </w:t>
      </w:r>
      <w:r>
        <w:t>Before issuing it, did the divisional VP of HR and Chief Human Resources Officer each provide written approval? Identify each writing, date, and signatory.</w:t>
      </w:r>
    </w:p>
    <w:p>
      <w:pPr>
        <w:pStyle w:val="DepoQuestion"/>
      </w:pPr>
      <w:r>
        <w:rPr>
          <w:b/>
          <w:color w:val="0F6B78"/>
        </w:rPr>
        <w:t xml:space="preserve">5. </w:t>
      </w:r>
      <w:r>
        <w:t>The PIP bears your and Embree’s signatures, but no CHRO signature. Was that signature intended as the required written approval or only HR acknowledgment? What proves compliance?</w:t>
      </w:r>
    </w:p>
    <w:p>
      <w:pPr>
        <w:pStyle w:val="DepoQuestion"/>
      </w:pPr>
      <w:r>
        <w:rPr>
          <w:b/>
          <w:color w:val="0F6B78"/>
        </w:rPr>
        <w:t xml:space="preserve">6. </w:t>
      </w:r>
      <w:r>
        <w:t>Did you certify in writing that each deficiency existed and was documented before Jan. 8, or arose afterward and was supported by objective evidence independent of your subjective judgment? Where is the certification?</w:t>
      </w:r>
    </w:p>
    <w:p>
      <w:pPr>
        <w:pStyle w:val="DepoQuestion"/>
      </w:pPr>
      <w:r>
        <w:rPr>
          <w:b/>
          <w:color w:val="0F6B78"/>
        </w:rPr>
        <w:t xml:space="preserve">7. </w:t>
      </w:r>
      <w:r>
        <w:t>Did Embree independently review the PIP criteria, the underlying data, and performance of similarly situated SVPs before issuance? What written review did she prepare and provide to the CHRO?</w:t>
      </w:r>
    </w:p>
    <w:p>
      <w:pPr>
        <w:pStyle w:val="DepoQuestion"/>
      </w:pPr>
      <w:r>
        <w:rPr>
          <w:b/>
          <w:color w:val="0F6B78"/>
        </w:rPr>
        <w:t xml:space="preserve">8. </w:t>
      </w:r>
      <w:r>
        <w:t>Did you submit the memorandum, supporting documents, and business justification required by §7.4.2 before taking the action? Who reviewed it and when?</w:t>
      </w:r>
    </w:p>
    <w:p>
      <w:pPr>
        <w:pStyle w:val="DepoQuestion"/>
      </w:pPr>
      <w:r>
        <w:rPr>
          <w:b/>
          <w:color w:val="0F6B78"/>
        </w:rPr>
        <w:t xml:space="preserve">9. </w:t>
      </w:r>
      <w:r>
        <w:t>Did the CHRO consult with General Counsel, and did they jointly give prior written approval acknowledging the complaint, the complainant, the complaint date, and non-retaliatory basis? Identify the writing.</w:t>
      </w:r>
    </w:p>
    <w:p>
      <w:pPr>
        <w:pStyle w:val="DepoQuestion"/>
      </w:pPr>
      <w:r>
        <w:rPr>
          <w:b/>
          <w:color w:val="0F6B78"/>
        </w:rPr>
        <w:t xml:space="preserve">10. </w:t>
      </w:r>
      <w:r>
        <w:t>What contemporaneous document shows that comparable employees were treated similarly, that timing was coincidental, and that the action was not causally related to the complaint, as §7.4.3 requires?</w:t>
      </w:r>
    </w:p>
    <w:p>
      <w:pPr>
        <w:pStyle w:val="DepoQuestion"/>
      </w:pPr>
      <w:r>
        <w:rPr>
          <w:b/>
          <w:color w:val="0F6B78"/>
        </w:rPr>
        <w:t xml:space="preserve">11. </w:t>
      </w:r>
      <w:r>
        <w:t>Did you know the policy’s 90-day protected period began upon receipt Jan. 8 and applied even after the investigation closed? What end date did you calculate?</w:t>
      </w:r>
    </w:p>
    <w:p>
      <w:pPr>
        <w:pStyle w:val="DepoQuestion"/>
      </w:pPr>
      <w:r>
        <w:rPr>
          <w:b/>
          <w:color w:val="0F6B78"/>
        </w:rPr>
        <w:t xml:space="preserve">12. </w:t>
      </w:r>
      <w:r>
        <w:t>What prior performance deficiencies were documented before Jan. 8? For each, identify dated evidence and whether it was shared with Delgado-Reyes at the time.</w:t>
      </w:r>
    </w:p>
    <w:p>
      <w:pPr>
        <w:pStyle w:val="DepoQuestion"/>
      </w:pPr>
      <w:r>
        <w:rPr>
          <w:b/>
          <w:color w:val="0F6B78"/>
        </w:rPr>
        <w:t xml:space="preserve">13. </w:t>
      </w:r>
      <w:r>
        <w:t>Why did the PIP repeat the review’s three categories and allegations? Were those grounds selected before or after her complaint? Who chose them?</w:t>
      </w:r>
    </w:p>
    <w:p>
      <w:pPr>
        <w:pStyle w:val="DepoQuestion"/>
      </w:pPr>
      <w:r>
        <w:rPr>
          <w:b/>
          <w:color w:val="0F6B78"/>
        </w:rPr>
        <w:t xml:space="preserve">14. </w:t>
      </w:r>
      <w:r>
        <w:t>Why was a 30-day PIP chosen? Were 30-day PIPs typical for SVPs? How many days elapsed between issuance and termination? Did you consider the time needed for new loan funding or delinquency reduction?</w:t>
      </w:r>
    </w:p>
    <w:p>
      <w:pPr>
        <w:pStyle w:val="DepoQuestion"/>
      </w:pPr>
      <w:r>
        <w:rPr>
          <w:b/>
          <w:color w:val="0F6B78"/>
        </w:rPr>
        <w:t xml:space="preserve">15. </w:t>
      </w:r>
      <w:r>
        <w:t>The PIP required delinquency at or below 2.0% by Mar. 21. How could a portfolio manager control or reduce an existing delinquency rate within 30 days? What calculation, baseline, and credit events would count?</w:t>
      </w:r>
    </w:p>
    <w:p>
      <w:pPr>
        <w:pStyle w:val="DepoQuestion"/>
      </w:pPr>
      <w:r>
        <w:rPr>
          <w:b/>
          <w:color w:val="0F6B78"/>
        </w:rPr>
        <w:t xml:space="preserve">16. </w:t>
      </w:r>
      <w:r>
        <w:t>The PIP required $4.5 million in new originations or formally committed proposals, eight new business-development meetings, weekly pipeline reports, and written meeting summaries. How was $4.5 million derived, and did “committed proposals” have an objective definition?</w:t>
      </w:r>
    </w:p>
    <w:p>
      <w:pPr>
        <w:pStyle w:val="DepoQuestion"/>
      </w:pPr>
      <w:r>
        <w:rPr>
          <w:b/>
          <w:color w:val="0F6B78"/>
        </w:rPr>
        <w:t xml:space="preserve">17. </w:t>
      </w:r>
      <w:r>
        <w:t>Were the PIP benchmarks applied to other SVPs? Did any comparator have a comparable 30-day goal? Identify examples and outcomes.</w:t>
      </w:r>
    </w:p>
    <w:p>
      <w:pPr>
        <w:pStyle w:val="DepoQuestion"/>
      </w:pPr>
      <w:r>
        <w:rPr>
          <w:b/>
          <w:color w:val="0F6B78"/>
        </w:rPr>
        <w:t xml:space="preserve">18. </w:t>
      </w:r>
      <w:r>
        <w:t>The PIP required timely reports and confirmation of deadlines within five business days. Which reports were due during the PIP, what were the dates, and what evidence shows failure?</w:t>
      </w:r>
    </w:p>
    <w:p>
      <w:pPr>
        <w:pStyle w:val="DepoQuestion"/>
      </w:pPr>
      <w:r>
        <w:rPr>
          <w:b/>
          <w:color w:val="0F6B78"/>
        </w:rPr>
        <w:t xml:space="preserve">19. </w:t>
      </w:r>
      <w:r>
        <w:t>What specific coaching, credit risk consultation, business development assistance, and weekly Tuesday meetings were actually provided? Identify each date, participant, materials, and follow-up.</w:t>
      </w:r>
    </w:p>
    <w:p>
      <w:pPr>
        <w:pStyle w:val="DepoQuestion"/>
      </w:pPr>
      <w:r>
        <w:rPr>
          <w:b/>
          <w:color w:val="0F6B78"/>
        </w:rPr>
        <w:t xml:space="preserve">20. </w:t>
      </w:r>
      <w:r>
        <w:t>Did you meet with Delgado-Reyes weekly as promised? Did a Feb. 27 or Mar. 5 meeting occur? If not, why not? Where are notes or cancellations?</w:t>
      </w:r>
    </w:p>
    <w:p>
      <w:pPr>
        <w:pStyle w:val="DepoQuestion"/>
      </w:pPr>
      <w:r>
        <w:rPr>
          <w:b/>
          <w:color w:val="0F6B78"/>
        </w:rPr>
        <w:t xml:space="preserve">21. </w:t>
      </w:r>
      <w:r>
        <w:t>Did you or another independent person inform her in writing, before Mar. 14, that she was failing a PIP goal, identify the deficiency, or give her a chance to correct it?</w:t>
      </w:r>
    </w:p>
    <w:p>
      <w:pPr>
        <w:pStyle w:val="DepoQuestion"/>
      </w:pPr>
      <w:r>
        <w:rPr>
          <w:b/>
          <w:color w:val="0F6B78"/>
        </w:rPr>
        <w:t xml:space="preserve">22. </w:t>
      </w:r>
      <w:r>
        <w:t>The PIP says failure to meet objectives “may” result in action and reserves a right to terminate at any time. Did you understand §7.7(e) nevertheless required the full period absent independent misconduct? What misconduct did you claim?</w:t>
      </w:r>
    </w:p>
    <w:p>
      <w:pPr>
        <w:pStyle w:val="DepoQuestion"/>
      </w:pPr>
      <w:r>
        <w:rPr>
          <w:b/>
          <w:color w:val="0F6B78"/>
        </w:rPr>
        <w:t xml:space="preserve">23. </w:t>
      </w:r>
      <w:r>
        <w:t>Was there any fraud, theft, violence, gross misconduct, or other non-performance conduct that could justify summary dismissal? Identify it. If none, why terminate before Mar. 21?</w:t>
      </w:r>
    </w:p>
    <w:p>
      <w:pPr>
        <w:pStyle w:val="DepoQuestion"/>
      </w:pPr>
      <w:r>
        <w:rPr>
          <w:b/>
          <w:color w:val="0F6B78"/>
        </w:rPr>
        <w:t xml:space="preserve">24. </w:t>
      </w:r>
      <w:r>
        <w:t>Did Embree sign the PIP on Feb. 20? What did her signature mean? Did anyone from the CHRO or General Counsel approve it in writing before it was given to Delgado-Reyes?</w:t>
      </w:r>
    </w:p>
    <w:p>
      <w:pPr>
        <w:pStyle w:val="DepoQuestion"/>
      </w:pPr>
      <w:r>
        <w:rPr>
          <w:b/>
          <w:color w:val="0F6B78"/>
        </w:rPr>
        <w:t xml:space="preserve">25. </w:t>
      </w:r>
      <w:r>
        <w:t>Did the PIP include objective, verifiable criteria applied consistently, as §7.7(b) requires? What criteria were subjective or dependent on your judgment?</w:t>
      </w:r>
    </w:p>
    <w:p>
      <w:pPr>
        <w:pStyle w:val="CounselNote"/>
      </w:pPr>
      <w:r>
        <w:rPr>
          <w:b/>
        </w:rPr>
        <w:t xml:space="preserve">Counsel note: </w:t>
      </w:r>
      <w:r>
        <w:t>Pin down the written-document trail, not merely oral “HR sign-off.” The policy requires both §§7.4 and 7.7 safeguards for this PIP; distinguish required pre-issuance approval and contemporaneous certification from an HR acknowledgment on the form.</w:t>
      </w:r>
    </w:p>
    <w:p>
      <w:pPr>
        <w:pStyle w:val="Heading1"/>
      </w:pPr>
      <w:r>
        <w:t>XI. PIP bases: allegation-by-allegation testing</w:t>
      </w:r>
    </w:p>
    <w:p>
      <w:pPr>
        <w:pStyle w:val="DepoQuestion"/>
      </w:pPr>
      <w:r>
        <w:rPr>
          <w:b/>
          <w:color w:val="0F6B78"/>
        </w:rPr>
        <w:t xml:space="preserve">1. </w:t>
      </w:r>
      <w:r>
        <w:t>For the Q3 report, what was the original due date, when was the system outage, what was the adjusted deadline, and when did you believe Delgado-Reyes submitted her report?</w:t>
      </w:r>
    </w:p>
    <w:p>
      <w:pPr>
        <w:pStyle w:val="DepoQuestion"/>
      </w:pPr>
      <w:r>
        <w:rPr>
          <w:b/>
          <w:color w:val="0F6B78"/>
        </w:rPr>
        <w:t xml:space="preserve">2. </w:t>
      </w:r>
      <w:r>
        <w:t>Before accusing her of being three business days late, did you read IT Ticket SR-20231002-4471? Did you know the entire Southwest division was affected and users received a two-business-day extension through Oct. 4?</w:t>
      </w:r>
    </w:p>
    <w:p>
      <w:pPr>
        <w:pStyle w:val="DepoQuestion"/>
      </w:pPr>
      <w:r>
        <w:rPr>
          <w:b/>
          <w:color w:val="0F6B78"/>
        </w:rPr>
        <w:t xml:space="preserve">3. </w:t>
      </w:r>
      <w:r>
        <w:t>Did you receive the Oct. 3 extension notice or discuss it with IT/management? Was Delgado-Reyes among the users covered? What document supports excluding her?</w:t>
      </w:r>
    </w:p>
    <w:p>
      <w:pPr>
        <w:pStyle w:val="DepoQuestion"/>
      </w:pPr>
      <w:r>
        <w:rPr>
          <w:b/>
          <w:color w:val="0F6B78"/>
        </w:rPr>
        <w:t xml:space="preserve">4. </w:t>
      </w:r>
      <w:r>
        <w:t>If her report was one business day late against the original deadline but within the authorized extension, why did the PIP call it late? Identify the exact submission date and any rule under which it remained late.</w:t>
      </w:r>
    </w:p>
    <w:p>
      <w:pPr>
        <w:pStyle w:val="DepoQuestion"/>
      </w:pPr>
      <w:r>
        <w:rPr>
          <w:b/>
          <w:color w:val="0F6B78"/>
        </w:rPr>
        <w:t xml:space="preserve">5. </w:t>
      </w:r>
      <w:r>
        <w:t>For Q4, what was the deadline? Did you receive her risk-report email on Jan. 10? Please identify the message, sent/received timestamps, time zones, and whether you opened the attachment.</w:t>
      </w:r>
    </w:p>
    <w:p>
      <w:pPr>
        <w:pStyle w:val="DepoQuestion"/>
      </w:pPr>
      <w:r>
        <w:rPr>
          <w:b/>
          <w:color w:val="0F6B78"/>
        </w:rPr>
        <w:t xml:space="preserve">6. </w:t>
      </w:r>
      <w:r>
        <w:t>Why does the PIP say Q4 was approximately five business days late when the email transmitted the report on Jan. 10 and the established deadline was 5:00 p.m. that day?</w:t>
      </w:r>
    </w:p>
    <w:p>
      <w:pPr>
        <w:pStyle w:val="DepoQuestion"/>
      </w:pPr>
      <w:r>
        <w:rPr>
          <w:b/>
          <w:color w:val="0F6B78"/>
        </w:rPr>
        <w:t xml:space="preserve">7. </w:t>
      </w:r>
      <w:r>
        <w:t>Did you check your inbox, sent/received records, risk reporting system, or email headers before signing the PIP? If not, why did you state the report was five days late?</w:t>
      </w:r>
    </w:p>
    <w:p>
      <w:pPr>
        <w:pStyle w:val="DepoQuestion"/>
      </w:pPr>
      <w:r>
        <w:rPr>
          <w:b/>
          <w:color w:val="0F6B78"/>
        </w:rPr>
        <w:t xml:space="preserve">8. </w:t>
      </w:r>
      <w:r>
        <w:t>The Q4 email header in the produced file shows 04:47 -0000 on Jan. 10, which converts to the prior evening in Arizona; the complaint describes 4:47 p.m. Arizona time. Which timestamp is accurate, and what native metadata can resolve it? Either timestamp appears before the Jan. 10, 5 p.m. Arizona deadline—do you dispute that?</w:t>
      </w:r>
    </w:p>
    <w:p>
      <w:pPr>
        <w:pStyle w:val="DepoQuestion"/>
      </w:pPr>
      <w:r>
        <w:rPr>
          <w:b/>
          <w:color w:val="0F6B78"/>
        </w:rPr>
        <w:t xml:space="preserve">9. </w:t>
      </w:r>
      <w:r>
        <w:t>Did anyone tell you at the time that either report was late? Identify the person, date, rule, and written notice. Did you discipline any other Southwest user whose Q3 report fell within the approved extension?</w:t>
      </w:r>
    </w:p>
    <w:p>
      <w:pPr>
        <w:pStyle w:val="DepoQuestion"/>
      </w:pPr>
      <w:r>
        <w:rPr>
          <w:b/>
          <w:color w:val="0F6B78"/>
        </w:rPr>
        <w:t xml:space="preserve">10. </w:t>
      </w:r>
      <w:r>
        <w:t>Apart from the annual $50 million target and $42.3 million historical production, what new shortfall occurred during the PIP? What funded loan, committed proposal, prospect meeting, or pipeline report did she fail to deliver and on what date?</w:t>
      </w:r>
    </w:p>
    <w:p>
      <w:pPr>
        <w:pStyle w:val="DepoQuestion"/>
      </w:pPr>
      <w:r>
        <w:rPr>
          <w:b/>
          <w:color w:val="0F6B78"/>
        </w:rPr>
        <w:t xml:space="preserve">11. </w:t>
      </w:r>
      <w:r>
        <w:t>Apart from the 2.4% Q4 2023 baseline, what actual portfolio deterioration occurred between Feb. 20 and Mar. 14? Identify the metric, source, and calculation.</w:t>
      </w:r>
    </w:p>
    <w:p>
      <w:pPr>
        <w:pStyle w:val="DepoQuestion"/>
      </w:pPr>
      <w:r>
        <w:rPr>
          <w:b/>
          <w:color w:val="0F6B78"/>
        </w:rPr>
        <w:t xml:space="preserve">12. </w:t>
      </w:r>
      <w:r>
        <w:t>What “continued performance deficiencies in portfolio management” arose during the PIP rather than before it? Were any new defaults or delinquencies recorded?</w:t>
      </w:r>
    </w:p>
    <w:p>
      <w:pPr>
        <w:pStyle w:val="DepoQuestion"/>
      </w:pPr>
      <w:r>
        <w:rPr>
          <w:b/>
          <w:color w:val="0F6B78"/>
        </w:rPr>
        <w:t xml:space="preserve">13. </w:t>
      </w:r>
      <w:r>
        <w:t>For every alleged deficiency, identify the source record, the person who verified it, when you reviewed it, and what contrary information you considered.</w:t>
      </w:r>
    </w:p>
    <w:p>
      <w:pPr>
        <w:pStyle w:val="CounselNote"/>
      </w:pPr>
      <w:r>
        <w:rPr>
          <w:b/>
        </w:rPr>
        <w:t xml:space="preserve">Counsel note: </w:t>
      </w:r>
      <w:r>
        <w:t>Resolve time-zone ambiguity with native email and mail-server logs. The Q4 email exhibit is not necessarily complete; ask about attachment, receipt, and exact deadline. The IT ticket expressly says all affected users received the extension.</w:t>
      </w:r>
    </w:p>
    <w:p>
      <w:pPr>
        <w:pStyle w:val="Heading1"/>
      </w:pPr>
      <w:r>
        <w:t>XII. Termination: decision, timing, and stated reasons</w:t>
      </w:r>
    </w:p>
    <w:p>
      <w:pPr>
        <w:pStyle w:val="DepoQuestion"/>
      </w:pPr>
      <w:r>
        <w:rPr>
          <w:b/>
          <w:color w:val="0F6B78"/>
        </w:rPr>
        <w:t xml:space="preserve">1. </w:t>
      </w:r>
      <w:r>
        <w:t>When did you first consider terminating Delgado-Reyes? When did you make the decision to recommend termination? Was it before Mar. 14?</w:t>
      </w:r>
    </w:p>
    <w:p>
      <w:pPr>
        <w:pStyle w:val="DepoQuestion"/>
      </w:pPr>
      <w:r>
        <w:rPr>
          <w:b/>
          <w:color w:val="0F6B78"/>
        </w:rPr>
        <w:t xml:space="preserve">2. </w:t>
      </w:r>
      <w:r>
        <w:t>What events between Feb. 20 and Mar. 14 caused you to conclude termination was warranted? Identify dates, performance measurements, meetings, and documents.</w:t>
      </w:r>
    </w:p>
    <w:p>
      <w:pPr>
        <w:pStyle w:val="DepoQuestion"/>
      </w:pPr>
      <w:r>
        <w:rPr>
          <w:b/>
          <w:color w:val="0F6B78"/>
        </w:rPr>
        <w:t xml:space="preserve">3. </w:t>
      </w:r>
      <w:r>
        <w:t>Did you complete an end-of-PIP evaluation? Where is it? Did you wait until the stated Mar. 21 end date? If not, why not?</w:t>
      </w:r>
    </w:p>
    <w:p>
      <w:pPr>
        <w:pStyle w:val="DepoQuestion"/>
      </w:pPr>
      <w:r>
        <w:rPr>
          <w:b/>
          <w:color w:val="0F6B78"/>
        </w:rPr>
        <w:t xml:space="preserve">4. </w:t>
      </w:r>
      <w:r>
        <w:t>What did you understand the PIP’s stated end date to be? Did you tell Delgado-Reyes that the period ended Mar. 21? Did you explain on Mar. 14 that seven calendar days remained?</w:t>
      </w:r>
    </w:p>
    <w:p>
      <w:pPr>
        <w:pStyle w:val="DepoQuestion"/>
      </w:pPr>
      <w:r>
        <w:rPr>
          <w:b/>
          <w:color w:val="0F6B78"/>
        </w:rPr>
        <w:t xml:space="preserve">5. </w:t>
      </w:r>
      <w:r>
        <w:t>What particular requirement had she failed as of Mar. 14? For each PIP objective, state the target, actual result, evidence, and conclusion as of that date.</w:t>
      </w:r>
    </w:p>
    <w:p>
      <w:pPr>
        <w:pStyle w:val="DepoQuestion"/>
      </w:pPr>
      <w:r>
        <w:rPr>
          <w:b/>
          <w:color w:val="0F6B78"/>
        </w:rPr>
        <w:t xml:space="preserve">6. </w:t>
      </w:r>
      <w:r>
        <w:t>Did she have eight business-development meetings scheduled or completed? Did she submit weekly pipeline reports, risk summaries, or remediation plans? What records did you review?</w:t>
      </w:r>
    </w:p>
    <w:p>
      <w:pPr>
        <w:pStyle w:val="DepoQuestion"/>
      </w:pPr>
      <w:r>
        <w:rPr>
          <w:b/>
          <w:color w:val="0F6B78"/>
        </w:rPr>
        <w:t xml:space="preserve">7. </w:t>
      </w:r>
      <w:r>
        <w:t>Did you hold the promised weekly Tuesday meetings, give feedback, and provide the listed support? If not, how could you fairly determine she had failed to improve?</w:t>
      </w:r>
    </w:p>
    <w:p>
      <w:pPr>
        <w:pStyle w:val="DepoQuestion"/>
      </w:pPr>
      <w:r>
        <w:rPr>
          <w:b/>
          <w:color w:val="0F6B78"/>
        </w:rPr>
        <w:t xml:space="preserve">8. </w:t>
      </w:r>
      <w:r>
        <w:t>The Mar. 14 termination letter says you reviewed her performance “during the PIP period.” Which PIP-period data does it describe? Why does it primarily cite 2023 metrics and prior report submissions?</w:t>
      </w:r>
    </w:p>
    <w:p>
      <w:pPr>
        <w:pStyle w:val="DepoQuestion"/>
      </w:pPr>
      <w:r>
        <w:rPr>
          <w:b/>
          <w:color w:val="0F6B78"/>
        </w:rPr>
        <w:t xml:space="preserve">9. </w:t>
      </w:r>
      <w:r>
        <w:t>The letter says the bank gave “sufficient time and resources.” What is the factual basis for that statement given the Mar. 21 end date, no mid-PIP evaluation alleged, and the required but potentially undocumented weekly meetings/resources?</w:t>
      </w:r>
    </w:p>
    <w:p>
      <w:pPr>
        <w:pStyle w:val="DepoQuestion"/>
      </w:pPr>
      <w:r>
        <w:rPr>
          <w:b/>
          <w:color w:val="0F6B78"/>
        </w:rPr>
        <w:t xml:space="preserve">10. </w:t>
      </w:r>
      <w:r>
        <w:t>Did you prepare a written recommendation to Cho? When, what did it say, and what supporting material accompanied it? Identify drafts, emails, attachments, and meeting notes.</w:t>
      </w:r>
    </w:p>
    <w:p>
      <w:pPr>
        <w:pStyle w:val="DepoQuestion"/>
      </w:pPr>
      <w:r>
        <w:rPr>
          <w:b/>
          <w:color w:val="0F6B78"/>
        </w:rPr>
        <w:t xml:space="preserve">11. </w:t>
      </w:r>
      <w:r>
        <w:t>Did you send Cho the IT ticket, Jan. 10 email, peer-comparison sheet, PIP progress records, or the underlying source data? Which records did she review?</w:t>
      </w:r>
    </w:p>
    <w:p>
      <w:pPr>
        <w:pStyle w:val="DepoQuestion"/>
      </w:pPr>
      <w:r>
        <w:rPr>
          <w:b/>
          <w:color w:val="0F6B78"/>
        </w:rPr>
        <w:t xml:space="preserve">12. </w:t>
      </w:r>
      <w:r>
        <w:t>Did Cho independently investigate the performance data, speak with Delgado-Reyes or witnesses, or ask anyone to validate the report dates or comparator treatment? What did you personally observe?</w:t>
      </w:r>
    </w:p>
    <w:p>
      <w:pPr>
        <w:pStyle w:val="DepoQuestion"/>
      </w:pPr>
      <w:r>
        <w:rPr>
          <w:b/>
          <w:color w:val="0F6B78"/>
        </w:rPr>
        <w:t xml:space="preserve">13. </w:t>
      </w:r>
      <w:r>
        <w:t>The case materials indicate Cho approved termination on Mar. 14. What exactly did she approve, when, and in what form? Did CHRO and General Counsel give joint written approval before termination?</w:t>
      </w:r>
    </w:p>
    <w:p>
      <w:pPr>
        <w:pStyle w:val="DepoQuestion"/>
      </w:pPr>
      <w:r>
        <w:rPr>
          <w:b/>
          <w:color w:val="0F6B78"/>
        </w:rPr>
        <w:t xml:space="preserve">14. </w:t>
      </w:r>
      <w:r>
        <w:t>Was Embree consulted or present at the termination meeting? What did she do? Was a termination checklist, policy review, or independent HR recommendation completed?</w:t>
      </w:r>
    </w:p>
    <w:p>
      <w:pPr>
        <w:pStyle w:val="DepoQuestion"/>
      </w:pPr>
      <w:r>
        <w:rPr>
          <w:b/>
          <w:color w:val="0F6B78"/>
        </w:rPr>
        <w:t xml:space="preserve">15. </w:t>
      </w:r>
      <w:r>
        <w:t>Who drafted and signed the termination letter? Did you approve the text? Why does it not identify a new failure during the PIP, a missed weekly meeting, or an independent misconduct ground?</w:t>
      </w:r>
    </w:p>
    <w:p>
      <w:pPr>
        <w:pStyle w:val="DepoQuestion"/>
      </w:pPr>
      <w:r>
        <w:rPr>
          <w:b/>
          <w:color w:val="0F6B78"/>
        </w:rPr>
        <w:t xml:space="preserve">16. </w:t>
      </w:r>
      <w:r>
        <w:t>Did you tell anyone before Jan. 8 that Delgado-Reyes should be removed or that “it was time”? Identify all communications, including oral discussions.</w:t>
      </w:r>
    </w:p>
    <w:p>
      <w:pPr>
        <w:pStyle w:val="DepoQuestion"/>
      </w:pPr>
      <w:r>
        <w:rPr>
          <w:b/>
          <w:color w:val="0F6B78"/>
        </w:rPr>
        <w:t xml:space="preserve">17. </w:t>
      </w:r>
      <w:r>
        <w:t>Would you have placed or terminated her on the same dates and on the same stated grounds if she had not filed the Jan. 8 complaint? Explain each decision separately.</w:t>
      </w:r>
    </w:p>
    <w:p>
      <w:pPr>
        <w:pStyle w:val="DepoQuestion"/>
      </w:pPr>
      <w:r>
        <w:rPr>
          <w:b/>
          <w:color w:val="0F6B78"/>
        </w:rPr>
        <w:t xml:space="preserve">18. </w:t>
      </w:r>
      <w:r>
        <w:t>Did her complaint influence the timing, selection of metrics, urgency, choice of a PIP, shortened improvement period, recommendation, or termination in any way?</w:t>
      </w:r>
    </w:p>
    <w:p>
      <w:pPr>
        <w:pStyle w:val="DepoQuestion"/>
      </w:pPr>
      <w:r>
        <w:rPr>
          <w:b/>
          <w:color w:val="0F6B78"/>
        </w:rPr>
        <w:t xml:space="preserve">19. </w:t>
      </w:r>
      <w:r>
        <w:t>Who made the ultimate decision to terminate? If you say Cho made it, identify her independent analysis; if you recommended it, state the extent on which she relied on you.</w:t>
      </w:r>
    </w:p>
    <w:p>
      <w:pPr>
        <w:pStyle w:val="CounselNote"/>
      </w:pPr>
      <w:r>
        <w:rPr>
          <w:b/>
        </w:rPr>
        <w:t xml:space="preserve">Counsel note: </w:t>
      </w:r>
      <w:r>
        <w:t>Use policy §7.7(e) to test early termination. Lock down whether there was any independent misconduct exception; performance-related concerns alone do not fit the stated exception in the policy excerpt.</w:t>
      </w:r>
    </w:p>
    <w:p>
      <w:pPr>
        <w:pStyle w:val="Heading1"/>
      </w:pPr>
      <w:r>
        <w:t>XIII. Prior complaint, training, and notice of risk (subject to admissibility/ruling)</w:t>
      </w:r>
    </w:p>
    <w:p>
      <w:pPr>
        <w:pStyle w:val="DepoQuestion"/>
      </w:pPr>
      <w:r>
        <w:rPr>
          <w:b/>
          <w:color w:val="0F6B78"/>
        </w:rPr>
        <w:t xml:space="preserve">1. </w:t>
      </w:r>
      <w:r>
        <w:t>Before Jan. 8, 2024, had anyone at Ridgeline previously complained that your comments or decisions reflected bias toward an employee or community based on ethnicity, race, or national origin?</w:t>
      </w:r>
    </w:p>
    <w:p>
      <w:pPr>
        <w:pStyle w:val="DepoQuestion"/>
      </w:pPr>
      <w:r>
        <w:rPr>
          <w:b/>
          <w:color w:val="0F6B78"/>
        </w:rPr>
        <w:t xml:space="preserve">2. </w:t>
      </w:r>
      <w:r>
        <w:t>While Regional President of the Mountain Division, were you interviewed in 2017 about Patricia Yazzie’s complaint concerning “reservation risk,” tribal-area borrowers, and client-meeting exclusion?</w:t>
      </w:r>
    </w:p>
    <w:p>
      <w:pPr>
        <w:pStyle w:val="DepoQuestion"/>
      </w:pPr>
      <w:r>
        <w:rPr>
          <w:b/>
          <w:color w:val="0F6B78"/>
        </w:rPr>
        <w:t xml:space="preserve">3. </w:t>
      </w:r>
      <w:r>
        <w:t>Did you acknowledge using “reservation risk” or similar language? What did you mean, and what did you tell HR about your intent?</w:t>
      </w:r>
    </w:p>
    <w:p>
      <w:pPr>
        <w:pStyle w:val="DepoQuestion"/>
      </w:pPr>
      <w:r>
        <w:rPr>
          <w:b/>
          <w:color w:val="0F6B78"/>
        </w:rPr>
        <w:t xml:space="preserve">4. </w:t>
      </w:r>
      <w:r>
        <w:t>Were you counseled in September 2017 to use culturally sensitive language and to ensure meeting assignments were based on transparent, performance-related criteria? What did you understand and change?</w:t>
      </w:r>
    </w:p>
    <w:p>
      <w:pPr>
        <w:pStyle w:val="DepoQuestion"/>
      </w:pPr>
      <w:r>
        <w:rPr>
          <w:b/>
          <w:color w:val="0F6B78"/>
        </w:rPr>
        <w:t xml:space="preserve">5. </w:t>
      </w:r>
      <w:r>
        <w:t>Did the prior counseling address the risk of geographic lending terminology being perceived as ethnic stereotyping? How did you apply that guidance to your Nov.–Dec. 2023 remarks?</w:t>
      </w:r>
    </w:p>
    <w:p>
      <w:pPr>
        <w:pStyle w:val="DepoQuestion"/>
      </w:pPr>
      <w:r>
        <w:rPr>
          <w:b/>
          <w:color w:val="0F6B78"/>
        </w:rPr>
        <w:t xml:space="preserve">6. </w:t>
      </w:r>
      <w:r>
        <w:t>Did you understand that an unsubstantiated complaint does not mean the alleged conduct did not occur and does not permit retaliation? What policy or training conveyed that?</w:t>
      </w:r>
    </w:p>
    <w:p>
      <w:pPr>
        <w:pStyle w:val="DepoQuestion"/>
      </w:pPr>
      <w:r>
        <w:rPr>
          <w:b/>
          <w:color w:val="0F6B78"/>
        </w:rPr>
        <w:t xml:space="preserve">7. </w:t>
      </w:r>
      <w:r>
        <w:t>What annual anti-discrimination, anti-harassment, retaliation, and enhanced-supervisor training did you complete from 2019 through 2024? Identify dates, modules, acknowledgments, and records.</w:t>
      </w:r>
    </w:p>
    <w:p>
      <w:pPr>
        <w:pStyle w:val="DepoQuestion"/>
      </w:pPr>
      <w:r>
        <w:rPr>
          <w:b/>
          <w:color w:val="0F6B78"/>
        </w:rPr>
        <w:t xml:space="preserve">8. </w:t>
      </w:r>
      <w:r>
        <w:t>Before Feb. 18, did you know the 90-day written-approval requirement and the special PIP rules for anyone who filed a complaint within the preceding 12 months?</w:t>
      </w:r>
    </w:p>
    <w:p>
      <w:pPr>
        <w:pStyle w:val="DepoQuestion"/>
      </w:pPr>
      <w:r>
        <w:rPr>
          <w:b/>
          <w:color w:val="0F6B78"/>
        </w:rPr>
        <w:t xml:space="preserve">9. </w:t>
      </w:r>
      <w:r>
        <w:t>Did you review or acknowledge policy HR-POL-007? When? Did you understand Regional Presidents had a heightened compliance duty and that noncompliance itself could warrant discipline?</w:t>
      </w:r>
    </w:p>
    <w:p>
      <w:pPr>
        <w:pStyle w:val="DepoQuestion"/>
      </w:pPr>
      <w:r>
        <w:rPr>
          <w:b/>
          <w:color w:val="0F6B78"/>
        </w:rPr>
        <w:t xml:space="preserve">10. </w:t>
      </w:r>
      <w:r>
        <w:t>Did you discuss the Yazzie complaint, investigation, or counseling with Cho, Embree, or Legal when they assessed the Delgado-Reyes complaint or your employment actions? What did you say?</w:t>
      </w:r>
    </w:p>
    <w:p>
      <w:pPr>
        <w:pStyle w:val="CounselNote"/>
      </w:pPr>
      <w:r>
        <w:rPr>
          <w:b/>
        </w:rPr>
        <w:t xml:space="preserve">Counsel note: </w:t>
      </w:r>
      <w:r>
        <w:t>Use the personnel-file pages only as allowed by the court and discovery order. A prior unsubstantiated finding is not itself proof of discrimination; focus on Whitford’s personal notice, admitted language, counseling, and the similarity in his explanations.</w:t>
      </w:r>
    </w:p>
    <w:p>
      <w:pPr>
        <w:pStyle w:val="Heading1"/>
      </w:pPr>
      <w:r>
        <w:t>XIV. Other persons, records, and remaining leads</w:t>
      </w:r>
    </w:p>
    <w:p>
      <w:pPr>
        <w:pStyle w:val="DepoQuestion"/>
      </w:pPr>
      <w:r>
        <w:rPr>
          <w:b/>
          <w:color w:val="0F6B78"/>
        </w:rPr>
        <w:t xml:space="preserve">1. </w:t>
      </w:r>
      <w:r>
        <w:t>Identify everyone who participated in or advised on the 2023 review, the complaint investigation, the PIP, and the termination, with each person’s role and the communications exchanged.</w:t>
      </w:r>
    </w:p>
    <w:p>
      <w:pPr>
        <w:pStyle w:val="DepoQuestion"/>
      </w:pPr>
      <w:r>
        <w:rPr>
          <w:b/>
          <w:color w:val="0F6B78"/>
        </w:rPr>
        <w:t xml:space="preserve">2. </w:t>
      </w:r>
      <w:r>
        <w:t>Identify the Nov. 15 meeting attendees, the assistant who kept the roster, any minutes/slides, and any person who heard the exact “credit culture” language.</w:t>
      </w:r>
    </w:p>
    <w:p>
      <w:pPr>
        <w:pStyle w:val="DepoQuestion"/>
      </w:pPr>
      <w:r>
        <w:rPr>
          <w:b/>
          <w:color w:val="0F6B78"/>
        </w:rPr>
        <w:t xml:space="preserve">3. </w:t>
      </w:r>
      <w:r>
        <w:t>Identify all persons present for the Dec. 7 loan discussion, if anyone entered or later heard about it, and all records relating to the Sonora Freight proposal and your review of it.</w:t>
      </w:r>
    </w:p>
    <w:p>
      <w:pPr>
        <w:pStyle w:val="DepoQuestion"/>
      </w:pPr>
      <w:r>
        <w:rPr>
          <w:b/>
          <w:color w:val="0F6B78"/>
        </w:rPr>
        <w:t xml:space="preserve">4. </w:t>
      </w:r>
      <w:r>
        <w:t>Identify the visiting Denver executive, Marsh, Fuentes, and any other holiday-party witnesses. Did you make any contemporaneous notes or later statements about the remark?</w:t>
      </w:r>
    </w:p>
    <w:p>
      <w:pPr>
        <w:pStyle w:val="DepoQuestion"/>
      </w:pPr>
      <w:r>
        <w:rPr>
          <w:b/>
          <w:color w:val="0F6B78"/>
        </w:rPr>
        <w:t xml:space="preserve">5. </w:t>
      </w:r>
      <w:r>
        <w:t>Identify all recipients of the Jan. 8 complaint, investigation materials, Feb. 18 chain, review, PIP, termination recommendation, and termination letter.</w:t>
      </w:r>
    </w:p>
    <w:p>
      <w:pPr>
        <w:pStyle w:val="DepoQuestion"/>
      </w:pPr>
      <w:r>
        <w:rPr>
          <w:b/>
          <w:color w:val="0F6B78"/>
        </w:rPr>
        <w:t xml:space="preserve">6. </w:t>
      </w:r>
      <w:r>
        <w:t>Identify all communications with Cho from Jan. 8 through Mar. 14 about the complaint or any adverse action; include calls, meetings, texts, instant messages, and calendar entries.</w:t>
      </w:r>
    </w:p>
    <w:p>
      <w:pPr>
        <w:pStyle w:val="DepoQuestion"/>
      </w:pPr>
      <w:r>
        <w:rPr>
          <w:b/>
          <w:color w:val="0F6B78"/>
        </w:rPr>
        <w:t xml:space="preserve">7. </w:t>
      </w:r>
      <w:r>
        <w:t>Identify all communications with Embree, HR, the CHRO, General Counsel, credit risk, IT, or business-development support about the three PIP metrics or decision approvals.</w:t>
      </w:r>
    </w:p>
    <w:p>
      <w:pPr>
        <w:pStyle w:val="DepoQuestion"/>
      </w:pPr>
      <w:r>
        <w:rPr>
          <w:b/>
          <w:color w:val="0F6B78"/>
        </w:rPr>
        <w:t xml:space="preserve">8. </w:t>
      </w:r>
      <w:r>
        <w:t>Identify the systems of record for loan delinquency, originations, report submissions, PIP performance, and approvals; who can make entries or alter historic data?</w:t>
      </w:r>
    </w:p>
    <w:p>
      <w:pPr>
        <w:pStyle w:val="DepoQuestion"/>
      </w:pPr>
      <w:r>
        <w:rPr>
          <w:b/>
          <w:color w:val="0F6B78"/>
        </w:rPr>
        <w:t xml:space="preserve">9. </w:t>
      </w:r>
      <w:r>
        <w:t>Are there drafts, notes, calendar items, approvals, comparator analyses, PIP progress records, or source data not yet identified? What is each item and where is it maintained?</w:t>
      </w:r>
    </w:p>
    <w:p>
      <w:pPr>
        <w:pStyle w:val="DepoQuestion"/>
      </w:pPr>
      <w:r>
        <w:rPr>
          <w:b/>
          <w:color w:val="0F6B78"/>
        </w:rPr>
        <w:t xml:space="preserve">10. </w:t>
      </w:r>
      <w:r>
        <w:t>Is there any reason a document you relied on would be inaccurate, incomplete, or missing from the produced materials?</w:t>
      </w:r>
    </w:p>
    <w:p>
      <w:pPr>
        <w:pStyle w:val="CounselNote"/>
      </w:pPr>
      <w:r>
        <w:rPr>
          <w:b/>
        </w:rPr>
        <w:t xml:space="preserve">Counsel note: </w:t>
      </w:r>
      <w:r>
        <w:t>Request names, titles, dates, and document locations rather than a generic promise to supplement. Capture new custodian/deposition leads immediately.</w:t>
      </w:r>
    </w:p>
    <w:p>
      <w:pPr>
        <w:pStyle w:val="Heading1"/>
      </w:pPr>
      <w:r>
        <w:t>XV. Authentication and closing lock-in</w:t>
      </w:r>
    </w:p>
    <w:p>
      <w:pPr>
        <w:pStyle w:val="DepoQuestion"/>
      </w:pPr>
      <w:r>
        <w:rPr>
          <w:b/>
          <w:color w:val="0F6B78"/>
        </w:rPr>
        <w:t xml:space="preserve">1. </w:t>
      </w:r>
      <w:r>
        <w:t>Are Exhibits 1–9 documents you received, sent, signed, reviewed, or relied upon? For each, identify what you recognize, how you recognize it, and any respect in which it is incomplete or inaccurate.</w:t>
      </w:r>
    </w:p>
    <w:p>
      <w:pPr>
        <w:pStyle w:val="DepoQuestion"/>
      </w:pPr>
      <w:r>
        <w:rPr>
          <w:b/>
          <w:color w:val="0F6B78"/>
        </w:rPr>
        <w:t xml:space="preserve">2. </w:t>
      </w:r>
      <w:r>
        <w:t>Is the Feb. 18 chain a true and complete copy of the messages exchanged? Are the addresses, dates, times, wording, recipients, attachments, and order accurate?</w:t>
      </w:r>
    </w:p>
    <w:p>
      <w:pPr>
        <w:pStyle w:val="DepoQuestion"/>
      </w:pPr>
      <w:r>
        <w:rPr>
          <w:b/>
          <w:color w:val="0F6B78"/>
        </w:rPr>
        <w:t xml:space="preserve">3. </w:t>
      </w:r>
      <w:r>
        <w:t>Is the performance-data sheet accurate as to your knowledge? Identify any row, figure, target, rating, or disciplinary entry you dispute and the evidence supporting a correction.</w:t>
      </w:r>
    </w:p>
    <w:p>
      <w:pPr>
        <w:pStyle w:val="DepoQuestion"/>
      </w:pPr>
      <w:r>
        <w:rPr>
          <w:b/>
          <w:color w:val="0F6B78"/>
        </w:rPr>
        <w:t xml:space="preserve">4. </w:t>
      </w:r>
      <w:r>
        <w:t>Is the PIP the complete version issued to Delgado-Reyes? Are all approvals, attachments, progress records, or communications that informed it included?</w:t>
      </w:r>
    </w:p>
    <w:p>
      <w:pPr>
        <w:pStyle w:val="DepoQuestion"/>
      </w:pPr>
      <w:r>
        <w:rPr>
          <w:b/>
          <w:color w:val="0F6B78"/>
        </w:rPr>
        <w:t xml:space="preserve">5. </w:t>
      </w:r>
      <w:r>
        <w:t>Is the termination letter the complete signed notice? Are there additional written grounds, decision memoranda, approval records, or evaluations?</w:t>
      </w:r>
    </w:p>
    <w:p>
      <w:pPr>
        <w:pStyle w:val="DepoQuestion"/>
      </w:pPr>
      <w:r>
        <w:rPr>
          <w:b/>
          <w:color w:val="0F6B78"/>
        </w:rPr>
        <w:t xml:space="preserve">6. </w:t>
      </w:r>
      <w:r>
        <w:t>What is the strongest contemporaneous evidence—created before the complaint or before each adverse action—that supports your stated reason for the review, PIP, and termination?</w:t>
      </w:r>
    </w:p>
    <w:p>
      <w:pPr>
        <w:pStyle w:val="DepoQuestion"/>
      </w:pPr>
      <w:r>
        <w:rPr>
          <w:b/>
          <w:color w:val="0F6B78"/>
        </w:rPr>
        <w:t xml:space="preserve">7. </w:t>
      </w:r>
      <w:r>
        <w:t>What is the strongest evidence that the Jan. 8 complaint played no role in the timing or substance of those actions?</w:t>
      </w:r>
    </w:p>
    <w:p>
      <w:pPr>
        <w:pStyle w:val="DepoQuestion"/>
      </w:pPr>
      <w:r>
        <w:rPr>
          <w:b/>
          <w:color w:val="0F6B78"/>
        </w:rPr>
        <w:t xml:space="preserve">8. </w:t>
      </w:r>
      <w:r>
        <w:t>Is there any explanation for the Q4 report being labeled five days late despite the Jan. 10 transmission, or the Q3 report being labeled late despite the division-wide extension, that we have not covered?</w:t>
      </w:r>
    </w:p>
    <w:p>
      <w:pPr>
        <w:pStyle w:val="DepoQuestion"/>
      </w:pPr>
      <w:r>
        <w:rPr>
          <w:b/>
          <w:color w:val="0F6B78"/>
        </w:rPr>
        <w:t xml:space="preserve">9. </w:t>
      </w:r>
      <w:r>
        <w:t>Is there any explanation for terminating on Mar. 14 rather than allowing the stated PIP period to conclude Mar. 21, other than the performance concerns already discussed?</w:t>
      </w:r>
    </w:p>
    <w:p>
      <w:pPr>
        <w:pStyle w:val="DepoQuestion"/>
      </w:pPr>
      <w:r>
        <w:rPr>
          <w:b/>
          <w:color w:val="0F6B78"/>
        </w:rPr>
        <w:t xml:space="preserve">10. </w:t>
      </w:r>
      <w:r>
        <w:t>Have you given complete answers to the best of your present recollection? Is there any answer you wish to clarify, correct, or supplement after reviewing a particular document?</w:t>
      </w:r>
    </w:p>
    <w:p>
      <w:pPr>
        <w:pStyle w:val="CounselNote"/>
      </w:pPr>
      <w:r>
        <w:rPr>
          <w:b/>
        </w:rPr>
        <w:t xml:space="preserve">Counsel note: </w:t>
      </w:r>
      <w:r>
        <w:t>After the witness’s answers, identify any factual contention he maintains and the specific documents/witnesses supporting it. Ask to preserve and produce any record newly identified; reserve follow-up on late-produced materials.</w:t>
      </w:r>
    </w:p>
    <w:p>
      <w:pPr>
        <w:pStyle w:val="Heading1"/>
      </w:pPr>
      <w:r>
        <w:t>Appendix A. Key chronology and factual anchors</w:t>
      </w:r>
    </w:p>
    <w:tbl>
      <w:tblPr>
        <w:tblW w:type="auto" w:w="0"/>
        <w:jc w:val="center"/>
        <w:tblLayout w:type="fixed"/>
        <w:tblLook w:firstColumn="1" w:firstRow="1" w:lastColumn="0" w:lastRow="0" w:noHBand="0" w:noVBand="1" w:val="04A0"/>
      </w:tblPr>
      <w:tblGrid>
        <w:gridCol w:w="2045"/>
        <w:gridCol w:w="7488"/>
      </w:tblGrid>
      <w:tr>
        <w:trPr>
          <w:cantSplit/>
        </w:trPr>
        <w:tc>
          <w:tcPr>
            <w:tcW w:type="dxa" w:w="4939"/>
            <w:vAlign w:val="top"/>
            <w:shd w:fill="17365D"/>
          </w:tcPr>
          <w:p>
            <w:pPr>
              <w:pStyle w:val="Compact"/>
            </w:pPr>
            <w:r/>
            <w:r>
              <w:rPr>
                <w:rFonts w:ascii="Aptos" w:hAnsi="Aptos"/>
                <w:b/>
                <w:color w:val="FFFFFF"/>
                <w:sz w:val="16"/>
              </w:rPr>
              <w:t>Date / topic</w:t>
            </w:r>
          </w:p>
        </w:tc>
        <w:tc>
          <w:tcPr>
            <w:tcW w:type="dxa" w:w="4939"/>
            <w:vAlign w:val="top"/>
            <w:shd w:fill="17365D"/>
          </w:tcPr>
          <w:p>
            <w:pPr>
              <w:pStyle w:val="Compact"/>
            </w:pPr>
            <w:r/>
            <w:r>
              <w:rPr>
                <w:rFonts w:ascii="Aptos" w:hAnsi="Aptos"/>
                <w:b/>
                <w:color w:val="FFFFFF"/>
                <w:sz w:val="16"/>
              </w:rPr>
              <w:t>Anchor</w:t>
            </w:r>
          </w:p>
        </w:tc>
      </w:tr>
      <w:tr>
        <w:trPr>
          <w:cantSplit/>
        </w:trPr>
        <w:tc>
          <w:tcPr>
            <w:tcW w:type="dxa" w:w="2045"/>
            <w:vAlign w:val="top"/>
            <w:shd w:fill="F4F7FA"/>
          </w:tcPr>
          <w:p>
            <w:pPr>
              <w:pStyle w:val="Compact"/>
            </w:pPr>
            <w:r/>
            <w:r>
              <w:rPr>
                <w:rFonts w:ascii="Aptos" w:hAnsi="Aptos"/>
                <w:b/>
                <w:color w:val="1F4E79"/>
                <w:sz w:val="15"/>
              </w:rPr>
              <w:t>Nov. 15, 2023</w:t>
            </w:r>
          </w:p>
        </w:tc>
        <w:tc>
          <w:tcPr>
            <w:tcW w:type="dxa" w:w="7488"/>
            <w:vAlign w:val="top"/>
            <w:shd w:fill="F4F7FA"/>
          </w:tcPr>
          <w:p>
            <w:pPr>
              <w:pStyle w:val="Compact"/>
            </w:pPr>
            <w:r/>
            <w:r>
              <w:rPr>
                <w:rFonts w:ascii="Aptos" w:hAnsi="Aptos"/>
                <w:b w:val="0"/>
                <w:color w:val="202A35"/>
                <w:sz w:val="15"/>
              </w:rPr>
              <w:t>Regional team meeting: alleged “border communities” / “credit culture” remarks; approximately 12 attendees.</w:t>
            </w:r>
          </w:p>
        </w:tc>
      </w:tr>
      <w:tr>
        <w:trPr>
          <w:cantSplit/>
        </w:trPr>
        <w:tc>
          <w:tcPr>
            <w:tcW w:type="dxa" w:w="2045"/>
            <w:vAlign w:val="top"/>
          </w:tcPr>
          <w:p>
            <w:pPr>
              <w:pStyle w:val="Compact"/>
            </w:pPr>
            <w:r/>
            <w:r>
              <w:rPr>
                <w:rFonts w:ascii="Aptos" w:hAnsi="Aptos"/>
                <w:b/>
                <w:color w:val="1F4E79"/>
                <w:sz w:val="15"/>
              </w:rPr>
              <w:t>Dec. 7, 2023</w:t>
            </w:r>
          </w:p>
        </w:tc>
        <w:tc>
          <w:tcPr>
            <w:tcW w:type="dxa" w:w="7488"/>
            <w:vAlign w:val="top"/>
          </w:tcPr>
          <w:p>
            <w:pPr>
              <w:pStyle w:val="Compact"/>
            </w:pPr>
            <w:r/>
            <w:r>
              <w:rPr>
                <w:rFonts w:ascii="Aptos" w:hAnsi="Aptos"/>
                <w:b w:val="0"/>
                <w:color w:val="202A35"/>
                <w:sz w:val="15"/>
              </w:rPr>
              <w:t>One-on-one concerning $8.5M Sonora Freight proposal; alleged “background” / “blind spots” remark.</w:t>
            </w:r>
          </w:p>
        </w:tc>
      </w:tr>
      <w:tr>
        <w:trPr>
          <w:cantSplit/>
        </w:trPr>
        <w:tc>
          <w:tcPr>
            <w:tcW w:type="dxa" w:w="2045"/>
            <w:vAlign w:val="top"/>
            <w:shd w:fill="F4F7FA"/>
          </w:tcPr>
          <w:p>
            <w:pPr>
              <w:pStyle w:val="Compact"/>
            </w:pPr>
            <w:r/>
            <w:r>
              <w:rPr>
                <w:rFonts w:ascii="Aptos" w:hAnsi="Aptos"/>
                <w:b/>
                <w:color w:val="1F4E79"/>
                <w:sz w:val="15"/>
              </w:rPr>
              <w:t>Dec. 20, 2023</w:t>
            </w:r>
          </w:p>
        </w:tc>
        <w:tc>
          <w:tcPr>
            <w:tcW w:type="dxa" w:w="7488"/>
            <w:vAlign w:val="top"/>
            <w:shd w:fill="F4F7FA"/>
          </w:tcPr>
          <w:p>
            <w:pPr>
              <w:pStyle w:val="Compact"/>
            </w:pPr>
            <w:r/>
            <w:r>
              <w:rPr>
                <w:rFonts w:ascii="Aptos" w:hAnsi="Aptos"/>
                <w:b w:val="0"/>
                <w:color w:val="202A35"/>
                <w:sz w:val="15"/>
              </w:rPr>
              <w:t>Holiday party: alleged “local expert” / “it’s in her blood” introduction; Marsh and Fuentes nearby.</w:t>
            </w:r>
          </w:p>
        </w:tc>
      </w:tr>
      <w:tr>
        <w:trPr>
          <w:cantSplit/>
        </w:trPr>
        <w:tc>
          <w:tcPr>
            <w:tcW w:type="dxa" w:w="2045"/>
            <w:vAlign w:val="top"/>
          </w:tcPr>
          <w:p>
            <w:pPr>
              <w:pStyle w:val="Compact"/>
            </w:pPr>
            <w:r/>
            <w:r>
              <w:rPr>
                <w:rFonts w:ascii="Aptos" w:hAnsi="Aptos"/>
                <w:b/>
                <w:color w:val="1F4E79"/>
                <w:sz w:val="15"/>
              </w:rPr>
              <w:t>Jan. 8, 2024</w:t>
            </w:r>
          </w:p>
        </w:tc>
        <w:tc>
          <w:tcPr>
            <w:tcW w:type="dxa" w:w="7488"/>
            <w:vAlign w:val="top"/>
          </w:tcPr>
          <w:p>
            <w:pPr>
              <w:pStyle w:val="Compact"/>
            </w:pPr>
            <w:r/>
            <w:r>
              <w:rPr>
                <w:rFonts w:ascii="Aptos" w:hAnsi="Aptos"/>
                <w:b w:val="0"/>
                <w:color w:val="202A35"/>
                <w:sz w:val="15"/>
              </w:rPr>
              <w:t>Delgado-Reyes emails formal national-origin complaint to Embree; requests investigation and protection from retaliation.</w:t>
            </w:r>
          </w:p>
        </w:tc>
      </w:tr>
      <w:tr>
        <w:trPr>
          <w:cantSplit/>
        </w:trPr>
        <w:tc>
          <w:tcPr>
            <w:tcW w:type="dxa" w:w="2045"/>
            <w:vAlign w:val="top"/>
            <w:shd w:fill="F4F7FA"/>
          </w:tcPr>
          <w:p>
            <w:pPr>
              <w:pStyle w:val="Compact"/>
            </w:pPr>
            <w:r/>
            <w:r>
              <w:rPr>
                <w:rFonts w:ascii="Aptos" w:hAnsi="Aptos"/>
                <w:b/>
                <w:color w:val="1F4E79"/>
                <w:sz w:val="15"/>
              </w:rPr>
              <w:t>Jan. 10, 2024</w:t>
            </w:r>
          </w:p>
        </w:tc>
        <w:tc>
          <w:tcPr>
            <w:tcW w:type="dxa" w:w="7488"/>
            <w:vAlign w:val="top"/>
            <w:shd w:fill="F4F7FA"/>
          </w:tcPr>
          <w:p>
            <w:pPr>
              <w:pStyle w:val="Compact"/>
            </w:pPr>
            <w:r/>
            <w:r>
              <w:rPr>
                <w:rFonts w:ascii="Aptos" w:hAnsi="Aptos"/>
                <w:b w:val="0"/>
                <w:color w:val="202A35"/>
                <w:sz w:val="15"/>
              </w:rPr>
              <w:t>Investigation opened; Q4 risk-report email to Whitford bears Jan. 10 date and 04:47 -0000 header (resolve time zone/native metadata).</w:t>
            </w:r>
          </w:p>
        </w:tc>
      </w:tr>
      <w:tr>
        <w:trPr>
          <w:cantSplit/>
        </w:trPr>
        <w:tc>
          <w:tcPr>
            <w:tcW w:type="dxa" w:w="2045"/>
            <w:vAlign w:val="top"/>
          </w:tcPr>
          <w:p>
            <w:pPr>
              <w:pStyle w:val="Compact"/>
            </w:pPr>
            <w:r/>
            <w:r>
              <w:rPr>
                <w:rFonts w:ascii="Aptos" w:hAnsi="Aptos"/>
                <w:b/>
                <w:color w:val="1F4E79"/>
                <w:sz w:val="15"/>
              </w:rPr>
              <w:t>Jan. 16 / 18, 2024</w:t>
            </w:r>
          </w:p>
        </w:tc>
        <w:tc>
          <w:tcPr>
            <w:tcW w:type="dxa" w:w="7488"/>
            <w:vAlign w:val="top"/>
          </w:tcPr>
          <w:p>
            <w:pPr>
              <w:pStyle w:val="Compact"/>
            </w:pPr>
            <w:r/>
            <w:r>
              <w:rPr>
                <w:rFonts w:ascii="Aptos" w:hAnsi="Aptos"/>
                <w:b w:val="0"/>
                <w:color w:val="202A35"/>
                <w:sz w:val="15"/>
              </w:rPr>
              <w:t>Whitford interviewed; Delgado-Reyes interviewed. Investigation report later says Whitford admitted remarks and was counseled.</w:t>
            </w:r>
          </w:p>
        </w:tc>
      </w:tr>
      <w:tr>
        <w:trPr>
          <w:cantSplit/>
        </w:trPr>
        <w:tc>
          <w:tcPr>
            <w:tcW w:type="dxa" w:w="2045"/>
            <w:vAlign w:val="top"/>
            <w:shd w:fill="F4F7FA"/>
          </w:tcPr>
          <w:p>
            <w:pPr>
              <w:pStyle w:val="Compact"/>
            </w:pPr>
            <w:r/>
            <w:r>
              <w:rPr>
                <w:rFonts w:ascii="Aptos" w:hAnsi="Aptos"/>
                <w:b/>
                <w:color w:val="1F4E79"/>
                <w:sz w:val="15"/>
              </w:rPr>
              <w:t>Feb. 5, 2024</w:t>
            </w:r>
          </w:p>
        </w:tc>
        <w:tc>
          <w:tcPr>
            <w:tcW w:type="dxa" w:w="7488"/>
            <w:vAlign w:val="top"/>
            <w:shd w:fill="F4F7FA"/>
          </w:tcPr>
          <w:p>
            <w:pPr>
              <w:pStyle w:val="Compact"/>
            </w:pPr>
            <w:r/>
            <w:r>
              <w:rPr>
                <w:rFonts w:ascii="Aptos" w:hAnsi="Aptos"/>
                <w:b w:val="0"/>
                <w:color w:val="202A35"/>
                <w:sz w:val="15"/>
              </w:rPr>
              <w:t>2023 review finalized “Meets Expectations”; first such rating under Whitford per case record. HR report dated Feb. 12 nevertheless says review was still in process.</w:t>
            </w:r>
          </w:p>
        </w:tc>
      </w:tr>
      <w:tr>
        <w:trPr>
          <w:cantSplit/>
        </w:trPr>
        <w:tc>
          <w:tcPr>
            <w:tcW w:type="dxa" w:w="2045"/>
            <w:vAlign w:val="top"/>
          </w:tcPr>
          <w:p>
            <w:pPr>
              <w:pStyle w:val="Compact"/>
            </w:pPr>
            <w:r/>
            <w:r>
              <w:rPr>
                <w:rFonts w:ascii="Aptos" w:hAnsi="Aptos"/>
                <w:b/>
                <w:color w:val="1F4E79"/>
                <w:sz w:val="15"/>
              </w:rPr>
              <w:t>Feb. 12, 2024</w:t>
            </w:r>
          </w:p>
        </w:tc>
        <w:tc>
          <w:tcPr>
            <w:tcW w:type="dxa" w:w="7488"/>
            <w:vAlign w:val="top"/>
          </w:tcPr>
          <w:p>
            <w:pPr>
              <w:pStyle w:val="Compact"/>
            </w:pPr>
            <w:r/>
            <w:r>
              <w:rPr>
                <w:rFonts w:ascii="Aptos" w:hAnsi="Aptos"/>
                <w:b w:val="0"/>
                <w:color w:val="202A35"/>
                <w:sz w:val="15"/>
              </w:rPr>
              <w:t>Investigation report concludes unsubstantiated; report states no formal discipline and notes counseling.</w:t>
            </w:r>
          </w:p>
        </w:tc>
      </w:tr>
      <w:tr>
        <w:trPr>
          <w:cantSplit/>
        </w:trPr>
        <w:tc>
          <w:tcPr>
            <w:tcW w:type="dxa" w:w="2045"/>
            <w:vAlign w:val="top"/>
            <w:shd w:fill="F4F7FA"/>
          </w:tcPr>
          <w:p>
            <w:pPr>
              <w:pStyle w:val="Compact"/>
            </w:pPr>
            <w:r/>
            <w:r>
              <w:rPr>
                <w:rFonts w:ascii="Aptos" w:hAnsi="Aptos"/>
                <w:b/>
                <w:color w:val="1F4E79"/>
                <w:sz w:val="15"/>
              </w:rPr>
              <w:t>Feb. 18, 2024</w:t>
            </w:r>
          </w:p>
        </w:tc>
        <w:tc>
          <w:tcPr>
            <w:tcW w:type="dxa" w:w="7488"/>
            <w:vAlign w:val="top"/>
            <w:shd w:fill="F4F7FA"/>
          </w:tcPr>
          <w:p>
            <w:pPr>
              <w:pStyle w:val="Compact"/>
            </w:pPr>
            <w:r/>
            <w:r>
              <w:rPr>
                <w:rFonts w:ascii="Aptos" w:hAnsi="Aptos"/>
                <w:b w:val="0"/>
                <w:color w:val="202A35"/>
                <w:sz w:val="15"/>
              </w:rPr>
              <w:t>Whitford to Cho: “Between the complaint and her numbers, I think we need to move quickly”; Cho cautions about HR/open investigation; Whitford says report closed and PIP due Wednesday.</w:t>
            </w:r>
          </w:p>
        </w:tc>
      </w:tr>
      <w:tr>
        <w:trPr>
          <w:cantSplit/>
        </w:trPr>
        <w:tc>
          <w:tcPr>
            <w:tcW w:type="dxa" w:w="2045"/>
            <w:vAlign w:val="top"/>
          </w:tcPr>
          <w:p>
            <w:pPr>
              <w:pStyle w:val="Compact"/>
            </w:pPr>
            <w:r/>
            <w:r>
              <w:rPr>
                <w:rFonts w:ascii="Aptos" w:hAnsi="Aptos"/>
                <w:b/>
                <w:color w:val="1F4E79"/>
                <w:sz w:val="15"/>
              </w:rPr>
              <w:t>Feb. 20, 2024</w:t>
            </w:r>
          </w:p>
        </w:tc>
        <w:tc>
          <w:tcPr>
            <w:tcW w:type="dxa" w:w="7488"/>
            <w:vAlign w:val="top"/>
          </w:tcPr>
          <w:p>
            <w:pPr>
              <w:pStyle w:val="Compact"/>
            </w:pPr>
            <w:r/>
            <w:r>
              <w:rPr>
                <w:rFonts w:ascii="Aptos" w:hAnsi="Aptos"/>
                <w:b w:val="0"/>
                <w:color w:val="202A35"/>
                <w:sz w:val="15"/>
              </w:rPr>
              <w:t>30-calendar-day PIP issued, stated end date Mar. 21; PIP signed by Whitford and Embree.</w:t>
            </w:r>
          </w:p>
        </w:tc>
      </w:tr>
      <w:tr>
        <w:trPr>
          <w:cantSplit/>
        </w:trPr>
        <w:tc>
          <w:tcPr>
            <w:tcW w:type="dxa" w:w="2045"/>
            <w:vAlign w:val="top"/>
            <w:shd w:fill="F4F7FA"/>
          </w:tcPr>
          <w:p>
            <w:pPr>
              <w:pStyle w:val="Compact"/>
            </w:pPr>
            <w:r/>
            <w:r>
              <w:rPr>
                <w:rFonts w:ascii="Aptos" w:hAnsi="Aptos"/>
                <w:b/>
                <w:color w:val="1F4E79"/>
                <w:sz w:val="15"/>
              </w:rPr>
              <w:t>Mar. 14, 2024</w:t>
            </w:r>
          </w:p>
        </w:tc>
        <w:tc>
          <w:tcPr>
            <w:tcW w:type="dxa" w:w="7488"/>
            <w:vAlign w:val="top"/>
            <w:shd w:fill="F4F7FA"/>
          </w:tcPr>
          <w:p>
            <w:pPr>
              <w:pStyle w:val="Compact"/>
            </w:pPr>
            <w:r/>
            <w:r>
              <w:rPr>
                <w:rFonts w:ascii="Aptos" w:hAnsi="Aptos"/>
                <w:b w:val="0"/>
                <w:color w:val="202A35"/>
                <w:sz w:val="15"/>
              </w:rPr>
              <w:t>Whitford recommends/communicates immediate termination; letter cites PIP failure and continued performance deficiencies; seven calendar days before stated end date.</w:t>
            </w:r>
          </w:p>
        </w:tc>
      </w:tr>
      <w:tr>
        <w:trPr>
          <w:cantSplit/>
        </w:trPr>
        <w:tc>
          <w:tcPr>
            <w:tcW w:type="dxa" w:w="2045"/>
            <w:vAlign w:val="top"/>
          </w:tcPr>
          <w:p>
            <w:pPr>
              <w:pStyle w:val="Compact"/>
            </w:pPr>
            <w:r/>
            <w:r>
              <w:rPr>
                <w:rFonts w:ascii="Aptos" w:hAnsi="Aptos"/>
                <w:b/>
                <w:color w:val="1F4E79"/>
                <w:sz w:val="15"/>
              </w:rPr>
              <w:t>Performance context</w:t>
            </w:r>
          </w:p>
        </w:tc>
        <w:tc>
          <w:tcPr>
            <w:tcW w:type="dxa" w:w="7488"/>
            <w:vAlign w:val="top"/>
          </w:tcPr>
          <w:p>
            <w:pPr>
              <w:pStyle w:val="Compact"/>
            </w:pPr>
            <w:r/>
            <w:r>
              <w:rPr>
                <w:rFonts w:ascii="Aptos" w:hAnsi="Aptos"/>
                <w:b w:val="0"/>
                <w:color w:val="202A35"/>
                <w:sz w:val="15"/>
              </w:rPr>
              <w:t>Delgado-Reyes: 2.4% delinquency vs 2.0% target / 2.6% division average; $42.3M originations vs $50M target / $38.7M SVP average; $3.1M defaults. Langley: 3.1%, $36.1M, $4.7M defaults. Kowalski: 2.8%, $39.4M, $2.9M defaults.</w:t>
            </w:r>
          </w:p>
        </w:tc>
      </w:tr>
      <w:tr>
        <w:trPr>
          <w:cantSplit/>
        </w:trPr>
        <w:tc>
          <w:tcPr>
            <w:tcW w:type="dxa" w:w="2045"/>
            <w:vAlign w:val="top"/>
            <w:shd w:fill="F4F7FA"/>
          </w:tcPr>
          <w:p>
            <w:pPr>
              <w:pStyle w:val="Compact"/>
            </w:pPr>
            <w:r/>
            <w:r>
              <w:rPr>
                <w:rFonts w:ascii="Aptos" w:hAnsi="Aptos"/>
                <w:b/>
                <w:color w:val="1F4E79"/>
                <w:sz w:val="15"/>
              </w:rPr>
              <w:t>Report context</w:t>
            </w:r>
          </w:p>
        </w:tc>
        <w:tc>
          <w:tcPr>
            <w:tcW w:type="dxa" w:w="7488"/>
            <w:vAlign w:val="top"/>
            <w:shd w:fill="F4F7FA"/>
          </w:tcPr>
          <w:p>
            <w:pPr>
              <w:pStyle w:val="Compact"/>
            </w:pPr>
            <w:r/>
            <w:r>
              <w:rPr>
                <w:rFonts w:ascii="Aptos" w:hAnsi="Aptos"/>
                <w:b w:val="0"/>
                <w:color w:val="202A35"/>
                <w:sz w:val="15"/>
              </w:rPr>
              <w:t>Q3 outage Oct. 2–3; ticket confirms two-business-day extension through Oct. 4 for all affected Southwest users. Q4 deadline identified as Jan. 10 at 5:00 p.m.; report email dated Jan. 10.</w:t>
            </w:r>
          </w:p>
        </w:tc>
      </w:tr>
    </w:tbl>
    <w:p>
      <w:pPr>
        <w:pStyle w:val="CounselNote"/>
      </w:pPr>
      <w:r>
        <w:rPr>
          <w:b/>
        </w:rPr>
        <w:t xml:space="preserve">Counsel note: </w:t>
      </w:r>
      <w:r>
        <w:t>Calendar check: Jan. 8 to Mar. 14 is 66 elapsed calendar days. The complaint’s 65-day phrasing should not be repeated without explaining the counting convention; use the actual dates when establishing temporal proximity.</w:t>
      </w:r>
    </w:p>
    <w:p>
      <w:pPr>
        <w:spacing w:before="160"/>
      </w:pPr>
      <w:r>
        <w:rPr>
          <w:b/>
          <w:color w:val="17365D"/>
        </w:rPr>
        <w:t xml:space="preserve">End of outline. </w:t>
      </w:r>
      <w:r>
        <w:t>Preserve exact testimony on each disputed fact and obtain the underlying native records wherever the witness relies on summaries or recollection.</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PLAINTIFF’S COUNSEL — ATTORNEY WORK PRODUCT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7365D"/>
      </w:pBdr>
    </w:pPr>
    <w:r>
      <w:rPr>
        <w:rFonts w:ascii="Aptos" w:hAnsi="Aptos"/>
        <w:b/>
        <w:color w:val="5B6573"/>
        <w:sz w:val="16"/>
      </w:rPr>
      <w:t>DELGADO-REYES v. RIDGELINE NATIONAL BANK  |  DEPOSITION OUTLINE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poQuestion">
    <w:name w:val="Depo Question"/>
    <w:basedOn w:val="Normal"/>
    <w:pPr>
      <w:keepLines/>
      <w:spacing w:after="60"/>
      <w:ind w:left="331" w:hanging="331"/>
    </w:pPr>
    <w:rPr>
      <w:rFonts w:ascii="Aptos" w:hAnsi="Aptos"/>
      <w:sz w:val="18"/>
    </w:rPr>
  </w:style>
  <w:style w:type="paragraph" w:customStyle="1" w:styleId="CounselNote">
    <w:name w:val="Counsel Note"/>
    <w:basedOn w:val="Normal"/>
    <w:pPr>
      <w:spacing w:before="20" w:after="80"/>
      <w:ind w:left="259"/>
    </w:pPr>
    <w:rPr>
      <w:rFonts w:ascii="Aptos" w:hAnsi="Aptos"/>
      <w:i/>
      <w:color w:val="5B6573"/>
      <w:sz w:val="17"/>
    </w:rPr>
  </w:style>
  <w:style w:type="paragraph" w:customStyle="1" w:styleId="Compact">
    <w:name w:val="Compact"/>
    <w:basedOn w:val="Normal"/>
    <w:pPr>
      <w:spacing w:after="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Deposition Outline — Thomas J. Whitford</dc:title>
  <dc:subject>Delgado-Reyes v. Ridgeline National Bank, N.A., Case No. 2:24-cv-03841-DLR</dc:subject>
  <dc:creator>Plaintiff’s Counsel</dc:creator>
  <cp:keywords>deposition outline, employment discrimination, retaliation</cp:keywords>
  <dc:description>generated by python-docx</dc:description>
  <cp:lastModifiedBy/>
  <cp:revision>1</cp:revision>
  <dcterms:created xsi:type="dcterms:W3CDTF">2013-12-23T23:15:00Z</dcterms:created>
  <dcterms:modified xsi:type="dcterms:W3CDTF">2013-12-23T23:15:00Z</dcterms:modified>
  <cp:category/>
</cp:coreProperties>
</file>