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color w:val="8B1E1E"/>
          <w:sz w:val="18"/>
        </w:rPr>
        <w:t>CONFIDENTIAL — ATTORNEY-CLIENT PRIVILEGED</w:t>
        <w:br/>
        <w:t>ATTORNEY WORK PRODUCT</w:t>
      </w:r>
    </w:p>
    <w:p>
      <w:pPr>
        <w:pStyle w:val="Title"/>
        <w:spacing w:after="200"/>
        <w:jc w:val="center"/>
      </w:pPr>
      <w:r>
        <w:t>DISCOVERY PLAN MEMORANDUM</w:t>
      </w:r>
    </w:p>
    <w:p>
      <w:pPr>
        <w:spacing w:after="160"/>
        <w:pBdr>
          <w:bottom w:val="single" w:sz="14" w:space="1" w:color="1F4E79"/>
        </w:pBdr>
      </w:pPr>
    </w:p>
    <w:p>
      <w:pPr>
        <w:spacing w:after="40"/>
      </w:pPr>
      <w:r>
        <w:rPr>
          <w:rFonts w:ascii="Arial" w:hAnsi="Arial"/>
          <w:b/>
          <w:color w:val="17365D"/>
          <w:sz w:val="18"/>
        </w:rPr>
        <w:t xml:space="preserve">TO:  </w:t>
      </w:r>
      <w:r>
        <w:rPr>
          <w:rFonts w:ascii="Cambria" w:hAnsi="Cambria"/>
          <w:sz w:val="20"/>
        </w:rPr>
        <w:t>Margaret Liu, In-House Counsel, Hartwell Manufacturing, Inc.</w:t>
      </w:r>
    </w:p>
    <w:p>
      <w:pPr>
        <w:spacing w:after="40"/>
      </w:pPr>
      <w:r>
        <w:rPr>
          <w:rFonts w:ascii="Arial" w:hAnsi="Arial"/>
          <w:b/>
          <w:color w:val="17365D"/>
          <w:sz w:val="18"/>
        </w:rPr>
        <w:t xml:space="preserve">CC:  </w:t>
      </w:r>
      <w:r>
        <w:rPr>
          <w:rFonts w:ascii="Cambria" w:hAnsi="Cambria"/>
          <w:sz w:val="20"/>
        </w:rPr>
        <w:t>Nathan Calloway and Rebecca Tsai, Calloway, Strathmore &amp; Voss LLP</w:t>
      </w:r>
    </w:p>
    <w:p>
      <w:pPr>
        <w:spacing w:after="40"/>
      </w:pPr>
      <w:r>
        <w:rPr>
          <w:rFonts w:ascii="Arial" w:hAnsi="Arial"/>
          <w:b/>
          <w:color w:val="17365D"/>
          <w:sz w:val="18"/>
        </w:rPr>
        <w:t xml:space="preserve">FROM:  </w:t>
      </w:r>
      <w:r>
        <w:rPr>
          <w:rFonts w:ascii="Cambria" w:hAnsi="Cambria"/>
          <w:sz w:val="20"/>
        </w:rPr>
        <w:t>Outside Counsel</w:t>
      </w:r>
    </w:p>
    <w:p>
      <w:pPr>
        <w:spacing w:after="40"/>
      </w:pPr>
      <w:r>
        <w:rPr>
          <w:rFonts w:ascii="Arial" w:hAnsi="Arial"/>
          <w:b/>
          <w:color w:val="17365D"/>
          <w:sz w:val="18"/>
        </w:rPr>
        <w:t xml:space="preserve">DATE:  </w:t>
      </w:r>
      <w:r>
        <w:rPr>
          <w:rFonts w:ascii="Cambria" w:hAnsi="Cambria"/>
          <w:sz w:val="20"/>
        </w:rPr>
        <w:t>December 9, 2024</w:t>
      </w:r>
    </w:p>
    <w:p>
      <w:pPr>
        <w:spacing w:after="40"/>
      </w:pPr>
      <w:r>
        <w:rPr>
          <w:rFonts w:ascii="Arial" w:hAnsi="Arial"/>
          <w:b/>
          <w:color w:val="17365D"/>
          <w:sz w:val="18"/>
        </w:rPr>
        <w:t xml:space="preserve">RE:  </w:t>
      </w:r>
      <w:r>
        <w:rPr>
          <w:rFonts w:ascii="Cambria" w:hAnsi="Cambria"/>
          <w:sz w:val="20"/>
        </w:rPr>
        <w:t>Rule 26(f) Conference and Proposed Discovery Plan — Case No. 1:24-cv-02187-JRA</w:t>
      </w:r>
    </w:p>
    <w:p>
      <w:pPr>
        <w:pStyle w:val="MemoSmall"/>
      </w:pPr>
      <w:r>
        <w:t>Court: United States District Court, Northern District of Ohio, Eastern Division | Judge Julia R. Alderman</w:t>
      </w:r>
    </w:p>
    <w:tbl>
      <w:tblPr>
        <w:tblW w:type="auto" w:w="0"/>
        <w:jc w:val="center"/>
        <w:tblLook w:firstColumn="1" w:firstRow="1" w:lastColumn="0" w:lastRow="0" w:noHBand="0" w:noVBand="1" w:val="04A0"/>
      </w:tblPr>
      <w:tblGrid>
        <w:gridCol w:w="9994"/>
      </w:tblGrid>
      <w:tr>
        <w:trPr>
          <w:cantSplit/>
        </w:trPr>
        <w:tc>
          <w:tcPr>
            <w:tcW w:type="dxa" w:w="9994"/>
            <w:shd w:fill="EAF2F8"/>
            <w:tcMar>
              <w:top w:w="120" w:type="dxa"/>
              <w:start w:w="150" w:type="dxa"/>
              <w:bottom w:w="120" w:type="dxa"/>
              <w:end w:w="150" w:type="dxa"/>
            </w:tcMar>
          </w:tcPr>
          <w:p>
            <w:pPr>
              <w:spacing w:after="40"/>
            </w:pPr>
            <w:r>
              <w:rPr>
                <w:rFonts w:ascii="Arial" w:hAnsi="Arial"/>
                <w:b/>
                <w:color w:val="17365D"/>
                <w:sz w:val="20"/>
              </w:rPr>
              <w:t>Purpose and bottom line</w:t>
            </w:r>
          </w:p>
          <w:p>
            <w:pPr>
              <w:spacing w:after="0" w:line="252" w:lineRule="auto"/>
            </w:pPr>
            <w:r>
              <w:rPr>
                <w:rFonts w:ascii="Cambria" w:hAnsi="Cambria"/>
                <w:sz w:val="19"/>
              </w:rPr>
              <w:t>This is an internal planning memorandum, not a proposed joint plan or a filing. The Rule 26(f) conference must occur by February 10, 2025; the joint proposed plan, Rule 26(a)(1) initial disclosures, stipulated Rule 502(d) order, and any protective order are due February 24, 2025. Hartwell should promptly close preservation gaps, exchange the Court-required source inventory, and propose focused, staged discovery without seeking a broad stay. The record implicates Hartwell’s incoming-casting controls, 100% NDE and hardness-testing obligations, July 2023 internal warnings, Pinnacle’s testing/installation and shutdown decisions, and the $612,400 invoice counterclaim.</w:t>
            </w:r>
          </w:p>
        </w:tc>
      </w:tr>
    </w:tbl>
    <w:p>
      <w:pPr>
        <w:spacing w:after="0"/>
      </w:pPr>
    </w:p>
    <w:p>
      <w:pPr>
        <w:pStyle w:val="Heading1"/>
      </w:pPr>
      <w:r>
        <w:t>I. Case posture and issues discovery must resolve</w:t>
      </w:r>
    </w:p>
    <w:p>
      <w:pPr/>
      <w:r>
        <w:t>Pinnacle alleges that 48 HV-4400 high-pressure valves delivered from April 2022 through November 2023 were defective, asserting contract, express- and implied-warranty, fraud/fraudulent-concealment, and negligent-misrepresentation claims. It seeks $12.8 million in compensatory damages and $1.9 million in punitive damages. Hartwell denies liability and asserts a $612,400 counterclaim for unpaid invoices under PO-2023-011, PO-2023-012, and PO-2023-013. The Court’s December 2, 2024 Initial Case Management Order governs the schedule and expressly calls for discussion of phasing, ESI, preservation, third-party discovery, and proportionality.</w:t>
      </w:r>
    </w:p>
    <w:tbl>
      <w:tblPr>
        <w:tblStyle w:val="TableGrid"/>
        <w:tblW w:type="auto" w:w="0"/>
        <w:jc w:val="center"/>
        <w:tblLayout w:type="fixed"/>
        <w:tblLook w:firstColumn="1" w:firstRow="1" w:lastColumn="0" w:lastRow="0" w:noHBand="0" w:noVBand="1" w:val="04A0"/>
      </w:tblPr>
      <w:tblGrid>
        <w:gridCol w:w="1800"/>
        <w:gridCol w:w="4536"/>
        <w:gridCol w:w="3528"/>
      </w:tblGrid>
      <w:tr>
        <w:trPr>
          <w:tblHeader w:val="true"/>
          <w:cantSplit/>
        </w:trPr>
        <w:tc>
          <w:tcPr>
            <w:tcW w:type="dxa" w:w="3331"/>
            <w:shd w:fill="17365D"/>
            <w:vAlign w:val="center"/>
            <w:tcMar>
              <w:top w:w="80" w:type="dxa"/>
              <w:start w:w="100" w:type="dxa"/>
              <w:bottom w:w="80" w:type="dxa"/>
              <w:end w:w="100" w:type="dxa"/>
            </w:tcMar>
          </w:tcPr>
          <w:p>
            <w:pPr>
              <w:pStyle w:val="MemoSmall"/>
              <w:spacing w:after="0"/>
            </w:pPr>
            <w:r>
              <w:rPr>
                <w:rFonts w:ascii="Arial" w:hAnsi="Arial"/>
                <w:b/>
                <w:color w:val="FFFFFF"/>
                <w:sz w:val="16"/>
              </w:rPr>
              <w:t>Issue</w:t>
            </w:r>
          </w:p>
        </w:tc>
        <w:tc>
          <w:tcPr>
            <w:tcW w:type="dxa" w:w="3331"/>
            <w:shd w:fill="17365D"/>
            <w:vAlign w:val="center"/>
            <w:tcMar>
              <w:top w:w="80" w:type="dxa"/>
              <w:start w:w="100" w:type="dxa"/>
              <w:bottom w:w="80" w:type="dxa"/>
              <w:end w:w="100" w:type="dxa"/>
            </w:tcMar>
          </w:tcPr>
          <w:p>
            <w:pPr>
              <w:pStyle w:val="MemoSmall"/>
              <w:spacing w:after="0"/>
            </w:pPr>
            <w:r>
              <w:rPr>
                <w:rFonts w:ascii="Arial" w:hAnsi="Arial"/>
                <w:b/>
                <w:color w:val="FFFFFF"/>
                <w:sz w:val="16"/>
              </w:rPr>
              <w:t>Current record / tension</w:t>
            </w:r>
          </w:p>
        </w:tc>
        <w:tc>
          <w:tcPr>
            <w:tcW w:type="dxa" w:w="3331"/>
            <w:shd w:fill="17365D"/>
            <w:vAlign w:val="center"/>
            <w:tcMar>
              <w:top w:w="80" w:type="dxa"/>
              <w:start w:w="100" w:type="dxa"/>
              <w:bottom w:w="80" w:type="dxa"/>
              <w:end w:w="100" w:type="dxa"/>
            </w:tcMar>
          </w:tcPr>
          <w:p>
            <w:pPr>
              <w:pStyle w:val="MemoSmall"/>
              <w:spacing w:after="0"/>
            </w:pPr>
            <w:r>
              <w:rPr>
                <w:rFonts w:ascii="Arial" w:hAnsi="Arial"/>
                <w:b/>
                <w:color w:val="FFFFFF"/>
                <w:sz w:val="16"/>
              </w:rPr>
              <w:t>Priority discovery</w:t>
            </w:r>
          </w:p>
        </w:tc>
      </w:tr>
      <w:tr>
        <w:trPr>
          <w:cantSplit/>
        </w:trPr>
        <w:tc>
          <w:tcPr>
            <w:tcW w:type="dxa" w:w="1800"/>
            <w:vAlign w:val="top"/>
            <w:tcMar>
              <w:top w:w="80" w:type="dxa"/>
              <w:start w:w="100" w:type="dxa"/>
              <w:bottom w:w="80" w:type="dxa"/>
              <w:end w:w="100" w:type="dxa"/>
            </w:tcMar>
          </w:tcPr>
          <w:p>
            <w:pPr>
              <w:pStyle w:val="MemoSmall"/>
              <w:spacing w:after="0" w:line="240" w:lineRule="auto"/>
            </w:pPr>
            <w:r>
              <w:rPr>
                <w:rFonts w:ascii="Cambria" w:hAnsi="Cambria"/>
                <w:sz w:val="16"/>
              </w:rPr>
              <w:t>Defect, scope, and causation</w:t>
            </w:r>
          </w:p>
        </w:tc>
        <w:tc>
          <w:tcPr>
            <w:tcW w:type="dxa" w:w="4536"/>
            <w:vAlign w:val="top"/>
            <w:tcMar>
              <w:top w:w="80" w:type="dxa"/>
              <w:start w:w="100" w:type="dxa"/>
              <w:bottom w:w="80" w:type="dxa"/>
              <w:end w:w="100" w:type="dxa"/>
            </w:tcMar>
          </w:tcPr>
          <w:p>
            <w:pPr>
              <w:pStyle w:val="MemoSmall"/>
              <w:spacing w:after="0" w:line="240" w:lineRule="auto"/>
            </w:pPr>
            <w:r>
              <w:rPr>
                <w:rFonts w:ascii="Cambria" w:hAnsi="Cambria"/>
                <w:sz w:val="16"/>
              </w:rPr>
              <w:t>Whitmore reports 9 of 11 destructively examined valves with shrinkage-type subsurface porosity and 2 with intergranular cracking / elevated hardness attributed to heat treatment. Its review of Pinnacle UT data identifies indications in 19 of the other 37, but those 19 were not destructively examined and Whitmore did not independently verify the UT inspection. The other 18 had no recordable indications.</w:t>
            </w:r>
          </w:p>
        </w:tc>
        <w:tc>
          <w:tcPr>
            <w:tcW w:type="dxa" w:w="3528"/>
            <w:vAlign w:val="top"/>
            <w:tcMar>
              <w:top w:w="80" w:type="dxa"/>
              <w:start w:w="100" w:type="dxa"/>
              <w:bottom w:w="80" w:type="dxa"/>
              <w:end w:w="100" w:type="dxa"/>
            </w:tcMar>
          </w:tcPr>
          <w:p>
            <w:pPr>
              <w:pStyle w:val="MemoSmall"/>
              <w:spacing w:after="0" w:line="240" w:lineRule="auto"/>
            </w:pPr>
            <w:r>
              <w:rPr>
                <w:rFonts w:ascii="Cambria" w:hAnsi="Cambria"/>
                <w:sz w:val="16"/>
              </w:rPr>
              <w:t>Serial/heat/PO traceability; castings and foundry records; 100% volumetric NDE, hydrostatic tests and hardness data; Pinnacle’s raw UT data, calibration, qualifications and procedures; field conditions and alternative causation.</w:t>
            </w:r>
          </w:p>
        </w:tc>
      </w:tr>
      <w:tr>
        <w:trPr>
          <w:cantSplit/>
        </w:trPr>
        <w:tc>
          <w:tcPr>
            <w:tcW w:type="dxa" w:w="1800"/>
            <w:vAlign w:val="top"/>
            <w:tcMar>
              <w:top w:w="80" w:type="dxa"/>
              <w:start w:w="100" w:type="dxa"/>
              <w:bottom w:w="80" w:type="dxa"/>
              <w:end w:w="100" w:type="dxa"/>
            </w:tcMar>
            <w:shd w:fill="F6F8FA"/>
          </w:tcPr>
          <w:p>
            <w:pPr>
              <w:pStyle w:val="MemoSmall"/>
              <w:spacing w:after="0" w:line="240" w:lineRule="auto"/>
            </w:pPr>
            <w:r>
              <w:rPr>
                <w:rFonts w:ascii="Cambria" w:hAnsi="Cambria"/>
                <w:sz w:val="16"/>
              </w:rPr>
              <w:t>Notice and knowledge / fraud</w:t>
            </w:r>
          </w:p>
        </w:tc>
        <w:tc>
          <w:tcPr>
            <w:tcW w:type="dxa" w:w="4536"/>
            <w:vAlign w:val="top"/>
            <w:tcMar>
              <w:top w:w="80" w:type="dxa"/>
              <w:start w:w="100" w:type="dxa"/>
              <w:bottom w:w="80" w:type="dxa"/>
              <w:end w:w="100" w:type="dxa"/>
            </w:tcMar>
            <w:shd w:fill="F6F8FA"/>
          </w:tcPr>
          <w:p>
            <w:pPr>
              <w:pStyle w:val="MemoSmall"/>
              <w:spacing w:after="0" w:line="240" w:lineRule="auto"/>
            </w:pPr>
            <w:r>
              <w:rPr>
                <w:rFonts w:ascii="Cambria" w:hAnsi="Cambria"/>
                <w:sz w:val="16"/>
              </w:rPr>
              <w:t>The July 8–23, 2023 Ostrowski email chain reports subsurface voids / irregularities in two Great Lakes lots, estimates about 12 affected castings out of 26, and recommends additional NDE. Kowalski directed continuation based on certifications and incoming checks; Fenton forwarded the concern to Brecker with “keep an eye on this with the customer.” These materials make targeted preservation and complete, contextual production particularly important.</w:t>
            </w:r>
          </w:p>
        </w:tc>
        <w:tc>
          <w:tcPr>
            <w:tcW w:type="dxa" w:w="3528"/>
            <w:vAlign w:val="top"/>
            <w:tcMar>
              <w:top w:w="80" w:type="dxa"/>
              <w:start w:w="100" w:type="dxa"/>
              <w:bottom w:w="80" w:type="dxa"/>
              <w:end w:w="100" w:type="dxa"/>
            </w:tcMar>
            <w:shd w:fill="F6F8FA"/>
          </w:tcPr>
          <w:p>
            <w:pPr>
              <w:pStyle w:val="MemoSmall"/>
              <w:spacing w:after="0" w:line="240" w:lineRule="auto"/>
            </w:pPr>
            <w:r>
              <w:rPr>
                <w:rFonts w:ascii="Cambria" w:hAnsi="Cambria"/>
                <w:sz w:val="16"/>
              </w:rPr>
              <w:t>Preserve native messages, photographs, attachments, Teams/texts, QualTrack entries and related decisions; identify every recipient, follow-up, lot and shipment; test what Hartwell knew and when, what corrective action was considered, and what was represented to Pinnacle.</w:t>
            </w:r>
          </w:p>
        </w:tc>
      </w:tr>
      <w:tr>
        <w:trPr>
          <w:cantSplit/>
        </w:trPr>
        <w:tc>
          <w:tcPr>
            <w:tcW w:type="dxa" w:w="1800"/>
            <w:vAlign w:val="top"/>
            <w:tcMar>
              <w:top w:w="80" w:type="dxa"/>
              <w:start w:w="100" w:type="dxa"/>
              <w:bottom w:w="80" w:type="dxa"/>
              <w:end w:w="100" w:type="dxa"/>
            </w:tcMar>
          </w:tcPr>
          <w:p>
            <w:pPr>
              <w:pStyle w:val="MemoSmall"/>
              <w:spacing w:after="0" w:line="240" w:lineRule="auto"/>
            </w:pPr>
            <w:r>
              <w:rPr>
                <w:rFonts w:ascii="Cambria" w:hAnsi="Cambria"/>
                <w:sz w:val="16"/>
              </w:rPr>
              <w:t>MSA / specifications / warranties</w:t>
            </w:r>
          </w:p>
        </w:tc>
        <w:tc>
          <w:tcPr>
            <w:tcW w:type="dxa" w:w="4536"/>
            <w:vAlign w:val="top"/>
            <w:tcMar>
              <w:top w:w="80" w:type="dxa"/>
              <w:start w:w="100" w:type="dxa"/>
              <w:bottom w:w="80" w:type="dxa"/>
              <w:end w:w="100" w:type="dxa"/>
            </w:tcMar>
          </w:tcPr>
          <w:p>
            <w:pPr>
              <w:pStyle w:val="MemoSmall"/>
              <w:spacing w:after="0" w:line="240" w:lineRule="auto"/>
            </w:pPr>
            <w:r>
              <w:rPr>
                <w:rFonts w:ascii="Cambria" w:hAnsi="Cambria"/>
                <w:sz w:val="16"/>
              </w:rPr>
              <w:t>MSA §§ 7.3, 7.6, 8, 9 and Exhibits A and D impose detailed quality obligations, supplier responsibility, 100% volumetric NDE for HV-4400 castings, 100% hydrostatic shell testing, hardness readings, and seven-year QA/QC record retention. Exhibit A describes HV-4400 body material as ASTM A217 WC6/WC9, while the Whitmore report identifies the tested castings as ASTM A216 WCB.</w:t>
            </w:r>
          </w:p>
        </w:tc>
        <w:tc>
          <w:tcPr>
            <w:tcW w:type="dxa" w:w="3528"/>
            <w:vAlign w:val="top"/>
            <w:tcMar>
              <w:top w:w="80" w:type="dxa"/>
              <w:start w:w="100" w:type="dxa"/>
              <w:bottom w:w="80" w:type="dxa"/>
              <w:end w:w="100" w:type="dxa"/>
            </w:tcMar>
          </w:tcPr>
          <w:p>
            <w:pPr>
              <w:pStyle w:val="MemoSmall"/>
              <w:spacing w:after="0" w:line="240" w:lineRule="auto"/>
            </w:pPr>
            <w:r>
              <w:rPr>
                <w:rFonts w:ascii="Cambria" w:hAnsi="Cambria"/>
                <w:sz w:val="16"/>
              </w:rPr>
              <w:t>Obtain executed POs, approved drawings, technical clarifications, certifications, lot data packages, supplier qualification / change records, and the original QA/QC procedures. Resolve the material-grade discrepancy from contemporaneous source records, not assumption.</w:t>
            </w:r>
          </w:p>
        </w:tc>
      </w:tr>
      <w:tr>
        <w:trPr>
          <w:cantSplit/>
        </w:trPr>
        <w:tc>
          <w:tcPr>
            <w:tcW w:type="dxa" w:w="1800"/>
            <w:vAlign w:val="top"/>
            <w:tcMar>
              <w:top w:w="80" w:type="dxa"/>
              <w:start w:w="100" w:type="dxa"/>
              <w:bottom w:w="80" w:type="dxa"/>
              <w:end w:w="100" w:type="dxa"/>
            </w:tcMar>
            <w:shd w:fill="F6F8FA"/>
          </w:tcPr>
          <w:p>
            <w:pPr>
              <w:pStyle w:val="MemoSmall"/>
              <w:spacing w:after="0" w:line="240" w:lineRule="auto"/>
            </w:pPr>
            <w:r>
              <w:rPr>
                <w:rFonts w:ascii="Cambria" w:hAnsi="Cambria"/>
                <w:sz w:val="16"/>
              </w:rPr>
              <w:t>Damages / mitigation</w:t>
            </w:r>
          </w:p>
        </w:tc>
        <w:tc>
          <w:tcPr>
            <w:tcW w:type="dxa" w:w="4536"/>
            <w:vAlign w:val="top"/>
            <w:tcMar>
              <w:top w:w="80" w:type="dxa"/>
              <w:start w:w="100" w:type="dxa"/>
              <w:bottom w:w="80" w:type="dxa"/>
              <w:end w:w="100" w:type="dxa"/>
            </w:tcMar>
            <w:shd w:fill="F6F8FA"/>
          </w:tcPr>
          <w:p>
            <w:pPr>
              <w:pStyle w:val="MemoSmall"/>
              <w:spacing w:after="0" w:line="240" w:lineRule="auto"/>
            </w:pPr>
            <w:r>
              <w:rPr>
                <w:rFonts w:ascii="Cambria" w:hAnsi="Cambria"/>
                <w:sz w:val="16"/>
              </w:rPr>
              <w:t>Pinnacle claims replacement ($1.3872M), labor/remediation ($2.14M), Whitmore ($385K), downtime ($8.42M), and engineering/safety ($467.8K). Its April 2024 demand estimated downtime at $5.5M; the Complaint uses $18,522/day through projected June 2025. Hartwell contends alternatives were available in about 90 days and Pinnacle rejected remediation.</w:t>
            </w:r>
          </w:p>
        </w:tc>
        <w:tc>
          <w:tcPr>
            <w:tcW w:type="dxa" w:w="3528"/>
            <w:vAlign w:val="top"/>
            <w:tcMar>
              <w:top w:w="80" w:type="dxa"/>
              <w:start w:w="100" w:type="dxa"/>
              <w:bottom w:w="80" w:type="dxa"/>
              <w:end w:w="100" w:type="dxa"/>
            </w:tcMar>
            <w:shd w:fill="F6F8FA"/>
          </w:tcPr>
          <w:p>
            <w:pPr>
              <w:pStyle w:val="MemoSmall"/>
              <w:spacing w:after="0" w:line="240" w:lineRule="auto"/>
            </w:pPr>
            <w:r>
              <w:rPr>
                <w:rFonts w:ascii="Cambria" w:hAnsi="Cambria"/>
                <w:sz w:val="16"/>
              </w:rPr>
              <w:t>Underlying daily revenue / contribution-margin support, throughput and offtake records, avoided costs, restart schedule, procurement quotes/lead times, mitigation alternatives, regulatory requirements, invoices, time records, and causation by period.</w:t>
            </w:r>
          </w:p>
        </w:tc>
      </w:tr>
      <w:tr>
        <w:trPr>
          <w:cantSplit/>
        </w:trPr>
        <w:tc>
          <w:tcPr>
            <w:tcW w:type="dxa" w:w="1800"/>
            <w:vAlign w:val="top"/>
            <w:tcMar>
              <w:top w:w="80" w:type="dxa"/>
              <w:start w:w="100" w:type="dxa"/>
              <w:bottom w:w="80" w:type="dxa"/>
              <w:end w:w="100" w:type="dxa"/>
            </w:tcMar>
          </w:tcPr>
          <w:p>
            <w:pPr>
              <w:pStyle w:val="MemoSmall"/>
              <w:spacing w:after="0" w:line="240" w:lineRule="auto"/>
            </w:pPr>
            <w:r>
              <w:rPr>
                <w:rFonts w:ascii="Cambria" w:hAnsi="Cambria"/>
                <w:sz w:val="16"/>
              </w:rPr>
              <w:t>Counterclaim / setoff</w:t>
            </w:r>
          </w:p>
        </w:tc>
        <w:tc>
          <w:tcPr>
            <w:tcW w:type="dxa" w:w="4536"/>
            <w:vAlign w:val="top"/>
            <w:tcMar>
              <w:top w:w="80" w:type="dxa"/>
              <w:start w:w="100" w:type="dxa"/>
              <w:bottom w:w="80" w:type="dxa"/>
              <w:end w:w="100" w:type="dxa"/>
            </w:tcMar>
          </w:tcPr>
          <w:p>
            <w:pPr>
              <w:pStyle w:val="MemoSmall"/>
              <w:spacing w:after="0" w:line="240" w:lineRule="auto"/>
            </w:pPr>
            <w:r>
              <w:rPr>
                <w:rFonts w:ascii="Cambria" w:hAnsi="Cambria"/>
                <w:sz w:val="16"/>
              </w:rPr>
              <w:t>Hartwell seeks $612,400 plus interest on three invoices for mixed HV-4400 and other goods. MSA §§ 4.3–4.4 address no setoff, timely written invoice disputes, payment of undisputed amounts, and dispute procedures. Pinnacle pleads setoff.</w:t>
            </w:r>
          </w:p>
        </w:tc>
        <w:tc>
          <w:tcPr>
            <w:tcW w:type="dxa" w:w="3528"/>
            <w:vAlign w:val="top"/>
            <w:tcMar>
              <w:top w:w="80" w:type="dxa"/>
              <w:start w:w="100" w:type="dxa"/>
              <w:bottom w:w="80" w:type="dxa"/>
              <w:end w:w="100" w:type="dxa"/>
            </w:tcMar>
          </w:tcPr>
          <w:p>
            <w:pPr>
              <w:pStyle w:val="MemoSmall"/>
              <w:spacing w:after="0" w:line="240" w:lineRule="auto"/>
            </w:pPr>
            <w:r>
              <w:rPr>
                <w:rFonts w:ascii="Cambria" w:hAnsi="Cambria"/>
                <w:sz w:val="16"/>
              </w:rPr>
              <w:t>Each PO/invoice line item, shipment and acceptance; amount and due date; disputed versus undisputed goods; timely notices and their detail; payments, credits, setoff basis, delivery records and interest computation.</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2F6FA"/>
            <w:tcMar>
              <w:top w:w="120" w:type="dxa"/>
              <w:start w:w="150" w:type="dxa"/>
              <w:bottom w:w="120" w:type="dxa"/>
              <w:end w:w="150" w:type="dxa"/>
            </w:tcMar>
          </w:tcPr>
          <w:p>
            <w:pPr>
              <w:spacing w:after="40"/>
            </w:pPr>
            <w:r>
              <w:rPr>
                <w:rFonts w:ascii="Arial" w:hAnsi="Arial"/>
                <w:b/>
                <w:color w:val="17365D"/>
                <w:sz w:val="20"/>
              </w:rPr>
              <w:t>Contract provisions to isolate early</w:t>
            </w:r>
          </w:p>
          <w:p>
            <w:pPr>
              <w:spacing w:after="0" w:line="252" w:lineRule="auto"/>
            </w:pPr>
            <w:r>
              <w:rPr>
                <w:rFonts w:ascii="Cambria" w:hAnsi="Cambria"/>
                <w:sz w:val="19"/>
              </w:rPr>
              <w:t>Do not describe Section 12 as only a “consequential-damages cap.” Section 12.1 separately excludes specified categories (including lost profits/revenue, loss of use, substitute goods and business interruption) but excepts damages arising from gross negligence or willful misconduct; Section 12.2 imposes a 150% aggregate cap on all claims and legal theories; Section 12.3 states the allocation is an essential basis of the bargain. The pleadings’ $5,811,300 figure is 150% of $3,874,200, but application, the relevant “Total Contract Price” date, the interaction of §§12.1–12.2 and the alleged misconduct exceptions are disputed legal issues. Also preserve facts bearing on §§8.3/8.5 (exclusive warranty remedy), 8.6 (implied-warranty disclaimer), 9.2 (express latent-defect protection), 9.4 (additional-testing notice/observation), 12.4 (contractual limitations period), and 4.4 (invoice disputes). Seek the MSA’s negotiation and performance record where relevant, but do not assume that the contract text or a pleaded exception resolves these issues.</w:t>
            </w:r>
          </w:p>
        </w:tc>
      </w:tr>
    </w:tbl>
    <w:p>
      <w:pPr>
        <w:spacing w:after="0"/>
      </w:pPr>
    </w:p>
    <w:p>
      <w:pPr>
        <w:pStyle w:val="Heading1"/>
      </w:pPr>
      <w:r>
        <w:t>II. Immediate preservation and source-mapping priorities</w:t>
      </w:r>
    </w:p>
    <w:p>
      <w:pPr/>
      <w:r>
        <w:t>The October 30, 2024 Hartwell hold followed Pinnacle’s September 25 preservation notice and the September 23 complaint. Pinnacle’s April 5 demand letter also placed Hartwell on notice of a serious dispute and expressly demanded preservation. The November 15 Aldersgate assessment found material gaps as of that date: no platform-level Microsoft 365 hold, no Ostrowski custodian hold, no express coverage of Brecker’s personal-device texts, hardcopy QA binders, or QualTrack, and no assessment of the Findlay facility. The assessment also recommends investigating any deletion, overwrite, or alteration during the pre-hold period. Do not assume these gaps remain open or are cured: verify and document the status immediately.</w:t>
      </w:r>
    </w:p>
    <w:tbl>
      <w:tblPr>
        <w:tblStyle w:val="TableGrid"/>
        <w:tblW w:type="auto" w:w="0"/>
        <w:jc w:val="center"/>
        <w:tblLayout w:type="fixed"/>
        <w:tblLook w:firstColumn="1" w:firstRow="1" w:lastColumn="0" w:lastRow="0" w:noHBand="0" w:noVBand="1" w:val="04A0"/>
      </w:tblPr>
      <w:tblGrid>
        <w:gridCol w:w="1944"/>
        <w:gridCol w:w="7920"/>
      </w:tblGrid>
      <w:tr>
        <w:trPr>
          <w:tblHeader w:val="true"/>
          <w:cantSplit/>
        </w:trPr>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6"/>
              </w:rPr>
              <w:t>Area</w:t>
            </w:r>
          </w:p>
        </w:tc>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6"/>
              </w:rPr>
              <w:t>Action before / for conference</w:t>
            </w:r>
          </w:p>
        </w:tc>
      </w:tr>
      <w:tr>
        <w:trPr>
          <w:cantSplit/>
        </w:trPr>
        <w:tc>
          <w:tcPr>
            <w:tcW w:type="dxa" w:w="1944"/>
            <w:vAlign w:val="top"/>
            <w:tcMar>
              <w:top w:w="80" w:type="dxa"/>
              <w:start w:w="100" w:type="dxa"/>
              <w:bottom w:w="80" w:type="dxa"/>
              <w:end w:w="100" w:type="dxa"/>
            </w:tcMar>
          </w:tcPr>
          <w:p>
            <w:pPr>
              <w:pStyle w:val="MemoSmall"/>
              <w:spacing w:after="0" w:line="240" w:lineRule="auto"/>
            </w:pPr>
            <w:r>
              <w:rPr>
                <w:rFonts w:ascii="Cambria" w:hAnsi="Cambria"/>
                <w:sz w:val="16"/>
              </w:rPr>
              <w:t>Custodians</w:t>
            </w:r>
          </w:p>
        </w:tc>
        <w:tc>
          <w:tcPr>
            <w:tcW w:type="dxa" w:w="7920"/>
            <w:vAlign w:val="top"/>
            <w:tcMar>
              <w:top w:w="80" w:type="dxa"/>
              <w:start w:w="100" w:type="dxa"/>
              <w:bottom w:w="80" w:type="dxa"/>
              <w:end w:w="100" w:type="dxa"/>
            </w:tcMar>
          </w:tcPr>
          <w:p>
            <w:pPr>
              <w:pStyle w:val="MemoSmall"/>
              <w:spacing w:after="0" w:line="240" w:lineRule="auto"/>
            </w:pPr>
            <w:r>
              <w:rPr>
                <w:rFonts w:ascii="Cambria" w:hAnsi="Cambria"/>
                <w:sz w:val="16"/>
              </w:rPr>
              <w:t>Immediately maintain holds for Gerald T. Hartwell, Margaret Liu, Tom Brecker, Diane Kowalski, James Fenton, and Ray Ostrowski. Add QA inspectors, NDE personnel, production / receiving / IT staff, and any Findlay personnel identified as relevant. Tier collection toward Brecker, Kowalski, Fenton, Ostrowski, and Liu; preserve and assess the CEO’s records (including archived mailbox) without prematurely excluding them.</w:t>
            </w:r>
          </w:p>
        </w:tc>
      </w:tr>
      <w:tr>
        <w:trPr>
          <w:cantSplit/>
        </w:trPr>
        <w:tc>
          <w:tcPr>
            <w:tcW w:type="dxa" w:w="1944"/>
            <w:vAlign w:val="top"/>
            <w:tcMar>
              <w:top w:w="80" w:type="dxa"/>
              <w:start w:w="100" w:type="dxa"/>
              <w:bottom w:w="80" w:type="dxa"/>
              <w:end w:w="100" w:type="dxa"/>
            </w:tcMar>
            <w:shd w:fill="F6F8FA"/>
          </w:tcPr>
          <w:p>
            <w:pPr>
              <w:pStyle w:val="MemoSmall"/>
              <w:spacing w:after="0" w:line="240" w:lineRule="auto"/>
            </w:pPr>
            <w:r>
              <w:rPr>
                <w:rFonts w:ascii="Cambria" w:hAnsi="Cambria"/>
                <w:sz w:val="16"/>
              </w:rPr>
              <w:t>M365 / collaboration</w:t>
            </w:r>
          </w:p>
        </w:tc>
        <w:tc>
          <w:tcPr>
            <w:tcW w:type="dxa" w:w="7920"/>
            <w:vAlign w:val="top"/>
            <w:tcMar>
              <w:top w:w="80" w:type="dxa"/>
              <w:start w:w="100" w:type="dxa"/>
              <w:bottom w:w="80" w:type="dxa"/>
              <w:end w:w="100" w:type="dxa"/>
            </w:tcMar>
            <w:shd w:fill="F6F8FA"/>
          </w:tcPr>
          <w:p>
            <w:pPr>
              <w:pStyle w:val="MemoSmall"/>
              <w:spacing w:after="0" w:line="240" w:lineRule="auto"/>
            </w:pPr>
            <w:r>
              <w:rPr>
                <w:rFonts w:ascii="Cambria" w:hAnsi="Cambria"/>
                <w:sz w:val="16"/>
              </w:rPr>
              <w:t>Confirm Purview in-place holds and preservation for Outlook, deleted items, Teams chats/channels, SharePoint (Pinnacle-Blackridge and Quality Documents), OneDrive, and archived mailboxes. Obtain written retention / audit information for September 2024 onward and assess deletion logs, Teams / SharePoint settings, and any recovery or backup options.</w:t>
            </w:r>
          </w:p>
        </w:tc>
      </w:tr>
      <w:tr>
        <w:trPr>
          <w:cantSplit/>
        </w:trPr>
        <w:tc>
          <w:tcPr>
            <w:tcW w:type="dxa" w:w="1944"/>
            <w:vAlign w:val="top"/>
            <w:tcMar>
              <w:top w:w="80" w:type="dxa"/>
              <w:start w:w="100" w:type="dxa"/>
              <w:bottom w:w="80" w:type="dxa"/>
              <w:end w:w="100" w:type="dxa"/>
            </w:tcMar>
          </w:tcPr>
          <w:p>
            <w:pPr>
              <w:pStyle w:val="MemoSmall"/>
              <w:spacing w:after="0" w:line="240" w:lineRule="auto"/>
            </w:pPr>
            <w:r>
              <w:rPr>
                <w:rFonts w:ascii="Cambria" w:hAnsi="Cambria"/>
                <w:sz w:val="16"/>
              </w:rPr>
              <w:t>Personal device</w:t>
            </w:r>
          </w:p>
        </w:tc>
        <w:tc>
          <w:tcPr>
            <w:tcW w:type="dxa" w:w="7920"/>
            <w:vAlign w:val="top"/>
            <w:tcMar>
              <w:top w:w="80" w:type="dxa"/>
              <w:start w:w="100" w:type="dxa"/>
              <w:bottom w:w="80" w:type="dxa"/>
              <w:end w:w="100" w:type="dxa"/>
            </w:tcMar>
          </w:tcPr>
          <w:p>
            <w:pPr>
              <w:pStyle w:val="MemoSmall"/>
              <w:spacing w:after="0" w:line="240" w:lineRule="auto"/>
            </w:pPr>
            <w:r>
              <w:rPr>
                <w:rFonts w:ascii="Cambria" w:hAnsi="Cambria"/>
                <w:sz w:val="16"/>
              </w:rPr>
              <w:t>Through counsel, instruct Brecker not to delete or alter messages, photos, attachments, voicemail, or backup data. Arrange a prompt, independent, targeted forensic preservation of his personal iPhone (including available iCloud backup), limited to business communications with Pinnacle contacts under an agreed privacy protocol. The BYOD review found no company policy authorizing Hartwell to image the device; obtain voluntary cooperation and document chain of custody.</w:t>
            </w:r>
          </w:p>
        </w:tc>
      </w:tr>
      <w:tr>
        <w:trPr>
          <w:cantSplit/>
        </w:trPr>
        <w:tc>
          <w:tcPr>
            <w:tcW w:type="dxa" w:w="1944"/>
            <w:vAlign w:val="top"/>
            <w:tcMar>
              <w:top w:w="80" w:type="dxa"/>
              <w:start w:w="100" w:type="dxa"/>
              <w:bottom w:w="80" w:type="dxa"/>
              <w:end w:w="100" w:type="dxa"/>
            </w:tcMar>
            <w:shd w:fill="F6F8FA"/>
          </w:tcPr>
          <w:p>
            <w:pPr>
              <w:pStyle w:val="MemoSmall"/>
              <w:spacing w:after="0" w:line="240" w:lineRule="auto"/>
            </w:pPr>
            <w:r>
              <w:rPr>
                <w:rFonts w:ascii="Cambria" w:hAnsi="Cambria"/>
                <w:sz w:val="16"/>
              </w:rPr>
              <w:t>Quality records</w:t>
            </w:r>
          </w:p>
        </w:tc>
        <w:tc>
          <w:tcPr>
            <w:tcW w:type="dxa" w:w="7920"/>
            <w:vAlign w:val="top"/>
            <w:tcMar>
              <w:top w:w="80" w:type="dxa"/>
              <w:start w:w="100" w:type="dxa"/>
              <w:bottom w:w="80" w:type="dxa"/>
              <w:end w:w="100" w:type="dxa"/>
            </w:tcMar>
            <w:shd w:fill="F6F8FA"/>
          </w:tcPr>
          <w:p>
            <w:pPr>
              <w:pStyle w:val="MemoSmall"/>
              <w:spacing w:after="0" w:line="240" w:lineRule="auto"/>
            </w:pPr>
            <w:r>
              <w:rPr>
                <w:rFonts w:ascii="Cambria" w:hAnsi="Cambria"/>
                <w:sz w:val="16"/>
              </w:rPr>
              <w:t>Issue a written supplemental hold to Kowalski and QA staff for the 8–12 hardcopy inspection binders; inventory, photograph, secure, and scan/OCR them. Preserve QualTrack in place and extract records with original identifiers and context. Preserve raw exports, database backups, field definitions, linked images/attachments (if any), and system audit information.</w:t>
            </w:r>
          </w:p>
        </w:tc>
      </w:tr>
      <w:tr>
        <w:trPr>
          <w:cantSplit/>
        </w:trPr>
        <w:tc>
          <w:tcPr>
            <w:tcW w:type="dxa" w:w="1944"/>
            <w:vAlign w:val="top"/>
            <w:tcMar>
              <w:top w:w="80" w:type="dxa"/>
              <w:start w:w="100" w:type="dxa"/>
              <w:bottom w:w="80" w:type="dxa"/>
              <w:end w:w="100" w:type="dxa"/>
            </w:tcMar>
          </w:tcPr>
          <w:p>
            <w:pPr>
              <w:pStyle w:val="MemoSmall"/>
              <w:spacing w:after="0" w:line="240" w:lineRule="auto"/>
            </w:pPr>
            <w:r>
              <w:rPr>
                <w:rFonts w:ascii="Cambria" w:hAnsi="Cambria"/>
                <w:sz w:val="16"/>
              </w:rPr>
              <w:t>Facilities / physical evidence</w:t>
            </w:r>
          </w:p>
        </w:tc>
        <w:tc>
          <w:tcPr>
            <w:tcW w:type="dxa" w:w="7920"/>
            <w:vAlign w:val="top"/>
            <w:tcMar>
              <w:top w:w="80" w:type="dxa"/>
              <w:start w:w="100" w:type="dxa"/>
              <w:bottom w:w="80" w:type="dxa"/>
              <w:end w:w="100" w:type="dxa"/>
            </w:tcMar>
          </w:tcPr>
          <w:p>
            <w:pPr>
              <w:pStyle w:val="MemoSmall"/>
              <w:spacing w:after="0" w:line="240" w:lineRule="auto"/>
            </w:pPr>
            <w:r>
              <w:rPr>
                <w:rFonts w:ascii="Cambria" w:hAnsi="Cambria"/>
                <w:sz w:val="16"/>
              </w:rPr>
              <w:t>Ask Hartwell and IT to confirm whether any HV-4400 manufacturing, inspection, storage, or QA occurred at Findlay; if yes, extend holds and assess its systems/custodians. Maintain serial-numbered failed specimens, remaining valves, any retained casting sections/samples, photos, test equipment records and chain-of-custody documentation. Do not conduct destructive testing or dispose/alter specimens without advance notice and a written protocol.</w:t>
            </w:r>
          </w:p>
        </w:tc>
      </w:tr>
      <w:tr>
        <w:trPr>
          <w:cantSplit/>
        </w:trPr>
        <w:tc>
          <w:tcPr>
            <w:tcW w:type="dxa" w:w="1944"/>
            <w:vAlign w:val="top"/>
            <w:tcMar>
              <w:top w:w="80" w:type="dxa"/>
              <w:start w:w="100" w:type="dxa"/>
              <w:bottom w:w="80" w:type="dxa"/>
              <w:end w:w="100" w:type="dxa"/>
            </w:tcMar>
            <w:shd w:fill="F6F8FA"/>
          </w:tcPr>
          <w:p>
            <w:pPr>
              <w:pStyle w:val="MemoSmall"/>
              <w:spacing w:after="0" w:line="240" w:lineRule="auto"/>
            </w:pPr>
            <w:r>
              <w:rPr>
                <w:rFonts w:ascii="Cambria" w:hAnsi="Cambria"/>
                <w:sz w:val="16"/>
              </w:rPr>
              <w:t>Gap and loss inquiry</w:t>
            </w:r>
          </w:p>
        </w:tc>
        <w:tc>
          <w:tcPr>
            <w:tcW w:type="dxa" w:w="7920"/>
            <w:vAlign w:val="top"/>
            <w:tcMar>
              <w:top w:w="80" w:type="dxa"/>
              <w:start w:w="100" w:type="dxa"/>
              <w:bottom w:w="80" w:type="dxa"/>
              <w:end w:w="100" w:type="dxa"/>
            </w:tcMar>
            <w:shd w:fill="F6F8FA"/>
          </w:tcPr>
          <w:p>
            <w:pPr>
              <w:pStyle w:val="MemoSmall"/>
              <w:spacing w:after="0" w:line="240" w:lineRule="auto"/>
            </w:pPr>
            <w:r>
              <w:rPr>
                <w:rFonts w:ascii="Cambria" w:hAnsi="Cambria"/>
                <w:sz w:val="16"/>
              </w:rPr>
              <w:t>Determine when the October 30 hold was actually acknowledged and implemented; when technical holds and supplemental instructions took effect; whether any relevant data were deleted, overwritten, recycled, or changed; and what can be restored. Record findings by source and date. Do not state that no material was lost until reasonable inquiry is complete.</w:t>
            </w:r>
          </w:p>
        </w:tc>
      </w:tr>
    </w:tbl>
    <w:p>
      <w:pPr>
        <w:spacing w:after="0"/>
      </w:pPr>
    </w:p>
    <w:p>
      <w:pPr>
        <w:pStyle w:val="Heading1"/>
      </w:pPr>
      <w:r>
        <w:t>III. Rule 26(f) ESI proposal</w:t>
      </w:r>
    </w:p>
    <w:p>
      <w:pPr/>
      <w:r>
        <w:t>The Court requires a written source list no later than the conference. For each source, identify information type, custodians/access, export format, limitations and estimated volume/cost. Identify any asserted not-reasonably-accessible source and factual basis no later than the February 24 plan. Aldersgate’s preliminary estimate is approximately 45,000 potentially relevant documents (about 35,200–35,500 electronic items plus 2,500–4,000 scanned pages, with a buffer for supplemental sources) and $175,000–$250,000 across collection, processing, 12-month hosting, review and production. Update both estimates after preservation remediation and collection scoping. At the conference, provide a good-faith, source-level cost/effort estimate responsive to the CMO; keep internal vendor bids and counsel’s review-budget assumptions confidential absent a specific need. The existing vendor assessment is a planning estimate, not a substitute for a current verified inventory.</w:t>
      </w:r>
    </w:p>
    <w:tbl>
      <w:tblPr>
        <w:tblStyle w:val="TableGrid"/>
        <w:tblW w:type="auto" w:w="0"/>
        <w:jc w:val="center"/>
        <w:tblLayout w:type="fixed"/>
        <w:tblLook w:firstColumn="1" w:firstRow="1" w:lastColumn="0" w:lastRow="0" w:noHBand="0" w:noVBand="1" w:val="04A0"/>
      </w:tblPr>
      <w:tblGrid>
        <w:gridCol w:w="2448"/>
        <w:gridCol w:w="7416"/>
      </w:tblGrid>
      <w:tr>
        <w:trPr>
          <w:tblHeader w:val="true"/>
          <w:cantSplit/>
        </w:trPr>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6"/>
              </w:rPr>
              <w:t>Source</w:t>
            </w:r>
          </w:p>
        </w:tc>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6"/>
              </w:rPr>
              <w:t>Known content, format, limitations and volume</w:t>
            </w:r>
          </w:p>
        </w:tc>
      </w:tr>
      <w:tr>
        <w:trPr>
          <w:cantSplit/>
        </w:trPr>
        <w:tc>
          <w:tcPr>
            <w:tcW w:type="dxa" w:w="2448"/>
            <w:vAlign w:val="top"/>
            <w:tcMar>
              <w:top w:w="80" w:type="dxa"/>
              <w:start w:w="100" w:type="dxa"/>
              <w:bottom w:w="80" w:type="dxa"/>
              <w:end w:w="100" w:type="dxa"/>
            </w:tcMar>
          </w:tcPr>
          <w:p>
            <w:pPr>
              <w:pStyle w:val="MemoSmall"/>
              <w:spacing w:after="0" w:line="240" w:lineRule="auto"/>
            </w:pPr>
            <w:r>
              <w:rPr>
                <w:rFonts w:ascii="Cambria" w:hAnsi="Cambria"/>
                <w:sz w:val="16"/>
              </w:rPr>
              <w:t>Microsoft 365: Outlook / Teams / SharePoint</w:t>
            </w:r>
          </w:p>
        </w:tc>
        <w:tc>
          <w:tcPr>
            <w:tcW w:type="dxa" w:w="7416"/>
            <w:vAlign w:val="top"/>
            <w:tcMar>
              <w:top w:w="80" w:type="dxa"/>
              <w:start w:w="100" w:type="dxa"/>
              <w:bottom w:w="80" w:type="dxa"/>
              <w:end w:w="100" w:type="dxa"/>
            </w:tcMar>
          </w:tcPr>
          <w:p>
            <w:pPr>
              <w:pStyle w:val="MemoSmall"/>
              <w:spacing w:after="0" w:line="240" w:lineRule="auto"/>
            </w:pPr>
            <w:r>
              <w:rPr>
                <w:rFonts w:ascii="Cambria" w:hAnsi="Cambria"/>
                <w:sz w:val="16"/>
              </w:rPr>
              <w:t>Email; 1:1 and group chats; Pinnacle Project and Quality Assurance channels; project and quality files. Estimate: ~18,000 email items, ~4,500 Teams messages/files, ~3,500 SharePoint documents. Export: MSG/PST or standard review export; Teams JSON/HTML; native/near-native files. Confirm holds, deleted-item treatment, metadata and retention.</w:t>
            </w:r>
          </w:p>
        </w:tc>
      </w:tr>
      <w:tr>
        <w:trPr>
          <w:cantSplit/>
        </w:trPr>
        <w:tc>
          <w:tcPr>
            <w:tcW w:type="dxa" w:w="2448"/>
            <w:vAlign w:val="top"/>
            <w:tcMar>
              <w:top w:w="80" w:type="dxa"/>
              <w:start w:w="100" w:type="dxa"/>
              <w:bottom w:w="80" w:type="dxa"/>
              <w:end w:w="100" w:type="dxa"/>
            </w:tcMar>
            <w:shd w:fill="F6F8FA"/>
          </w:tcPr>
          <w:p>
            <w:pPr>
              <w:pStyle w:val="MemoSmall"/>
              <w:spacing w:after="0" w:line="240" w:lineRule="auto"/>
            </w:pPr>
            <w:r>
              <w:rPr>
                <w:rFonts w:ascii="Cambria" w:hAnsi="Cambria"/>
                <w:sz w:val="16"/>
              </w:rPr>
              <w:t>SAP S/4HANA</w:t>
            </w:r>
          </w:p>
        </w:tc>
        <w:tc>
          <w:tcPr>
            <w:tcW w:type="dxa" w:w="7416"/>
            <w:vAlign w:val="top"/>
            <w:tcMar>
              <w:top w:w="80" w:type="dxa"/>
              <w:start w:w="100" w:type="dxa"/>
              <w:bottom w:w="80" w:type="dxa"/>
              <w:end w:w="100" w:type="dxa"/>
            </w:tcMar>
            <w:shd w:fill="F6F8FA"/>
          </w:tcPr>
          <w:p>
            <w:pPr>
              <w:pStyle w:val="MemoSmall"/>
              <w:spacing w:after="0" w:line="240" w:lineRule="auto"/>
            </w:pPr>
            <w:r>
              <w:rPr>
                <w:rFonts w:ascii="Cambria" w:hAnsi="Cambria"/>
                <w:sz w:val="16"/>
              </w:rPr>
              <w:t>Manufacturing work orders, material receipts, inspection dispositions, sales, POs, invoices and shipping. Estimate ~4,500 records. Export via SAP reports to PDF/Excel/CSV, keyed by product, customer, PO, serial/lot and date. Structured data should include a field map and usable row-level identifiers.</w:t>
            </w:r>
          </w:p>
        </w:tc>
      </w:tr>
      <w:tr>
        <w:trPr>
          <w:cantSplit/>
        </w:trPr>
        <w:tc>
          <w:tcPr>
            <w:tcW w:type="dxa" w:w="2448"/>
            <w:vAlign w:val="top"/>
            <w:tcMar>
              <w:top w:w="80" w:type="dxa"/>
              <w:start w:w="100" w:type="dxa"/>
              <w:bottom w:w="80" w:type="dxa"/>
              <w:end w:w="100" w:type="dxa"/>
            </w:tcMar>
          </w:tcPr>
          <w:p>
            <w:pPr>
              <w:pStyle w:val="MemoSmall"/>
              <w:spacing w:after="0" w:line="240" w:lineRule="auto"/>
            </w:pPr>
            <w:r>
              <w:rPr>
                <w:rFonts w:ascii="Cambria" w:hAnsi="Cambria"/>
                <w:sz w:val="16"/>
              </w:rPr>
              <w:t>QualTrack</w:t>
            </w:r>
          </w:p>
        </w:tc>
        <w:tc>
          <w:tcPr>
            <w:tcW w:type="dxa" w:w="7416"/>
            <w:vAlign w:val="top"/>
            <w:tcMar>
              <w:top w:w="80" w:type="dxa"/>
              <w:start w:w="100" w:type="dxa"/>
              <w:bottom w:w="80" w:type="dxa"/>
              <w:end w:w="100" w:type="dxa"/>
            </w:tcMar>
          </w:tcPr>
          <w:p>
            <w:pPr>
              <w:pStyle w:val="MemoSmall"/>
              <w:spacing w:after="0" w:line="240" w:lineRule="auto"/>
            </w:pPr>
            <w:r>
              <w:rPr>
                <w:rFonts w:ascii="Cambria" w:hAnsi="Cambria"/>
                <w:sz w:val="16"/>
              </w:rPr>
              <w:t>Detailed incoming/in-process/final inspection, testing, calibration, NCR, corrective-action and free-text notes; ~2,200–3,000 Pinnacle-lot records (vendor estimates ~6,800 HV-4400 records overall). No full-text search; structured filters only; CSV-only export; preserve database and export. Propose fielded, searchable row-level production with data dictionary, unique record IDs, linked context and original CSV/native preservation.</w:t>
            </w:r>
          </w:p>
        </w:tc>
      </w:tr>
      <w:tr>
        <w:trPr>
          <w:cantSplit/>
        </w:trPr>
        <w:tc>
          <w:tcPr>
            <w:tcW w:type="dxa" w:w="2448"/>
            <w:vAlign w:val="top"/>
            <w:tcMar>
              <w:top w:w="80" w:type="dxa"/>
              <w:start w:w="100" w:type="dxa"/>
              <w:bottom w:w="80" w:type="dxa"/>
              <w:end w:w="100" w:type="dxa"/>
            </w:tcMar>
            <w:shd w:fill="F6F8FA"/>
          </w:tcPr>
          <w:p>
            <w:pPr>
              <w:pStyle w:val="MemoSmall"/>
              <w:spacing w:after="0" w:line="240" w:lineRule="auto"/>
            </w:pPr>
            <w:r>
              <w:rPr>
                <w:rFonts w:ascii="Cambria" w:hAnsi="Cambria"/>
                <w:sz w:val="16"/>
              </w:rPr>
              <w:t>Mobile, hardcopy, shared drives and other systems</w:t>
            </w:r>
          </w:p>
        </w:tc>
        <w:tc>
          <w:tcPr>
            <w:tcW w:type="dxa" w:w="7416"/>
            <w:vAlign w:val="top"/>
            <w:tcMar>
              <w:top w:w="80" w:type="dxa"/>
              <w:start w:w="100" w:type="dxa"/>
              <w:bottom w:w="80" w:type="dxa"/>
              <w:end w:w="100" w:type="dxa"/>
            </w:tcMar>
            <w:shd w:fill="F6F8FA"/>
          </w:tcPr>
          <w:p>
            <w:pPr>
              <w:pStyle w:val="MemoSmall"/>
              <w:spacing w:after="0" w:line="240" w:lineRule="auto"/>
            </w:pPr>
            <w:r>
              <w:rPr>
                <w:rFonts w:ascii="Cambria" w:hAnsi="Cambria"/>
                <w:sz w:val="16"/>
              </w:rPr>
              <w:t>Brecker personal SMS/iMessage and attachments (estimated 500–2,000 messages, unknown); 8–12 QA binders / ~2,500–4,000 pages; local/network drives, OneDrive, backups, photo stores, calendars, voicemail and any Findlay data. Inventory/volume remains to be verified. Scan hardcopy with OCR and retain originals.</w:t>
            </w:r>
          </w:p>
        </w:tc>
      </w:tr>
    </w:tbl>
    <w:p>
      <w:pPr>
        <w:spacing w:after="0"/>
      </w:pPr>
    </w:p>
    <w:p>
      <w:pPr>
        <w:pStyle w:val="Heading1"/>
      </w:pPr>
      <w:r>
        <w:t>IV. Proposed production protocol and search approach</w:t>
      </w:r>
    </w:p>
    <w:p>
      <w:pPr>
        <w:pStyle w:val="ListBullet"/>
        <w:spacing w:after="40" w:line="245" w:lineRule="auto"/>
      </w:pPr>
      <w:r>
        <w:t>Use a rolling, source-by-source production schedule, with an early priority production of the July 2023 communications and attachments, related quality records, the 48-valve traceability / test package, and PO-2023-011 through -013 invoice and delivery records. Agree to reasonable written-discovery response deadlines and phased rolling productions well before the October 31, 2025 cutoff.</w:t>
      </w:r>
    </w:p>
    <w:p>
      <w:pPr>
        <w:pStyle w:val="ListBullet"/>
        <w:spacing w:after="40" w:line="245" w:lineRule="auto"/>
      </w:pPr>
      <w:r>
        <w:t>Email and ordinary office documents: propose TIFF (or reasonably usable near-native) with extracted text, standard load files and agreed metadata (custodian, sender/recipient, sent/received/created dates, subject, file name, hash, attachment relationship, and source path where available). Preserve email families and attachments. Produce spreadsheets, structured data, high-resolution images, video, CAD or other function-dependent material in native format with reasonably available metadata. Do not flatten content that needs formulas, filters, layers or context.</w:t>
      </w:r>
    </w:p>
    <w:p>
      <w:pPr>
        <w:pStyle w:val="ListBullet"/>
        <w:spacing w:after="40" w:line="245" w:lineRule="auto"/>
      </w:pPr>
      <w:r>
        <w:t>SAP / QualTrack: propose structured production that is searchable and reasonably usable, with a data dictionary, field mapping, date/time conventions, unique row/record IDs, stable serial/lot/PO keys and related-record context. For QualTrack, a processed, fielded load-file or equivalent row-level export is preferable to an unexplained raw CSV. Preserve and make available the original CSV exports and source database; test a sample with Pinnacle and discuss any genuinely necessary additional export before claiming undue burden. The system is used operationally, so do not rely on its limitations alone to label it inaccessible under Rule 26(b)(2)(B).</w:t>
      </w:r>
    </w:p>
    <w:p>
      <w:pPr>
        <w:pStyle w:val="ListBullet"/>
        <w:spacing w:after="40" w:line="245" w:lineRule="auto"/>
      </w:pPr>
      <w:r>
        <w:t>Agree on exact deduplication (including attachment families), preservation of custodian/source provenance, date/time normalization, OCR quality control, Bates numbering, exception reporting, and treatment of embedded/linked files. No metadata stripping; no unilateral destruction of originals. Use a Rule of Evidence 502(d) order and a practical privilege-log protocol (categorical logging for agreed categories, with sufficient identifying information), with final logs by November 30, 2025 as ordered.</w:t>
      </w:r>
    </w:p>
    <w:p>
      <w:pPr>
        <w:pStyle w:val="ListBullet"/>
        <w:spacing w:after="40" w:line="245" w:lineRule="auto"/>
      </w:pPr>
      <w:r>
        <w:t>Use targeted date ranges: (1) January 1, 2021–March 12, 2022 for MSA negotiations and specifications; (2) January 1, 2022–November 30, 2023 for production, supplier and delivery records; (3) July 1, 2023–present for irregularities, complaints, testing, quality decisions, mitigation and litigation; and (4) the relevant invoice dates–present for the counterclaim. Preserve all relevant material from January 1, 2021 forward and supplement for later-created responsive records.</w:t>
      </w:r>
    </w:p>
    <w:p>
      <w:pPr>
        <w:pStyle w:val="ListBullet"/>
        <w:spacing w:after="40" w:line="245" w:lineRule="auto"/>
      </w:pPr>
      <w:r>
        <w:t>Propose iterative search terms rather than a rigid exhaustive list, with hit counts and sampling. Seed terms should include variants of “HV-4400” / “HV 4400”; Pinnacle / Blackridge / Marsh / Reeves / Alcott; Great Lakes / GLF; relevant lot and heat numbers (including GL-2023-0618, GL-2023-0625, GLF-4417 through GLF-4459, as applicable); “porosity,” “void,” “irregularity,” “pitting,” “NDE,” “UT,” “radiograph,” “heat treatment,” “hardness,” “NCR,” and “corrective action.” Refine based on test results and confirm potentially important names/records are captured. Evaluate TAR only after sample volumes and complexity are known; agree to validation before use.</w:t>
      </w:r>
    </w:p>
    <w:p>
      <w:pPr>
        <w:pStyle w:val="ListBullet"/>
        <w:spacing w:after="40" w:line="245" w:lineRule="auto"/>
      </w:pPr>
      <w:r>
        <w:t>Use an agreed confidentiality / attorneys’-eyes-only tier for sensitive manufacturing, pricing, customer, and supplier material, subject to a protective order. The CMO requires the parties to submit the proposed protective order and Rule 502(d) order by February 24, 2025.</w:t>
      </w:r>
    </w:p>
    <w:p>
      <w:pPr>
        <w:pStyle w:val="Heading1"/>
      </w:pPr>
      <w:r>
        <w:t>V. Written discovery, depositions, and focused issue development</w:t>
      </w:r>
    </w:p>
    <w:p>
      <w:pPr/>
      <w:r>
        <w:t>The Court limits each side to 25 interrogatories (including discrete subparts), 10 fact depositions of no more than seven hours each, with leave required for additional fact depositions. There is no numerical RFP limit, but proportionality and non-duplication apply. Reserve the limited interrogatories for pinning down the claim, defense, damages and product-traceability positions; use specific, staged RFPs for records.</w:t>
      </w:r>
    </w:p>
    <w:tbl>
      <w:tblPr>
        <w:tblStyle w:val="TableGrid"/>
        <w:tblW w:type="auto" w:w="0"/>
        <w:jc w:val="center"/>
        <w:tblLayout w:type="fixed"/>
        <w:tblLook w:firstColumn="1" w:firstRow="1" w:lastColumn="0" w:lastRow="0" w:noHBand="0" w:noVBand="1" w:val="04A0"/>
      </w:tblPr>
      <w:tblGrid>
        <w:gridCol w:w="2448"/>
        <w:gridCol w:w="7416"/>
      </w:tblGrid>
      <w:tr>
        <w:trPr>
          <w:tblHeader w:val="true"/>
          <w:cantSplit/>
        </w:trPr>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6"/>
              </w:rPr>
              <w:t>Workstream</w:t>
            </w:r>
          </w:p>
        </w:tc>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6"/>
              </w:rPr>
              <w:t>Core requests / topics</w:t>
            </w:r>
          </w:p>
        </w:tc>
      </w:tr>
      <w:tr>
        <w:trPr>
          <w:cantSplit/>
        </w:trPr>
        <w:tc>
          <w:tcPr>
            <w:tcW w:type="dxa" w:w="2448"/>
            <w:vAlign w:val="top"/>
            <w:tcMar>
              <w:top w:w="80" w:type="dxa"/>
              <w:start w:w="100" w:type="dxa"/>
              <w:bottom w:w="80" w:type="dxa"/>
              <w:end w:w="100" w:type="dxa"/>
            </w:tcMar>
          </w:tcPr>
          <w:p>
            <w:pPr>
              <w:pStyle w:val="MemoSmall"/>
              <w:spacing w:after="0" w:line="240" w:lineRule="auto"/>
            </w:pPr>
            <w:r>
              <w:rPr>
                <w:rFonts w:ascii="Cambria" w:hAnsi="Cambria"/>
                <w:sz w:val="16"/>
              </w:rPr>
              <w:t>Hartwell production / quality</w:t>
            </w:r>
          </w:p>
        </w:tc>
        <w:tc>
          <w:tcPr>
            <w:tcW w:type="dxa" w:w="7416"/>
            <w:vAlign w:val="top"/>
            <w:tcMar>
              <w:top w:w="80" w:type="dxa"/>
              <w:start w:w="100" w:type="dxa"/>
              <w:bottom w:w="80" w:type="dxa"/>
              <w:end w:w="100" w:type="dxa"/>
            </w:tcMar>
          </w:tcPr>
          <w:p>
            <w:pPr>
              <w:pStyle w:val="MemoSmall"/>
              <w:spacing w:after="0" w:line="240" w:lineRule="auto"/>
            </w:pPr>
            <w:r>
              <w:rPr>
                <w:rFonts w:ascii="Cambria" w:hAnsi="Cambria"/>
                <w:sz w:val="16"/>
              </w:rPr>
              <w:t>Every HV-4400 lot and serial/heat/PO crosswalk; receiving, casting, material grade, MTRs, heat-treatment records, 100% volumetric NDE scans/films and Level II/III qualifications, hardness readings, hydrostatic test records, final certificates and data packages; applicable drawings/spec revisions; inspection criteria; QualTrack and SAP records; all NCRs, corrective/preventive actions, audits, complaints, returns, recalls and customer notifications.</w:t>
            </w:r>
          </w:p>
        </w:tc>
      </w:tr>
      <w:tr>
        <w:trPr>
          <w:cantSplit/>
        </w:trPr>
        <w:tc>
          <w:tcPr>
            <w:tcW w:type="dxa" w:w="2448"/>
            <w:vAlign w:val="top"/>
            <w:tcMar>
              <w:top w:w="80" w:type="dxa"/>
              <w:start w:w="100" w:type="dxa"/>
              <w:bottom w:w="80" w:type="dxa"/>
              <w:end w:w="100" w:type="dxa"/>
            </w:tcMar>
            <w:shd w:fill="F6F8FA"/>
          </w:tcPr>
          <w:p>
            <w:pPr>
              <w:pStyle w:val="MemoSmall"/>
              <w:spacing w:after="0" w:line="240" w:lineRule="auto"/>
            </w:pPr>
            <w:r>
              <w:rPr>
                <w:rFonts w:ascii="Cambria" w:hAnsi="Cambria"/>
                <w:sz w:val="16"/>
              </w:rPr>
              <w:t>Knowledge / communications</w:t>
            </w:r>
          </w:p>
        </w:tc>
        <w:tc>
          <w:tcPr>
            <w:tcW w:type="dxa" w:w="7416"/>
            <w:vAlign w:val="top"/>
            <w:tcMar>
              <w:top w:w="80" w:type="dxa"/>
              <w:start w:w="100" w:type="dxa"/>
              <w:bottom w:w="80" w:type="dxa"/>
              <w:end w:w="100" w:type="dxa"/>
            </w:tcMar>
            <w:shd w:fill="F6F8FA"/>
          </w:tcPr>
          <w:p>
            <w:pPr>
              <w:pStyle w:val="MemoSmall"/>
              <w:spacing w:after="0" w:line="240" w:lineRule="auto"/>
            </w:pPr>
            <w:r>
              <w:rPr>
                <w:rFonts w:ascii="Cambria" w:hAnsi="Cambria"/>
                <w:sz w:val="16"/>
              </w:rPr>
              <w:t>Native July 2023 Ostrowski chain and photographs; all internal/external communications concerning casting irregularities, supplier certifications, continued production, extra NDE, Pinnacle delivery, quality representations, and any other affected customers/lots. Include relevant Teams, texts and meeting notes, not just email. Search custodian and database records together.</w:t>
            </w:r>
          </w:p>
        </w:tc>
      </w:tr>
      <w:tr>
        <w:trPr>
          <w:cantSplit/>
        </w:trPr>
        <w:tc>
          <w:tcPr>
            <w:tcW w:type="dxa" w:w="2448"/>
            <w:vAlign w:val="top"/>
            <w:tcMar>
              <w:top w:w="80" w:type="dxa"/>
              <w:start w:w="100" w:type="dxa"/>
              <w:bottom w:w="80" w:type="dxa"/>
              <w:end w:w="100" w:type="dxa"/>
            </w:tcMar>
          </w:tcPr>
          <w:p>
            <w:pPr>
              <w:pStyle w:val="MemoSmall"/>
              <w:spacing w:after="0" w:line="240" w:lineRule="auto"/>
            </w:pPr>
            <w:r>
              <w:rPr>
                <w:rFonts w:ascii="Cambria" w:hAnsi="Cambria"/>
                <w:sz w:val="16"/>
              </w:rPr>
              <w:t>Pinnacle liability / defenses</w:t>
            </w:r>
          </w:p>
        </w:tc>
        <w:tc>
          <w:tcPr>
            <w:tcW w:type="dxa" w:w="7416"/>
            <w:vAlign w:val="top"/>
            <w:tcMar>
              <w:top w:w="80" w:type="dxa"/>
              <w:start w:w="100" w:type="dxa"/>
              <w:bottom w:w="80" w:type="dxa"/>
              <w:end w:w="100" w:type="dxa"/>
            </w:tcMar>
          </w:tcPr>
          <w:p>
            <w:pPr>
              <w:pStyle w:val="MemoSmall"/>
              <w:spacing w:after="0" w:line="240" w:lineRule="auto"/>
            </w:pPr>
            <w:r>
              <w:rPr>
                <w:rFonts w:ascii="Cambria" w:hAnsi="Cambria"/>
                <w:sz w:val="16"/>
              </w:rPr>
              <w:t>All HV-4400 purchase, receipt, acceptance, installation and maintenance records; installation manuals and torque logs; valve serial and location mapping; pressure/operating/temperature histories; failure reports and shutdown decision records; notice to Hartwell; Section 9.4 notice/observation requests and Whitmore testing protocol; UT raw data, calibration and operator credentials; communications with Hartwell and experts.</w:t>
            </w:r>
          </w:p>
        </w:tc>
      </w:tr>
      <w:tr>
        <w:trPr>
          <w:cantSplit/>
        </w:trPr>
        <w:tc>
          <w:tcPr>
            <w:tcW w:type="dxa" w:w="2448"/>
            <w:vAlign w:val="top"/>
            <w:tcMar>
              <w:top w:w="80" w:type="dxa"/>
              <w:start w:w="100" w:type="dxa"/>
              <w:bottom w:w="80" w:type="dxa"/>
              <w:end w:w="100" w:type="dxa"/>
            </w:tcMar>
            <w:shd w:fill="F6F8FA"/>
          </w:tcPr>
          <w:p>
            <w:pPr>
              <w:pStyle w:val="MemoSmall"/>
              <w:spacing w:after="0" w:line="240" w:lineRule="auto"/>
            </w:pPr>
            <w:r>
              <w:rPr>
                <w:rFonts w:ascii="Cambria" w:hAnsi="Cambria"/>
                <w:sz w:val="16"/>
              </w:rPr>
              <w:t>Damages</w:t>
            </w:r>
          </w:p>
        </w:tc>
        <w:tc>
          <w:tcPr>
            <w:tcW w:type="dxa" w:w="7416"/>
            <w:vAlign w:val="top"/>
            <w:tcMar>
              <w:top w:w="80" w:type="dxa"/>
              <w:start w:w="100" w:type="dxa"/>
              <w:bottom w:w="80" w:type="dxa"/>
              <w:end w:w="100" w:type="dxa"/>
            </w:tcMar>
            <w:shd w:fill="F6F8FA"/>
          </w:tcPr>
          <w:p>
            <w:pPr>
              <w:pStyle w:val="MemoSmall"/>
              <w:spacing w:after="0" w:line="240" w:lineRule="auto"/>
            </w:pPr>
            <w:r>
              <w:rPr>
                <w:rFonts w:ascii="Cambria" w:hAnsi="Cambria"/>
                <w:sz w:val="16"/>
              </w:rPr>
              <w:t>Native financial/operating data underlying daily $18,522 figure; gross revenue versus net margin, avoided costs, throughput and offtake/penalty records; shutdown, partial operation and restart timeline; alternative supplier inquiries, bids, purchase orders and lead times; labor hours/rates, invoices, consultant and regulatory charges, testing invoices; mitigation analyses and board/management approvals. Require updated computations as damages accrue.</w:t>
            </w:r>
          </w:p>
        </w:tc>
      </w:tr>
      <w:tr>
        <w:trPr>
          <w:cantSplit/>
        </w:trPr>
        <w:tc>
          <w:tcPr>
            <w:tcW w:type="dxa" w:w="2448"/>
            <w:vAlign w:val="top"/>
            <w:tcMar>
              <w:top w:w="80" w:type="dxa"/>
              <w:start w:w="100" w:type="dxa"/>
              <w:bottom w:w="80" w:type="dxa"/>
              <w:end w:w="100" w:type="dxa"/>
            </w:tcMar>
          </w:tcPr>
          <w:p>
            <w:pPr>
              <w:pStyle w:val="MemoSmall"/>
              <w:spacing w:after="0" w:line="240" w:lineRule="auto"/>
            </w:pPr>
            <w:r>
              <w:rPr>
                <w:rFonts w:ascii="Cambria" w:hAnsi="Cambria"/>
                <w:sz w:val="16"/>
              </w:rPr>
              <w:t>Unpaid invoices</w:t>
            </w:r>
          </w:p>
        </w:tc>
        <w:tc>
          <w:tcPr>
            <w:tcW w:type="dxa" w:w="7416"/>
            <w:vAlign w:val="top"/>
            <w:tcMar>
              <w:top w:w="80" w:type="dxa"/>
              <w:start w:w="100" w:type="dxa"/>
              <w:bottom w:w="80" w:type="dxa"/>
              <w:end w:w="100" w:type="dxa"/>
            </w:tcMar>
          </w:tcPr>
          <w:p>
            <w:pPr>
              <w:pStyle w:val="MemoSmall"/>
              <w:spacing w:after="0" w:line="240" w:lineRule="auto"/>
            </w:pPr>
            <w:r>
              <w:rPr>
                <w:rFonts w:ascii="Cambria" w:hAnsi="Cambria"/>
                <w:sz w:val="16"/>
              </w:rPr>
              <w:t>For each of PO-2023-011, -012 and -013: purchase order, accepted order, mixed line items, delivery/acceptance, invoice date and receipt, due date, payments/credits, timely §4.4 dispute notice, amount actually disputed, setoff calculation and interest. Request Pinnacle’s factual and contractual basis for withholding non-HV-4400 goods.</w:t>
            </w:r>
          </w:p>
        </w:tc>
      </w:tr>
    </w:tbl>
    <w:p>
      <w:pPr>
        <w:spacing w:after="0"/>
      </w:pPr>
    </w:p>
    <w:p>
      <w:pPr>
        <w:pStyle w:val="Heading1"/>
      </w:pPr>
      <w:r>
        <w:t>VI. Third-party evidence and physical examination</w:t>
      </w:r>
    </w:p>
    <w:p>
      <w:pPr/>
      <w:r>
        <w:t>Great Lakes Foundry Partners, LLC (Erie, Pennsylvania) is central to origin, treatment and lot traceability; Hartwell’s own MSA §§ 7.6 and Exhibit E, however, state that use/approval of a sub-tier supplier does not relieve Hartwell of responsibility. Discovery should develop supplier facts without treating the vendor as a substitute for Hartwell’s contract obligations. The CMO requires at least 14 days’ written notice to all parties before any Rule 45 subpoena, including the proposed subpoena, and a meet-and-confer before motion practice.</w:t>
      </w:r>
    </w:p>
    <w:p>
      <w:pPr>
        <w:pStyle w:val="ListBullet"/>
        <w:spacing w:after="40" w:line="245" w:lineRule="auto"/>
      </w:pPr>
      <w:r>
        <w:t>Prepare a narrowly tailored Rule 45 subpoena to Great Lakes after notice to Pinnacle: castings supplied for the 48 valves and the identified production/heat lots; order/specification, MTRs, furnace time-temperature records, NDE (RT/UT) raw data and interpretations, foundry process controls, NCR/CAPA, correspondence with Hartwell, audits/qualification, and complaints or returns involving the same casting process during the relevant period. Seek a knowledgeable witness only if records leave material questions, to avoid burden and conserve deposition slots.</w:t>
      </w:r>
    </w:p>
    <w:p>
      <w:pPr>
        <w:pStyle w:val="ListBullet"/>
        <w:spacing w:after="40" w:line="245" w:lineRule="auto"/>
      </w:pPr>
      <w:r>
        <w:t>Before destructive or additional nondestructive examination, exchange proposed protocols, serial/heat identification, methods/acceptance criteria, calibration and qualifications, notice and observation rights, chain of custody, data/imagery, and specimen disposition. The 11 sectioned valves and the remaining 37 valves should be inventoried; the 19 UT-positive valves are not confirmed defective by destructive analysis. Consider agreed independent phased-array UT or radiography and a limited, representative destructive sample if technically justified.</w:t>
      </w:r>
    </w:p>
    <w:p>
      <w:pPr>
        <w:pStyle w:val="ListBullet"/>
        <w:spacing w:after="40" w:line="245" w:lineRule="auto"/>
      </w:pPr>
      <w:r>
        <w:t>Seek Whitmore’s complete case file for any testifying expert: instructions, data considered, raw measurements, photos/micrographs, calibration, chain-of-custody, test procedures, drafts/communications to the extent discoverable under Rule 26(b)(4), and the data supporting the 19 indications. The report is marked prepared at counsel’s direction, but is affirmatively relied on in the Complaint; assess any privilege/work-product position carefully and separately from discoverable expert facts and test data.</w:t>
      </w:r>
    </w:p>
    <w:p>
      <w:pPr>
        <w:pStyle w:val="ListBullet"/>
        <w:spacing w:after="40" w:line="245" w:lineRule="auto"/>
      </w:pPr>
      <w:r>
        <w:t>Consider, before the April 30, 2025 pleading-amendment/joinder deadline, whether facts support any claim against Great Lakes or another party. Evaluate contractual supplier remedies and contribution/indemnity; MSA § 7.6 and Exhibit E expressly allocate sub-tier quality responsibility to Hartwell.</w:t>
      </w:r>
    </w:p>
    <w:p>
      <w:pPr>
        <w:pStyle w:val="Heading1"/>
      </w:pPr>
      <w:r>
        <w:t>VII. Phasing, depositions, experts, and case schedule</w:t>
      </w:r>
    </w:p>
    <w:p>
      <w:pPr/>
      <w:r>
        <w:t>Recommended approach: agree to a modest first-stage sequence, not a blanket stay. Stage 1 should promptly resolve core MSA/specification issues, Hartwell’s lot-level quality / warning evidence, test reliability and preservation, invoice liability, and a focused damages record. After an initial 60–90 days of targeted document exchange, counsel can assess whether a partial motion on contract interpretation / liability cap, warranty remedy, fraud independence, or counterclaim can narrow later discovery. Do not defer discovery of the July 2023 warning chain, raw quality records, or evidence necessary to evaluate the alleged fraud while litigating a cap issue: those facts overlap and a stay could prejudice either side. The Court may entertain discrete early motions but may stay issues only by order.</w:t>
      </w:r>
    </w:p>
    <w:p>
      <w:pPr/>
      <w:r>
        <w:t>Proposed deposition planning (subject to conference and the 10-fact-deposition cap): prioritize a Hartwell Rule 30(b)(6) witness on manufacturing, supplier oversight, MSA testing requirements, QualTrack/SAP and preservation; Kowalski; Fenton; Ostrowski; Brecker; a Pinnacle Rule 30(b)(6) witness on testing, shutdown, damages and mitigation; Reeves and/or Alcott; Marsh for procurement/invoices and communications; and a Great Lakes witness only if necessary. Avoid duplicative corporate/individual examinations; define focused 30(b)(6) topics and preserve slots for unexpected needs. Expert depositions are separately governed by the CMO’s expert schedule and should not be presumed to count as fact depositions.</w:t>
      </w:r>
    </w:p>
    <w:p>
      <w:pPr/>
      <w:r>
        <w:t>Technical experts likely include metallurgical/foundry quality and NDE, valve manufacturing / standards, installation and operations, and damages / lost profits. Hartwell should identify and retain its experts early enough to meet the affirmative report deadline. Expert reports must be served by August 1, 2025; rebuttal reports by September 15, 2025; all expert depositions by October 31, 2025. Any supplemental testing or inspection must be completed early enough for the experts to analyze it and meet those dates.</w:t>
      </w:r>
    </w:p>
    <w:tbl>
      <w:tblPr>
        <w:tblStyle w:val="TableGrid"/>
        <w:tblW w:type="auto" w:w="0"/>
        <w:jc w:val="center"/>
        <w:tblLayout w:type="fixed"/>
        <w:tblLook w:firstColumn="1" w:firstRow="1" w:lastColumn="0" w:lastRow="0" w:noHBand="0" w:noVBand="1" w:val="04A0"/>
      </w:tblPr>
      <w:tblGrid>
        <w:gridCol w:w="6840"/>
        <w:gridCol w:w="3024"/>
      </w:tblGrid>
      <w:tr>
        <w:trPr>
          <w:tblHeader w:val="true"/>
          <w:cantSplit/>
        </w:trPr>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7"/>
              </w:rPr>
              <w:t>Event</w:t>
            </w:r>
          </w:p>
        </w:tc>
        <w:tc>
          <w:tcPr>
            <w:tcW w:type="dxa" w:w="4997"/>
            <w:shd w:fill="17365D"/>
            <w:vAlign w:val="center"/>
            <w:tcMar>
              <w:top w:w="80" w:type="dxa"/>
              <w:start w:w="100" w:type="dxa"/>
              <w:bottom w:w="80" w:type="dxa"/>
              <w:end w:w="100" w:type="dxa"/>
            </w:tcMar>
          </w:tcPr>
          <w:p>
            <w:pPr>
              <w:pStyle w:val="MemoSmall"/>
              <w:spacing w:after="0"/>
            </w:pPr>
            <w:r>
              <w:rPr>
                <w:rFonts w:ascii="Arial" w:hAnsi="Arial"/>
                <w:b/>
                <w:color w:val="FFFFFF"/>
                <w:sz w:val="17"/>
              </w:rPr>
              <w:t>Court-ordered deadline</w:t>
            </w:r>
          </w:p>
        </w:tc>
      </w:tr>
      <w:tr>
        <w:trPr>
          <w:cantSplit/>
        </w:trPr>
        <w:tc>
          <w:tcPr>
            <w:tcW w:type="dxa" w:w="6840"/>
            <w:vAlign w:val="top"/>
            <w:tcMar>
              <w:top w:w="80" w:type="dxa"/>
              <w:start w:w="100" w:type="dxa"/>
              <w:bottom w:w="80" w:type="dxa"/>
              <w:end w:w="100" w:type="dxa"/>
            </w:tcMar>
          </w:tcPr>
          <w:p>
            <w:pPr>
              <w:pStyle w:val="MemoSmall"/>
              <w:spacing w:after="0" w:line="240" w:lineRule="auto"/>
            </w:pPr>
            <w:r>
              <w:rPr>
                <w:rFonts w:ascii="Cambria" w:hAnsi="Cambria"/>
                <w:sz w:val="17"/>
              </w:rPr>
              <w:t>Rule 26(f) conference</w:t>
            </w:r>
          </w:p>
        </w:tc>
        <w:tc>
          <w:tcPr>
            <w:tcW w:type="dxa" w:w="3024"/>
            <w:vAlign w:val="top"/>
            <w:tcMar>
              <w:top w:w="80" w:type="dxa"/>
              <w:start w:w="100" w:type="dxa"/>
              <w:bottom w:w="80" w:type="dxa"/>
              <w:end w:w="100" w:type="dxa"/>
            </w:tcMar>
          </w:tcPr>
          <w:p>
            <w:pPr>
              <w:pStyle w:val="MemoSmall"/>
              <w:spacing w:after="0" w:line="240" w:lineRule="auto"/>
            </w:pPr>
            <w:r>
              <w:rPr>
                <w:rFonts w:ascii="Cambria" w:hAnsi="Cambria"/>
                <w:sz w:val="17"/>
              </w:rPr>
              <w:t>No later than February 10, 2025</w:t>
            </w:r>
          </w:p>
        </w:tc>
      </w:tr>
      <w:tr>
        <w:trPr>
          <w:cantSplit/>
        </w:trPr>
        <w:tc>
          <w:tcPr>
            <w:tcW w:type="dxa" w:w="6840"/>
            <w:vAlign w:val="top"/>
            <w:tcMar>
              <w:top w:w="80" w:type="dxa"/>
              <w:start w:w="100" w:type="dxa"/>
              <w:bottom w:w="80" w:type="dxa"/>
              <w:end w:w="100" w:type="dxa"/>
            </w:tcMar>
            <w:shd w:fill="F6F8FA"/>
          </w:tcPr>
          <w:p>
            <w:pPr>
              <w:pStyle w:val="MemoSmall"/>
              <w:spacing w:after="0" w:line="240" w:lineRule="auto"/>
            </w:pPr>
            <w:r>
              <w:rPr>
                <w:rFonts w:ascii="Cambria" w:hAnsi="Cambria"/>
                <w:sz w:val="17"/>
              </w:rPr>
              <w:t>Initial disclosures; joint discovery plan; stipulated protective order and Rule 502(d) order</w:t>
            </w:r>
          </w:p>
        </w:tc>
        <w:tc>
          <w:tcPr>
            <w:tcW w:type="dxa" w:w="3024"/>
            <w:vAlign w:val="top"/>
            <w:tcMar>
              <w:top w:w="80" w:type="dxa"/>
              <w:start w:w="100" w:type="dxa"/>
              <w:bottom w:w="80" w:type="dxa"/>
              <w:end w:w="100" w:type="dxa"/>
            </w:tcMar>
            <w:shd w:fill="F6F8FA"/>
          </w:tcPr>
          <w:p>
            <w:pPr>
              <w:pStyle w:val="MemoSmall"/>
              <w:spacing w:after="0" w:line="240" w:lineRule="auto"/>
            </w:pPr>
            <w:r>
              <w:rPr>
                <w:rFonts w:ascii="Cambria" w:hAnsi="Cambria"/>
                <w:sz w:val="17"/>
              </w:rPr>
              <w:t>February 24, 2025</w:t>
            </w:r>
          </w:p>
        </w:tc>
      </w:tr>
      <w:tr>
        <w:trPr>
          <w:cantSplit/>
        </w:trPr>
        <w:tc>
          <w:tcPr>
            <w:tcW w:type="dxa" w:w="6840"/>
            <w:vAlign w:val="top"/>
            <w:tcMar>
              <w:top w:w="80" w:type="dxa"/>
              <w:start w:w="100" w:type="dxa"/>
              <w:bottom w:w="80" w:type="dxa"/>
              <w:end w:w="100" w:type="dxa"/>
            </w:tcMar>
          </w:tcPr>
          <w:p>
            <w:pPr>
              <w:pStyle w:val="MemoSmall"/>
              <w:spacing w:after="0" w:line="240" w:lineRule="auto"/>
            </w:pPr>
            <w:r>
              <w:rPr>
                <w:rFonts w:ascii="Cambria" w:hAnsi="Cambria"/>
                <w:sz w:val="17"/>
              </w:rPr>
              <w:t>Amend pleadings / join parties</w:t>
            </w:r>
          </w:p>
        </w:tc>
        <w:tc>
          <w:tcPr>
            <w:tcW w:type="dxa" w:w="3024"/>
            <w:vAlign w:val="top"/>
            <w:tcMar>
              <w:top w:w="80" w:type="dxa"/>
              <w:start w:w="100" w:type="dxa"/>
              <w:bottom w:w="80" w:type="dxa"/>
              <w:end w:w="100" w:type="dxa"/>
            </w:tcMar>
          </w:tcPr>
          <w:p>
            <w:pPr>
              <w:pStyle w:val="MemoSmall"/>
              <w:spacing w:after="0" w:line="240" w:lineRule="auto"/>
            </w:pPr>
            <w:r>
              <w:rPr>
                <w:rFonts w:ascii="Cambria" w:hAnsi="Cambria"/>
                <w:sz w:val="17"/>
              </w:rPr>
              <w:t>April 30, 2025</w:t>
            </w:r>
          </w:p>
        </w:tc>
      </w:tr>
      <w:tr>
        <w:trPr>
          <w:cantSplit/>
        </w:trPr>
        <w:tc>
          <w:tcPr>
            <w:tcW w:type="dxa" w:w="6840"/>
            <w:vAlign w:val="top"/>
            <w:tcMar>
              <w:top w:w="80" w:type="dxa"/>
              <w:start w:w="100" w:type="dxa"/>
              <w:bottom w:w="80" w:type="dxa"/>
              <w:end w:w="100" w:type="dxa"/>
            </w:tcMar>
            <w:shd w:fill="F6F8FA"/>
          </w:tcPr>
          <w:p>
            <w:pPr>
              <w:pStyle w:val="MemoSmall"/>
              <w:spacing w:after="0" w:line="240" w:lineRule="auto"/>
            </w:pPr>
            <w:r>
              <w:rPr>
                <w:rFonts w:ascii="Cambria" w:hAnsi="Cambria"/>
                <w:sz w:val="17"/>
              </w:rPr>
              <w:t>Affirmative expert reports</w:t>
            </w:r>
          </w:p>
        </w:tc>
        <w:tc>
          <w:tcPr>
            <w:tcW w:type="dxa" w:w="3024"/>
            <w:vAlign w:val="top"/>
            <w:tcMar>
              <w:top w:w="80" w:type="dxa"/>
              <w:start w:w="100" w:type="dxa"/>
              <w:bottom w:w="80" w:type="dxa"/>
              <w:end w:w="100" w:type="dxa"/>
            </w:tcMar>
            <w:shd w:fill="F6F8FA"/>
          </w:tcPr>
          <w:p>
            <w:pPr>
              <w:pStyle w:val="MemoSmall"/>
              <w:spacing w:after="0" w:line="240" w:lineRule="auto"/>
            </w:pPr>
            <w:r>
              <w:rPr>
                <w:rFonts w:ascii="Cambria" w:hAnsi="Cambria"/>
                <w:sz w:val="17"/>
              </w:rPr>
              <w:t>August 1, 2025</w:t>
            </w:r>
          </w:p>
        </w:tc>
      </w:tr>
      <w:tr>
        <w:trPr>
          <w:cantSplit/>
        </w:trPr>
        <w:tc>
          <w:tcPr>
            <w:tcW w:type="dxa" w:w="6840"/>
            <w:vAlign w:val="top"/>
            <w:tcMar>
              <w:top w:w="80" w:type="dxa"/>
              <w:start w:w="100" w:type="dxa"/>
              <w:bottom w:w="80" w:type="dxa"/>
              <w:end w:w="100" w:type="dxa"/>
            </w:tcMar>
          </w:tcPr>
          <w:p>
            <w:pPr>
              <w:pStyle w:val="MemoSmall"/>
              <w:spacing w:after="0" w:line="240" w:lineRule="auto"/>
            </w:pPr>
            <w:r>
              <w:rPr>
                <w:rFonts w:ascii="Cambria" w:hAnsi="Cambria"/>
                <w:sz w:val="17"/>
              </w:rPr>
              <w:t>Rebuttal expert reports</w:t>
            </w:r>
          </w:p>
        </w:tc>
        <w:tc>
          <w:tcPr>
            <w:tcW w:type="dxa" w:w="3024"/>
            <w:vAlign w:val="top"/>
            <w:tcMar>
              <w:top w:w="80" w:type="dxa"/>
              <w:start w:w="100" w:type="dxa"/>
              <w:bottom w:w="80" w:type="dxa"/>
              <w:end w:w="100" w:type="dxa"/>
            </w:tcMar>
          </w:tcPr>
          <w:p>
            <w:pPr>
              <w:pStyle w:val="MemoSmall"/>
              <w:spacing w:after="0" w:line="240" w:lineRule="auto"/>
            </w:pPr>
            <w:r>
              <w:rPr>
                <w:rFonts w:ascii="Cambria" w:hAnsi="Cambria"/>
                <w:sz w:val="17"/>
              </w:rPr>
              <w:t>September 15, 2025</w:t>
            </w:r>
          </w:p>
        </w:tc>
      </w:tr>
      <w:tr>
        <w:trPr>
          <w:cantSplit/>
        </w:trPr>
        <w:tc>
          <w:tcPr>
            <w:tcW w:type="dxa" w:w="6840"/>
            <w:vAlign w:val="top"/>
            <w:tcMar>
              <w:top w:w="80" w:type="dxa"/>
              <w:start w:w="100" w:type="dxa"/>
              <w:bottom w:w="80" w:type="dxa"/>
              <w:end w:w="100" w:type="dxa"/>
            </w:tcMar>
            <w:shd w:fill="F6F8FA"/>
          </w:tcPr>
          <w:p>
            <w:pPr>
              <w:pStyle w:val="MemoSmall"/>
              <w:spacing w:after="0" w:line="240" w:lineRule="auto"/>
            </w:pPr>
            <w:r>
              <w:rPr>
                <w:rFonts w:ascii="Cambria" w:hAnsi="Cambria"/>
                <w:sz w:val="17"/>
              </w:rPr>
              <w:t>Fact discovery cutoff; expert depositions complete</w:t>
            </w:r>
          </w:p>
        </w:tc>
        <w:tc>
          <w:tcPr>
            <w:tcW w:type="dxa" w:w="3024"/>
            <w:vAlign w:val="top"/>
            <w:tcMar>
              <w:top w:w="80" w:type="dxa"/>
              <w:start w:w="100" w:type="dxa"/>
              <w:bottom w:w="80" w:type="dxa"/>
              <w:end w:w="100" w:type="dxa"/>
            </w:tcMar>
            <w:shd w:fill="F6F8FA"/>
          </w:tcPr>
          <w:p>
            <w:pPr>
              <w:pStyle w:val="MemoSmall"/>
              <w:spacing w:after="0" w:line="240" w:lineRule="auto"/>
            </w:pPr>
            <w:r>
              <w:rPr>
                <w:rFonts w:ascii="Cambria" w:hAnsi="Cambria"/>
                <w:sz w:val="17"/>
              </w:rPr>
              <w:t>October 31, 2025</w:t>
            </w:r>
          </w:p>
        </w:tc>
      </w:tr>
      <w:tr>
        <w:trPr>
          <w:cantSplit/>
        </w:trPr>
        <w:tc>
          <w:tcPr>
            <w:tcW w:type="dxa" w:w="6840"/>
            <w:vAlign w:val="top"/>
            <w:tcMar>
              <w:top w:w="80" w:type="dxa"/>
              <w:start w:w="100" w:type="dxa"/>
              <w:bottom w:w="80" w:type="dxa"/>
              <w:end w:w="100" w:type="dxa"/>
            </w:tcMar>
          </w:tcPr>
          <w:p>
            <w:pPr>
              <w:pStyle w:val="MemoSmall"/>
              <w:spacing w:after="0" w:line="240" w:lineRule="auto"/>
            </w:pPr>
            <w:r>
              <w:rPr>
                <w:rFonts w:ascii="Cambria" w:hAnsi="Cambria"/>
                <w:sz w:val="17"/>
              </w:rPr>
              <w:t>Final privilege logs</w:t>
            </w:r>
          </w:p>
        </w:tc>
        <w:tc>
          <w:tcPr>
            <w:tcW w:type="dxa" w:w="3024"/>
            <w:vAlign w:val="top"/>
            <w:tcMar>
              <w:top w:w="80" w:type="dxa"/>
              <w:start w:w="100" w:type="dxa"/>
              <w:bottom w:w="80" w:type="dxa"/>
              <w:end w:w="100" w:type="dxa"/>
            </w:tcMar>
          </w:tcPr>
          <w:p>
            <w:pPr>
              <w:pStyle w:val="MemoSmall"/>
              <w:spacing w:after="0" w:line="240" w:lineRule="auto"/>
            </w:pPr>
            <w:r>
              <w:rPr>
                <w:rFonts w:ascii="Cambria" w:hAnsi="Cambria"/>
                <w:sz w:val="17"/>
              </w:rPr>
              <w:t>November 30, 2025</w:t>
            </w:r>
          </w:p>
        </w:tc>
      </w:tr>
      <w:tr>
        <w:trPr>
          <w:cantSplit/>
        </w:trPr>
        <w:tc>
          <w:tcPr>
            <w:tcW w:type="dxa" w:w="6840"/>
            <w:vAlign w:val="top"/>
            <w:tcMar>
              <w:top w:w="80" w:type="dxa"/>
              <w:start w:w="100" w:type="dxa"/>
              <w:bottom w:w="80" w:type="dxa"/>
              <w:end w:w="100" w:type="dxa"/>
            </w:tcMar>
            <w:shd w:fill="F6F8FA"/>
          </w:tcPr>
          <w:p>
            <w:pPr>
              <w:pStyle w:val="MemoSmall"/>
              <w:spacing w:after="0" w:line="240" w:lineRule="auto"/>
            </w:pPr>
            <w:r>
              <w:rPr>
                <w:rFonts w:ascii="Cambria" w:hAnsi="Cambria"/>
                <w:sz w:val="17"/>
              </w:rPr>
              <w:t>Dispositive motions</w:t>
            </w:r>
          </w:p>
        </w:tc>
        <w:tc>
          <w:tcPr>
            <w:tcW w:type="dxa" w:w="3024"/>
            <w:vAlign w:val="top"/>
            <w:tcMar>
              <w:top w:w="80" w:type="dxa"/>
              <w:start w:w="100" w:type="dxa"/>
              <w:bottom w:w="80" w:type="dxa"/>
              <w:end w:w="100" w:type="dxa"/>
            </w:tcMar>
            <w:shd w:fill="F6F8FA"/>
          </w:tcPr>
          <w:p>
            <w:pPr>
              <w:pStyle w:val="MemoSmall"/>
              <w:spacing w:after="0" w:line="240" w:lineRule="auto"/>
            </w:pPr>
            <w:r>
              <w:rPr>
                <w:rFonts w:ascii="Cambria" w:hAnsi="Cambria"/>
                <w:sz w:val="17"/>
              </w:rPr>
              <w:t>January 15, 2026</w:t>
            </w:r>
          </w:p>
        </w:tc>
      </w:tr>
      <w:tr>
        <w:trPr>
          <w:cantSplit/>
        </w:trPr>
        <w:tc>
          <w:tcPr>
            <w:tcW w:type="dxa" w:w="6840"/>
            <w:vAlign w:val="top"/>
            <w:tcMar>
              <w:top w:w="80" w:type="dxa"/>
              <w:start w:w="100" w:type="dxa"/>
              <w:bottom w:w="80" w:type="dxa"/>
              <w:end w:w="100" w:type="dxa"/>
            </w:tcMar>
          </w:tcPr>
          <w:p>
            <w:pPr>
              <w:pStyle w:val="MemoSmall"/>
              <w:spacing w:after="0" w:line="240" w:lineRule="auto"/>
            </w:pPr>
            <w:r>
              <w:rPr>
                <w:rFonts w:ascii="Cambria" w:hAnsi="Cambria"/>
                <w:sz w:val="17"/>
              </w:rPr>
              <w:t>Jury trial (estimated 7–10 days)</w:t>
            </w:r>
          </w:p>
        </w:tc>
        <w:tc>
          <w:tcPr>
            <w:tcW w:type="dxa" w:w="3024"/>
            <w:vAlign w:val="top"/>
            <w:tcMar>
              <w:top w:w="80" w:type="dxa"/>
              <w:start w:w="100" w:type="dxa"/>
              <w:bottom w:w="80" w:type="dxa"/>
              <w:end w:w="100" w:type="dxa"/>
            </w:tcMar>
          </w:tcPr>
          <w:p>
            <w:pPr>
              <w:pStyle w:val="MemoSmall"/>
              <w:spacing w:after="0" w:line="240" w:lineRule="auto"/>
            </w:pPr>
            <w:r>
              <w:rPr>
                <w:rFonts w:ascii="Cambria" w:hAnsi="Cambria"/>
                <w:sz w:val="17"/>
              </w:rPr>
              <w:t>May 4, 2026</w:t>
            </w:r>
          </w:p>
        </w:tc>
      </w:tr>
    </w:tbl>
    <w:p>
      <w:pPr>
        <w:spacing w:after="0"/>
      </w:pPr>
    </w:p>
    <w:p>
      <w:pPr>
        <w:pStyle w:val="Heading1"/>
      </w:pPr>
      <w:r>
        <w:t>VIII. Conference agenda and decisions for counsel</w:t>
      </w:r>
    </w:p>
    <w:p>
      <w:pPr>
        <w:pStyle w:val="ListNumber"/>
        <w:spacing w:after="40" w:line="245" w:lineRule="auto"/>
      </w:pPr>
      <w:r>
        <w:t>Confirm the parties’ positions on each Rule 26(f)(2) topic; exchange the CMO-required source inventories, current hold date/scope, known loss information, custodians, and accessibility facts. Be prepared to state accurately when Hartwell’s original and supplemental holds and technical controls were implemented.</w:t>
      </w:r>
    </w:p>
    <w:p>
      <w:pPr>
        <w:pStyle w:val="ListNumber"/>
        <w:spacing w:after="40" w:line="245" w:lineRule="auto"/>
      </w:pPr>
      <w:r>
        <w:t>Agree on staged, targeted written discovery; a first production covering core MSA, invoice, 48-valve traceability, testing and July 2023 warning materials; rolling production dates; and a joint process for resolving source-specific issues.</w:t>
      </w:r>
    </w:p>
    <w:p>
      <w:pPr>
        <w:pStyle w:val="ListNumber"/>
        <w:spacing w:after="40" w:line="245" w:lineRule="auto"/>
      </w:pPr>
      <w:r>
        <w:t>Finalize ESI format, metadata, de-duplication, family treatment, search testing/validation, database exports, mobile-device privacy, hardcopy OCR, confidentiality, privilege logging and Rule 502(d). If a source is asserted inaccessible, identify it and substantiate cost/burden by the February 24 filing.</w:t>
      </w:r>
    </w:p>
    <w:p>
      <w:pPr>
        <w:pStyle w:val="ListNumber"/>
        <w:spacing w:after="40" w:line="245" w:lineRule="auto"/>
      </w:pPr>
      <w:r>
        <w:t>Discuss mutually workable non-party notice and sequencing for Great Lakes; exchange the proposed scope before subpoena service and respect the CMO’s 14-day advance notice.</w:t>
      </w:r>
    </w:p>
    <w:p>
      <w:pPr>
        <w:pStyle w:val="ListNumber"/>
        <w:spacing w:after="40" w:line="245" w:lineRule="auto"/>
      </w:pPr>
      <w:r>
        <w:t>Decide whether to propose the limited sequencing described above and a date for reassessment after the first production. Do not let a phasing proposal postpone preservation, critical liability evidence, or expert-enabling physical examination.</w:t>
      </w:r>
    </w:p>
    <w:p>
      <w:pPr>
        <w:pStyle w:val="ListNumber"/>
        <w:spacing w:after="40" w:line="245" w:lineRule="auto"/>
      </w:pPr>
      <w:r>
        <w:t>Confirm settlement/mediation timing and whether a Magistrate Judge settlement conference would be useful after the first damages and liability record is exchanged.</w:t>
      </w:r>
    </w:p>
    <w:tbl>
      <w:tblPr>
        <w:tblW w:type="auto" w:w="0"/>
        <w:jc w:val="center"/>
        <w:tblLook w:firstColumn="1" w:firstRow="1" w:lastColumn="0" w:lastRow="0" w:noHBand="0" w:noVBand="1" w:val="04A0"/>
      </w:tblPr>
      <w:tblGrid>
        <w:gridCol w:w="9994"/>
      </w:tblGrid>
      <w:tr>
        <w:trPr>
          <w:cantSplit/>
        </w:trPr>
        <w:tc>
          <w:tcPr>
            <w:tcW w:type="dxa" w:w="9994"/>
            <w:shd w:fill="FFF2CC"/>
            <w:tcMar>
              <w:top w:w="120" w:type="dxa"/>
              <w:start w:w="150" w:type="dxa"/>
              <w:bottom w:w="120" w:type="dxa"/>
              <w:end w:w="150" w:type="dxa"/>
            </w:tcMar>
          </w:tcPr>
          <w:p>
            <w:pPr>
              <w:spacing w:after="40"/>
            </w:pPr>
            <w:r>
              <w:rPr>
                <w:rFonts w:ascii="Arial" w:hAnsi="Arial"/>
                <w:b/>
                <w:color w:val="17365D"/>
                <w:sz w:val="20"/>
              </w:rPr>
              <w:t>Internal handling note</w:t>
            </w:r>
          </w:p>
          <w:p>
            <w:pPr>
              <w:spacing w:after="0" w:line="252" w:lineRule="auto"/>
            </w:pPr>
            <w:r>
              <w:rPr>
                <w:rFonts w:ascii="Cambria" w:hAnsi="Cambria"/>
                <w:sz w:val="19"/>
              </w:rPr>
              <w:t>Do not circulate this memorandum, the Aldersgate assessment, or counsel’s analysis as the joint discovery plan. The filed plan should state agreed procedural positions and factual source information required by the CMO, while protecting privileged communications and attorney work product. The underlying nonprivileged business records and responsive communications—including the Ostrowski chain—must be preserved and reviewed for production under the agreed protocol.</w:t>
            </w:r>
          </w:p>
        </w:tc>
      </w:tr>
    </w:tbl>
    <w:p>
      <w:pPr>
        <w:spacing w:after="0"/>
      </w:pPr>
    </w:p>
    <w:sectPr w:rsidR="00FC693F" w:rsidRPr="0006063C" w:rsidSect="00034616">
      <w:headerReference w:type="default" r:id="rId9"/>
      <w:footerReference w:type="default" r:id="rId10"/>
      <w:pgSz w:w="12240" w:h="15840"/>
      <w:pgMar w:top="1008"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Pinnacle Energy Solutions, LLC v. Hartwell Manufacturing, Inc.  •  Internal conference preparation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17365D"/>
      </w:pBdr>
    </w:pPr>
    <w:r>
      <w:rPr>
        <w:rFonts w:ascii="Arial" w:hAnsi="Arial"/>
        <w:b/>
        <w:color w:val="8B1E1E"/>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line="240" w:lineRule="auto"/>
    </w:pPr>
    <w:rPr>
      <w:rFonts w:ascii="Cambria" w:hAnsi="Cambri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Plan Memorandum — Rule 26(f) Conference</dc:title>
  <dc:subject>Pinnacle Energy Solutions, LLC v. Hartwell Manufacturing, Inc., Case No. 1:24-cv-02187-JRA</dc:subject>
  <dc:creator>Outside Counsel</dc:creator>
  <cp:keywords>Privileged; Work Product; Rule 26(f); Discovery Plan</cp:keywords>
  <dc:description>generated by python-docx</dc:description>
  <cp:lastModifiedBy/>
  <cp:revision>1</cp:revision>
  <dcterms:created xsi:type="dcterms:W3CDTF">2013-12-23T23:15:00Z</dcterms:created>
  <dcterms:modified xsi:type="dcterms:W3CDTF">2013-12-23T23:15:00Z</dcterms:modified>
  <cp:category/>
</cp:coreProperties>
</file>