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 — PREPARED IN ANTICIPATION OF LITIGATION</w:t>
      </w:r>
    </w:p>
    <w:bookmarkStart w:id="20" w:name="memorandum"/>
    <w:p>
      <w:pPr>
        <w:pStyle w:val="Heading1"/>
      </w:pPr>
      <w:r>
        <w:t xml:space="preserve">MEMORANDUM</w:t>
      </w:r>
    </w:p>
    <w:tbl>
      <w:tblPr>
        <w:tblStyle w:val="Table"/>
        <w:tblW w:type="pct" w:w="5000"/>
        <w:jc w:val="left"/>
        <w:tblLayout w:type="fixed"/>
        <w:tblLook w:firstRow="0" w:lastRow="0" w:firstColumn="0" w:lastColumn="0" w:noHBand="0" w:noVBand="0" w:val="000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c>
          <w:tcPr/>
          <w:p>
            <w:pPr>
              <w:pStyle w:val="Compact"/>
              <w:jc w:val="left"/>
            </w:pPr>
            <w:r>
              <w:rPr>
                <w:b/>
                <w:bCs/>
              </w:rPr>
              <w:t xml:space="preserve">TO:</w:t>
            </w:r>
          </w:p>
        </w:tc>
        <w:tc>
          <w:tcPr/>
          <w:p>
            <w:pPr>
              <w:pStyle w:val="Compact"/>
              <w:jc w:val="left"/>
            </w:pPr>
            <w:r>
              <w:rPr>
                <w:b/>
              </w:rPr>
              <w:t xml:space="preserve">Nathan Calloway, Lead Partner; Rebecca Tsai, Senior Associate</w:t>
            </w:r>
          </w:p>
        </w:tc>
      </w:tr>
      <w:tr>
        <w:tc>
          <w:tcPr/>
          <w:p>
            <w:pPr>
              <w:pStyle w:val="Compact"/>
              <w:jc w:val="left"/>
            </w:pPr>
            <w:r>
              <w:rPr>
                <w:b/>
                <w:bCs/>
              </w:rPr>
              <w:t xml:space="preserve">CC:</w:t>
            </w:r>
          </w:p>
        </w:tc>
        <w:tc>
          <w:tcPr/>
          <w:p>
            <w:pPr>
              <w:pStyle w:val="Compact"/>
              <w:jc w:val="left"/>
            </w:pPr>
            <w:r>
              <w:t xml:space="preserve">Margaret Liu, In-House Counsel, Hartwell Manufacturing, Inc. (see Part IX.C on privilege in Ms. Liu’s dual role)</w:t>
            </w:r>
          </w:p>
        </w:tc>
      </w:tr>
      <w:tr>
        <w:tc>
          <w:tcPr/>
          <w:p>
            <w:pPr>
              <w:pStyle w:val="Compact"/>
              <w:jc w:val="left"/>
            </w:pPr>
            <w:r>
              <w:rPr>
                <w:b/>
                <w:bCs/>
              </w:rPr>
              <w:t xml:space="preserve">FROM:</w:t>
            </w:r>
          </w:p>
        </w:tc>
        <w:tc>
          <w:tcPr/>
          <w:p>
            <w:pPr>
              <w:pStyle w:val="Compact"/>
              <w:jc w:val="left"/>
            </w:pPr>
            <w:r>
              <w:t xml:space="preserve">Litigation Team, Calloway, Strathmore &amp; Voss LLP</w:t>
            </w:r>
          </w:p>
        </w:tc>
      </w:tr>
      <w:tr>
        <w:tc>
          <w:tcPr/>
          <w:p>
            <w:pPr>
              <w:pStyle w:val="Compact"/>
              <w:jc w:val="left"/>
            </w:pPr>
            <w:r>
              <w:rPr>
                <w:b/>
                <w:bCs/>
              </w:rPr>
              <w:t xml:space="preserve">DATE:</w:t>
            </w:r>
          </w:p>
        </w:tc>
        <w:tc>
          <w:tcPr/>
          <w:p>
            <w:pPr>
              <w:pStyle w:val="Compact"/>
              <w:jc w:val="left"/>
            </w:pPr>
            <w:r>
              <w:t xml:space="preserve">January 27, 2025</w:t>
            </w:r>
          </w:p>
        </w:tc>
      </w:tr>
      <w:tr>
        <w:tc>
          <w:tcPr/>
          <w:p>
            <w:pPr>
              <w:pStyle w:val="Compact"/>
              <w:jc w:val="left"/>
            </w:pPr>
            <w:r>
              <w:rPr>
                <w:b/>
                <w:bCs/>
              </w:rPr>
              <w:t xml:space="preserve">RE:</w:t>
            </w:r>
          </w:p>
        </w:tc>
        <w:tc>
          <w:tcPr/>
          <w:p>
            <w:pPr>
              <w:pStyle w:val="Compact"/>
              <w:jc w:val="left"/>
            </w:pPr>
            <w:r>
              <w:t xml:space="preserve">Discovery Plan and Rule 26(f) Conference Strategy —</w:t>
            </w:r>
            <w:r>
              <w:t xml:space="preserve"> </w:t>
            </w:r>
            <w:r>
              <w:rPr>
                <w:i/>
                <w:iCs/>
              </w:rPr>
              <w:t xml:space="preserve">Pinnacle Energy Solutions, LLC v. Hartwell Manufacturing, Inc.</w:t>
            </w:r>
            <w:r>
              <w:t xml:space="preserve">, No. 1:24-cv-02187-JRA (N.D. Ohio, E. Div.) (Alderman, J.)</w:t>
            </w:r>
          </w:p>
        </w:tc>
      </w:tr>
    </w:tbl>
    <w:bookmarkEnd w:id="20"/>
    <w:bookmarkStart w:id="21" w:name="i.-purpose-and-bottom-line"/>
    <w:p>
      <w:pPr>
        <w:pStyle w:val="Heading1"/>
      </w:pPr>
      <w:r>
        <w:t xml:space="preserve">I. Purpose and Bottom Line</w:t>
      </w:r>
    </w:p>
    <w:p>
      <w:pPr>
        <w:pStyle w:val="FirstParagraph"/>
      </w:pPr>
      <w:r>
        <w:t xml:space="preserve">This memorandum proposes Hartwell’s discovery plan and our negotiating positions for the Rule 26(f) conference. The Case Management Order (</w:t>
      </w:r>
      <w:r>
        <w:t xml:space="preserve">“</w:t>
      </w:r>
      <w:r>
        <w:t xml:space="preserve">CMO</w:t>
      </w:r>
      <w:r>
        <w:t xml:space="preserve">”</w:t>
      </w:r>
      <w:r>
        <w:t xml:space="preserve">) requires the conference by</w:t>
      </w:r>
      <w:r>
        <w:t xml:space="preserve"> </w:t>
      </w:r>
      <w:r>
        <w:rPr>
          <w:b/>
          <w:bCs/>
        </w:rPr>
        <w:t xml:space="preserve">February 10, 2025</w:t>
      </w:r>
      <w:r>
        <w:t xml:space="preserve">. The joint discovery plan, Rule 26(a)(1) disclosures, stipulated protective order, and Rule 502(d) order are all due</w:t>
      </w:r>
      <w:r>
        <w:t xml:space="preserve"> </w:t>
      </w:r>
      <w:r>
        <w:rPr>
          <w:b/>
          <w:bCs/>
        </w:rPr>
        <w:t xml:space="preserve">February 24, 2025</w:t>
      </w:r>
      <w:r>
        <w:t xml:space="preserve">. We reviewed the Complaint, Answer and Counterclaim, CMO, Master Supply Agreement (</w:t>
      </w:r>
      <w:r>
        <w:t xml:space="preserve">“</w:t>
      </w:r>
      <w:r>
        <w:t xml:space="preserve">MSA</w:t>
      </w:r>
      <w:r>
        <w:t xml:space="preserve">”</w:t>
      </w:r>
      <w:r>
        <w:t xml:space="preserve">), pre-suit correspondence, Pinnacle’s preservation notice, the Whitmore report, Hartwell’s October 30, 2024 hold memo, the vendor’s November 15, 2024 e-discovery assessment, and the July 2023 Ostrowski/Kowalski/Fenton email chain.</w:t>
      </w:r>
    </w:p>
    <w:p>
      <w:pPr>
        <w:pStyle w:val="BodyText"/>
      </w:pPr>
      <w:r>
        <w:rPr>
          <w:b/>
          <w:bCs/>
        </w:rPr>
        <w:t xml:space="preserve">Bottom line.</w:t>
      </w:r>
      <w:r>
        <w:t xml:space="preserve"> </w:t>
      </w:r>
      <w:r>
        <w:t xml:space="preserve">Our review turned up facts that should change our positions for the conference:</w:t>
      </w:r>
    </w:p>
    <w:p>
      <w:pPr>
        <w:pStyle w:val="Compact"/>
        <w:numPr>
          <w:ilvl w:val="0"/>
          <w:numId w:val="1001"/>
        </w:numPr>
      </w:pPr>
      <w:r>
        <w:rPr>
          <w:b/>
          <w:bCs/>
        </w:rPr>
        <w:t xml:space="preserve">The July 2023 internal emails give Pinnacle the fraud facts it now pleads</w:t>
      </w:r>
      <w:r>
        <w:rPr>
          <w:b/>
          <w:bCs/>
        </w:rPr>
        <w:t xml:space="preserve"> </w:t>
      </w:r>
      <w:r>
        <w:rPr>
          <w:b/>
          <w:bCs/>
        </w:rPr>
        <w:t xml:space="preserve">“</w:t>
      </w:r>
      <w:r>
        <w:rPr>
          <w:b/>
          <w:bCs/>
        </w:rPr>
        <w:t xml:space="preserve">on information and belief.</w:t>
      </w:r>
      <w:r>
        <w:rPr>
          <w:b/>
          <w:bCs/>
        </w:rPr>
        <w:t xml:space="preserve">”</w:t>
      </w:r>
      <w:r>
        <w:t xml:space="preserve"> </w:t>
      </w:r>
      <w:r>
        <w:t xml:space="preserve">Ray Ostrowski warned Diane Kowalski and James Fenton in writing four times (July 8, 15, and 22, 2023). He reported porosity in about 12 of 26 castings and a dime-sized void. He recommended supplemental UT, which Hartwell had the equipment to perform. Ms. Kowalski told him to keep going. On July 23, 2023, Mr. Fenton forwarded the chain to Tom Brecker with the note</w:t>
      </w:r>
      <w:r>
        <w:t xml:space="preserve"> </w:t>
      </w:r>
      <w:r>
        <w:t xml:space="preserve">“</w:t>
      </w:r>
      <w:r>
        <w:t xml:space="preserve">keep an eye on this with the customer.</w:t>
      </w:r>
      <w:r>
        <w:t xml:space="preserve">”</w:t>
      </w:r>
      <w:r>
        <w:t xml:space="preserve"> </w:t>
      </w:r>
      <w:r>
        <w:t xml:space="preserve">These emails are responsive to almost any request Pinnacle will serve, and we will have to produce them. They also make a Rule 9(b) motion or a</w:t>
      </w:r>
      <w:r>
        <w:t xml:space="preserve"> </w:t>
      </w:r>
      <w:r>
        <w:t xml:space="preserve">“</w:t>
      </w:r>
      <w:r>
        <w:t xml:space="preserve">fraud-first</w:t>
      </w:r>
      <w:r>
        <w:t xml:space="preserve">”</w:t>
      </w:r>
      <w:r>
        <w:t xml:space="preserve"> </w:t>
      </w:r>
      <w:r>
        <w:t xml:space="preserve">phasing proposal unwise. Either would focus early discovery and the Court’s attention on our worst documents (Part IV).</w:t>
      </w:r>
    </w:p>
    <w:p>
      <w:pPr>
        <w:pStyle w:val="Compact"/>
        <w:numPr>
          <w:ilvl w:val="0"/>
          <w:numId w:val="1001"/>
        </w:numPr>
      </w:pPr>
      <w:r>
        <w:rPr>
          <w:b/>
          <w:bCs/>
        </w:rPr>
        <w:t xml:space="preserve">Hartwell’s preservation position is weaker than the vendor memo suggests. Under the CMO, we must disclose it in writing by the conference.</w:t>
      </w:r>
      <w:r>
        <w:t xml:space="preserve"> </w:t>
      </w:r>
      <w:r>
        <w:t xml:space="preserve">The duty to preserve arguably began with Pinnacle’s April 5, 2024 demand, which expressly asked Hartwell to preserve text messages. Hartwell promised on April 22, 2024 to take</w:t>
      </w:r>
      <w:r>
        <w:t xml:space="preserve"> </w:t>
      </w:r>
      <w:r>
        <w:t xml:space="preserve">“</w:t>
      </w:r>
      <w:r>
        <w:t xml:space="preserve">appropriate steps.</w:t>
      </w:r>
      <w:r>
        <w:t xml:space="preserve">”</w:t>
      </w:r>
      <w:r>
        <w:t xml:space="preserve"> </w:t>
      </w:r>
      <w:r>
        <w:t xml:space="preserve">The hold did not issue until October 30, 2024. As of November 15, 2024, the hold also left out Ostrowski, text messages on personal devices, the hardcopy QA binders, and QualTrack. No platform-level Microsoft 365 hold had been applied. The Brecker phone had not been imaged. Before February 10, we need confirmation that every remediation step has been completed (Part III).</w:t>
      </w:r>
    </w:p>
    <w:p>
      <w:pPr>
        <w:pStyle w:val="Compact"/>
        <w:numPr>
          <w:ilvl w:val="0"/>
          <w:numId w:val="1001"/>
        </w:numPr>
      </w:pPr>
      <w:r>
        <w:rPr>
          <w:b/>
          <w:bCs/>
        </w:rPr>
        <w:t xml:space="preserve">The MSA says something different from what both sides pleaded.</w:t>
      </w:r>
      <w:r>
        <w:t xml:space="preserve"> </w:t>
      </w:r>
      <w:r>
        <w:t xml:space="preserve">Both sides call Section 12 a</w:t>
      </w:r>
      <w:r>
        <w:t xml:space="preserve"> </w:t>
      </w:r>
      <w:r>
        <w:t xml:space="preserve">“</w:t>
      </w:r>
      <w:r>
        <w:t xml:space="preserve">consequential damages cap</w:t>
      </w:r>
      <w:r>
        <w:t xml:space="preserve">”</w:t>
      </w:r>
      <w:r>
        <w:t xml:space="preserve"> </w:t>
      </w:r>
      <w:r>
        <w:t xml:space="preserve">of $5,811,300. It is two provisions:</w:t>
      </w:r>
    </w:p>
    <w:p>
      <w:pPr>
        <w:pStyle w:val="Compact"/>
        <w:numPr>
          <w:ilvl w:val="1"/>
          <w:numId w:val="1002"/>
        </w:numPr>
      </w:pPr>
      <w:r>
        <w:rPr>
          <w:b/>
          <w:bCs/>
        </w:rPr>
        <w:t xml:space="preserve">§ 12.1</w:t>
      </w:r>
      <w:r>
        <w:t xml:space="preserve"> </w:t>
      </w:r>
      <w:r>
        <w:t xml:space="preserve">excludes consequential damages, lost revenue, loss of use, cost of substitute goods, and punitive damages altogether. The exception is gross negligence or willful misconduct.</w:t>
      </w:r>
    </w:p>
    <w:p>
      <w:pPr>
        <w:pStyle w:val="Compact"/>
        <w:numPr>
          <w:ilvl w:val="1"/>
          <w:numId w:val="1002"/>
        </w:numPr>
      </w:pPr>
      <w:r>
        <w:rPr>
          <w:b/>
          <w:bCs/>
        </w:rPr>
        <w:t xml:space="preserve">§ 12.2</w:t>
      </w:r>
      <w:r>
        <w:t xml:space="preserve"> </w:t>
      </w:r>
      <w:r>
        <w:t xml:space="preserve">caps each party’s</w:t>
      </w:r>
      <w:r>
        <w:t xml:space="preserve"> </w:t>
      </w:r>
      <w:r>
        <w:rPr>
          <w:b/>
          <w:bCs/>
        </w:rPr>
        <w:t xml:space="preserve">aggregate</w:t>
      </w:r>
      <w:r>
        <w:t xml:space="preserve"> </w:t>
      </w:r>
      <w:r>
        <w:t xml:space="preserve">liability on all theories, expressly including</w:t>
      </w:r>
      <w:r>
        <w:t xml:space="preserve"> </w:t>
      </w:r>
      <w:r>
        <w:t xml:space="preserve">“</w:t>
      </w:r>
      <w:r>
        <w:t xml:space="preserve">misrepresentation,</w:t>
      </w:r>
      <w:r>
        <w:t xml:space="preserve">”</w:t>
      </w:r>
      <w:r>
        <w:t xml:space="preserve"> </w:t>
      </w:r>
      <w:r>
        <w:t xml:space="preserve">at 150% of the Total Contract Price.</w:t>
      </w:r>
    </w:p>
    <w:p>
      <w:pPr>
        <w:pStyle w:val="Compact"/>
        <w:numPr>
          <w:ilvl w:val="0"/>
          <w:numId w:val="1000"/>
        </w:numPr>
      </w:pPr>
      <w:r>
        <w:t xml:space="preserve">Other provisions cut against defenses Hartwell has pleaded:</w:t>
      </w:r>
    </w:p>
    <w:p>
      <w:pPr>
        <w:pStyle w:val="Compact"/>
        <w:numPr>
          <w:ilvl w:val="1"/>
          <w:numId w:val="1003"/>
        </w:numPr>
      </w:pPr>
      <w:r>
        <w:t xml:space="preserve">§ 9.2 defines subsurface porosity as a latent defect. That defeats our acceptance/waiver defense.</w:t>
      </w:r>
    </w:p>
    <w:p>
      <w:pPr>
        <w:pStyle w:val="Compact"/>
        <w:numPr>
          <w:ilvl w:val="1"/>
          <w:numId w:val="1003"/>
        </w:numPr>
      </w:pPr>
      <w:r>
        <w:t xml:space="preserve">§ 7.6 and Exhibit E.4 make Hartwell fully responsible to Pinnacle for foundry defects.</w:t>
      </w:r>
    </w:p>
    <w:p>
      <w:pPr>
        <w:pStyle w:val="Compact"/>
        <w:numPr>
          <w:ilvl w:val="1"/>
          <w:numId w:val="1003"/>
        </w:numPr>
      </w:pPr>
      <w:r>
        <w:t xml:space="preserve">§ 8.4 puts the burden of proving the torque exclusion on Hartwell.</w:t>
      </w:r>
    </w:p>
    <w:p>
      <w:pPr>
        <w:pStyle w:val="Compact"/>
        <w:numPr>
          <w:ilvl w:val="1"/>
          <w:numId w:val="1003"/>
        </w:numPr>
      </w:pPr>
      <w:r>
        <w:t xml:space="preserve">Exhibit A specifies</w:t>
      </w:r>
      <w:r>
        <w:t xml:space="preserve"> </w:t>
      </w:r>
      <w:r>
        <w:rPr>
          <w:b/>
          <w:bCs/>
        </w:rPr>
        <w:t xml:space="preserve">ASTM A217 WC6/WC9 alloy steel</w:t>
      </w:r>
      <w:r>
        <w:t xml:space="preserve"> </w:t>
      </w:r>
      <w:r>
        <w:t xml:space="preserve">for HV-4400 bodies. Whitmore and Ms. Kowalski both describe the castings as</w:t>
      </w:r>
      <w:r>
        <w:t xml:space="preserve"> </w:t>
      </w:r>
      <w:r>
        <w:rPr>
          <w:b/>
          <w:bCs/>
        </w:rPr>
        <w:t xml:space="preserve">ASTM A216 WCB carbon steel</w:t>
      </w:r>
      <w:r>
        <w:t xml:space="preserve">.</w:t>
      </w:r>
    </w:p>
    <w:p>
      <w:pPr>
        <w:pStyle w:val="Compact"/>
        <w:numPr>
          <w:ilvl w:val="1"/>
          <w:numId w:val="1003"/>
        </w:numPr>
      </w:pPr>
      <w:r>
        <w:t xml:space="preserve">Exhibit D.3 required</w:t>
      </w:r>
      <w:r>
        <w:t xml:space="preserve"> </w:t>
      </w:r>
      <w:r>
        <w:rPr>
          <w:b/>
          <w:bCs/>
        </w:rPr>
        <w:t xml:space="preserve">100% volumetric NDE and hardness testing of every HV-4400 casting</w:t>
      </w:r>
      <w:r>
        <w:t xml:space="preserve"> </w:t>
      </w:r>
      <w:r>
        <w:t xml:space="preserve">before shipment.</w:t>
      </w:r>
    </w:p>
    <w:p>
      <w:pPr>
        <w:pStyle w:val="Compact"/>
        <w:numPr>
          <w:ilvl w:val="0"/>
          <w:numId w:val="1000"/>
        </w:numPr>
      </w:pPr>
      <w:r>
        <w:t xml:space="preserve">Whether those tests were performed, and what the purchase orders specified for material, may be the most important liability facts in the case. We need to know the answers before we negotiate scope (Parts II and VI).</w:t>
      </w:r>
    </w:p>
    <w:p>
      <w:pPr>
        <w:pStyle w:val="Compact"/>
        <w:numPr>
          <w:ilvl w:val="0"/>
          <w:numId w:val="1001"/>
        </w:numPr>
      </w:pPr>
      <w:r>
        <w:rPr>
          <w:b/>
          <w:bCs/>
        </w:rPr>
        <w:t xml:space="preserve">Recommended overall posture:</w:t>
      </w:r>
    </w:p>
    <w:p>
      <w:pPr>
        <w:pStyle w:val="Compact"/>
        <w:numPr>
          <w:ilvl w:val="1"/>
          <w:numId w:val="1004"/>
        </w:numPr>
      </w:pPr>
      <w:r>
        <w:t xml:space="preserve">Agree to a single-track discovery schedule for all claims and the counterclaim, with a narrow agreed exception for early briefing of pure contract-interpretation questions.</w:t>
      </w:r>
    </w:p>
    <w:p>
      <w:pPr>
        <w:pStyle w:val="Compact"/>
        <w:numPr>
          <w:ilvl w:val="1"/>
          <w:numId w:val="1004"/>
        </w:numPr>
      </w:pPr>
      <w:r>
        <w:t xml:space="preserve">Negotiate a detailed ESI protocol that deals with QualTrack openly. Do not argue that QualTrack is</w:t>
      </w:r>
      <w:r>
        <w:t xml:space="preserve"> </w:t>
      </w:r>
      <w:r>
        <w:t xml:space="preserve">“</w:t>
      </w:r>
      <w:r>
        <w:t xml:space="preserve">not reasonably accessible.</w:t>
      </w:r>
      <w:r>
        <w:t xml:space="preserve">”</w:t>
      </w:r>
    </w:p>
    <w:p>
      <w:pPr>
        <w:pStyle w:val="Compact"/>
        <w:numPr>
          <w:ilvl w:val="1"/>
          <w:numId w:val="1004"/>
        </w:numPr>
      </w:pPr>
      <w:r>
        <w:t xml:space="preserve">Press hard on damages, mitigation, and physical-evidence discovery from Pinnacle. Those are Hartwell’s strongest ground.</w:t>
      </w:r>
    </w:p>
    <w:p>
      <w:pPr>
        <w:pStyle w:val="Compact"/>
        <w:numPr>
          <w:ilvl w:val="1"/>
          <w:numId w:val="1004"/>
        </w:numPr>
      </w:pPr>
      <w:r>
        <w:t xml:space="preserve">Preserve the right to bring a third-party claim against Great Lakes Foundry Partners before the</w:t>
      </w:r>
      <w:r>
        <w:t xml:space="preserve"> </w:t>
      </w:r>
      <w:r>
        <w:rPr>
          <w:b/>
          <w:bCs/>
        </w:rPr>
        <w:t xml:space="preserve">April 30, 2025</w:t>
      </w:r>
      <w:r>
        <w:t xml:space="preserve"> </w:t>
      </w:r>
      <w:r>
        <w:t xml:space="preserve">joinder deadline.</w:t>
      </w:r>
    </w:p>
    <w:bookmarkEnd w:id="21"/>
    <w:bookmarkStart w:id="24" w:name="X15da42eb833c4fd109e1222c480d2b146f13253"/>
    <w:p>
      <w:pPr>
        <w:pStyle w:val="Heading1"/>
      </w:pPr>
      <w:r>
        <w:t xml:space="preserve">II. Case Snapshot and Issues That Drive Discovery</w:t>
      </w:r>
    </w:p>
    <w:bookmarkStart w:id="22" w:name="a.-claims-and-defenses"/>
    <w:p>
      <w:pPr>
        <w:pStyle w:val="Heading2"/>
      </w:pPr>
      <w:r>
        <w:t xml:space="preserve">A. Claims and Defenses</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jc w:val="left"/>
            </w:pPr>
            <w:r>
              <w:rPr>
                <w:b/>
              </w:rPr>
              <w:t xml:space="preserve">Issue</w:t>
            </w:r>
          </w:p>
        </w:tc>
        <w:tc>
          <w:tcPr/>
          <w:p>
            <w:pPr>
              <w:pStyle w:val="Compact"/>
              <w:jc w:val="left"/>
            </w:pPr>
            <w:r>
              <w:rPr>
                <w:b/>
              </w:rPr>
              <w:t xml:space="preserve">Pinnacle position</w:t>
            </w:r>
          </w:p>
        </w:tc>
        <w:tc>
          <w:tcPr/>
          <w:p>
            <w:pPr>
              <w:pStyle w:val="Compact"/>
              <w:jc w:val="left"/>
            </w:pPr>
            <w:r>
              <w:rPr>
                <w:b/>
              </w:rPr>
              <w:t xml:space="preserve">Hartwell position</w:t>
            </w:r>
          </w:p>
        </w:tc>
        <w:tc>
          <w:tcPr/>
          <w:p>
            <w:pPr>
              <w:pStyle w:val="Compact"/>
              <w:jc w:val="left"/>
            </w:pPr>
            <w:r>
              <w:rPr>
                <w:b/>
              </w:rPr>
              <w:t xml:space="preserve">What the record shows / discovery needed</w:t>
            </w:r>
          </w:p>
        </w:tc>
      </w:tr>
      <w:tr>
        <w:tc>
          <w:tcPr/>
          <w:p>
            <w:pPr>
              <w:pStyle w:val="Compact"/>
              <w:jc w:val="left"/>
            </w:pPr>
            <w:r>
              <w:t xml:space="preserve">Defect and causation (Counts I–III)</w:t>
            </w:r>
          </w:p>
        </w:tc>
        <w:tc>
          <w:tcPr/>
          <w:p>
            <w:pPr>
              <w:pStyle w:val="Compact"/>
              <w:jc w:val="left"/>
            </w:pPr>
            <w:r>
              <w:t xml:space="preserve">11 of 48 HV-4400s failed; 19 more show UT indications (62.5%)</w:t>
            </w:r>
          </w:p>
        </w:tc>
        <w:tc>
          <w:tcPr/>
          <w:p>
            <w:pPr>
              <w:pStyle w:val="Compact"/>
              <w:jc w:val="left"/>
            </w:pPr>
            <w:r>
              <w:t xml:space="preserve">Casting defects, if any, come from the foundry (Great Lakes); installation torque may have contributed</w:t>
            </w:r>
          </w:p>
        </w:tc>
        <w:tc>
          <w:tcPr/>
          <w:p>
            <w:pPr>
              <w:pStyle w:val="Compact"/>
              <w:jc w:val="left"/>
            </w:pPr>
            <w:r>
              <w:t xml:space="preserve">Whitmore found the defects are foundry-origin but found</w:t>
            </w:r>
            <w:r>
              <w:t xml:space="preserve"> </w:t>
            </w:r>
            <w:r>
              <w:rPr>
                <w:b/>
                <w:bCs/>
              </w:rPr>
              <w:t xml:space="preserve">no evidence of over-torque</w:t>
            </w:r>
            <w:r>
              <w:t xml:space="preserve">. Pinnacle’s UT of the other 37 was performed by Pinnacle’s in-house team using pulse-echo methods, not by Whitmore with phased-array equipment as the Complaint (¶25) states. Whitmore</w:t>
            </w:r>
            <w:r>
              <w:t xml:space="preserve"> </w:t>
            </w:r>
            <w:r>
              <w:t xml:space="preserve">“</w:t>
            </w:r>
            <w:r>
              <w:t xml:space="preserve">cannot confirm</w:t>
            </w:r>
            <w:r>
              <w:t xml:space="preserve">”</w:t>
            </w:r>
            <w:r>
              <w:t xml:space="preserve"> </w:t>
            </w:r>
            <w:r>
              <w:t xml:space="preserve">the significance of the 19 indications.</w:t>
            </w:r>
          </w:p>
        </w:tc>
      </w:tr>
      <w:tr>
        <w:tc>
          <w:tcPr/>
          <w:p>
            <w:pPr>
              <w:pStyle w:val="Compact"/>
              <w:jc w:val="left"/>
            </w:pPr>
            <w:r>
              <w:t xml:space="preserve">Contract responsibility for foundry defects</w:t>
            </w:r>
          </w:p>
        </w:tc>
        <w:tc>
          <w:tcPr/>
          <w:p>
            <w:pPr>
              <w:pStyle w:val="Compact"/>
              <w:jc w:val="left"/>
            </w:pPr>
            <w:r>
              <w:t xml:space="preserve">Hartwell must verify castings</w:t>
            </w:r>
          </w:p>
        </w:tc>
        <w:tc>
          <w:tcPr/>
          <w:p>
            <w:pPr>
              <w:pStyle w:val="Compact"/>
              <w:jc w:val="left"/>
            </w:pPr>
            <w:r>
              <w:t xml:space="preserve">Great Lakes is at fault</w:t>
            </w:r>
          </w:p>
        </w:tc>
        <w:tc>
          <w:tcPr/>
          <w:p>
            <w:pPr>
              <w:pStyle w:val="Compact"/>
              <w:jc w:val="left"/>
            </w:pPr>
            <w:r>
              <w:t xml:space="preserve">MSA § 7.6 and Ex. E.4 make Seller</w:t>
            </w:r>
            <w:r>
              <w:t xml:space="preserve"> </w:t>
            </w:r>
            <w:r>
              <w:t xml:space="preserve">“</w:t>
            </w:r>
            <w:r>
              <w:t xml:space="preserve">fully liable</w:t>
            </w:r>
            <w:r>
              <w:t xml:space="preserve">”</w:t>
            </w:r>
            <w:r>
              <w:t xml:space="preserve"> </w:t>
            </w:r>
            <w:r>
              <w:t xml:space="preserve">for sub-tier defects. The foundry defense matters mainly for</w:t>
            </w:r>
            <w:r>
              <w:t xml:space="preserve"> </w:t>
            </w:r>
            <w:r>
              <w:rPr>
                <w:b/>
                <w:bCs/>
              </w:rPr>
              <w:t xml:space="preserve">contribution/indemnity against Great Lakes</w:t>
            </w:r>
            <w:r>
              <w:t xml:space="preserve">, not as a defense to Pinnacle’s claims.</w:t>
            </w:r>
          </w:p>
        </w:tc>
      </w:tr>
      <w:tr>
        <w:tc>
          <w:tcPr/>
          <w:p>
            <w:pPr>
              <w:pStyle w:val="Compact"/>
              <w:jc w:val="left"/>
            </w:pPr>
            <w:r>
              <w:t xml:space="preserve">Material specification</w:t>
            </w:r>
          </w:p>
        </w:tc>
        <w:tc>
          <w:tcPr/>
          <w:p>
            <w:pPr>
              <w:pStyle w:val="Compact"/>
              <w:jc w:val="left"/>
            </w:pPr>
            <w:r>
              <w:t xml:space="preserve">Valves did not conform to spec</w:t>
            </w:r>
          </w:p>
        </w:tc>
        <w:tc>
          <w:tcPr/>
          <w:p>
            <w:pPr>
              <w:pStyle w:val="Compact"/>
              <w:jc w:val="left"/>
            </w:pPr>
            <w:r>
              <w:t xml:space="preserve">Valves conformed</w:t>
            </w:r>
          </w:p>
        </w:tc>
        <w:tc>
          <w:tcPr/>
          <w:p>
            <w:pPr>
              <w:pStyle w:val="Compact"/>
              <w:jc w:val="left"/>
            </w:pPr>
            <w:r>
              <w:t xml:space="preserve">Ex. A requires A217 WC6/WC9</w:t>
            </w:r>
            <w:r>
              <w:t xml:space="preserve"> </w:t>
            </w:r>
            <w:r>
              <w:t xml:space="preserve">“</w:t>
            </w:r>
            <w:r>
              <w:t xml:space="preserve">as specified in PO</w:t>
            </w:r>
            <w:r>
              <w:t xml:space="preserve">”</w:t>
            </w:r>
            <w:r>
              <w:t xml:space="preserve">; the castings are A216 WCB.</w:t>
            </w:r>
            <w:r>
              <w:t xml:space="preserve"> </w:t>
            </w:r>
            <w:r>
              <w:rPr>
                <w:b/>
                <w:bCs/>
              </w:rPr>
              <w:t xml:space="preserve">We must pull all 14 POs and the order acknowledgments now.</w:t>
            </w:r>
          </w:p>
        </w:tc>
      </w:tr>
      <w:tr>
        <w:tc>
          <w:tcPr/>
          <w:p>
            <w:pPr>
              <w:pStyle w:val="Compact"/>
              <w:jc w:val="left"/>
            </w:pPr>
            <w:r>
              <w:t xml:space="preserve">Pre-shipment testing</w:t>
            </w:r>
          </w:p>
        </w:tc>
        <w:tc>
          <w:tcPr/>
          <w:p>
            <w:pPr>
              <w:pStyle w:val="Compact"/>
              <w:jc w:val="left"/>
            </w:pPr>
            <w:r>
              <w:t xml:space="preserve">Hartwell should have caught the defects</w:t>
            </w:r>
          </w:p>
        </w:tc>
        <w:tc>
          <w:tcPr/>
          <w:p>
            <w:pPr>
              <w:pStyle w:val="Compact"/>
              <w:jc w:val="left"/>
            </w:pPr>
            <w:r>
              <w:t xml:space="preserve">QA confirmed all valves met spec (Ans. ¶¶19, 47)</w:t>
            </w:r>
          </w:p>
        </w:tc>
        <w:tc>
          <w:tcPr/>
          <w:p>
            <w:pPr>
              <w:pStyle w:val="Compact"/>
              <w:jc w:val="left"/>
            </w:pPr>
            <w:r>
              <w:t xml:space="preserve">Ex. D.3(d) (100% RT/UT) and D.3(g) (hardness testing) would likely have caught both failure modes. If records exist, they are our best evidence. If they don’t, that is Pinnacle’s best evidence.</w:t>
            </w:r>
          </w:p>
        </w:tc>
      </w:tr>
      <w:tr>
        <w:tc>
          <w:tcPr/>
          <w:p>
            <w:pPr>
              <w:pStyle w:val="Compact"/>
              <w:jc w:val="left"/>
            </w:pPr>
            <w:r>
              <w:t xml:space="preserve">Fraud / concealment (Count IV); punitive damages</w:t>
            </w:r>
          </w:p>
        </w:tc>
        <w:tc>
          <w:tcPr/>
          <w:p>
            <w:pPr>
              <w:pStyle w:val="Compact"/>
              <w:jc w:val="left"/>
            </w:pPr>
            <w:r>
              <w:t xml:space="preserve">Knowledge from July 2023; Kowalski, Fenton, Brecker named</w:t>
            </w:r>
          </w:p>
        </w:tc>
        <w:tc>
          <w:tcPr/>
          <w:p>
            <w:pPr>
              <w:pStyle w:val="Compact"/>
              <w:jc w:val="left"/>
            </w:pPr>
            <w:r>
              <w:t xml:space="preserve">Denial; Rule 9(b); duplicative of contract claims; economic loss doctrine</w:t>
            </w:r>
          </w:p>
        </w:tc>
        <w:tc>
          <w:tcPr/>
          <w:p>
            <w:pPr>
              <w:pStyle w:val="Compact"/>
              <w:jc w:val="left"/>
            </w:pPr>
            <w:r>
              <w:t xml:space="preserve">Ostrowski chain (July 8–23, 2023). HV-4400 deliveries continued July 20, Sept. 28, and Nov. 15, 2023 (Whitmore Table 1). Heats GLF-4445, -4452, and -4459 correspond to failed valves.</w:t>
            </w:r>
          </w:p>
        </w:tc>
      </w:tr>
      <w:tr>
        <w:tc>
          <w:tcPr/>
          <w:p>
            <w:pPr>
              <w:pStyle w:val="Compact"/>
              <w:jc w:val="left"/>
            </w:pPr>
            <w:r>
              <w:t xml:space="preserve">Negligent misrepresentation (Count V)</w:t>
            </w:r>
          </w:p>
        </w:tc>
        <w:tc>
          <w:tcPr/>
          <w:p>
            <w:pPr>
              <w:pStyle w:val="Compact"/>
              <w:jc w:val="left"/>
            </w:pPr>
            <w:r>
              <w:t xml:space="preserve">Pleaded in the alternative</w:t>
            </w:r>
          </w:p>
        </w:tc>
        <w:tc>
          <w:tcPr/>
          <w:p>
            <w:pPr>
              <w:pStyle w:val="Compact"/>
              <w:jc w:val="left"/>
            </w:pPr>
            <w:r>
              <w:t xml:space="preserve">Economic loss doctrine</w:t>
            </w:r>
          </w:p>
        </w:tc>
        <w:tc>
          <w:tcPr/>
          <w:p>
            <w:pPr>
              <w:pStyle w:val="Compact"/>
              <w:jc w:val="left"/>
            </w:pPr>
            <w:r>
              <w:t xml:space="preserve">Largely a legal question. Discovery overlaps with Count IV.</w:t>
            </w:r>
          </w:p>
        </w:tc>
      </w:tr>
      <w:tr>
        <w:tc>
          <w:tcPr/>
          <w:p>
            <w:pPr>
              <w:pStyle w:val="Compact"/>
              <w:jc w:val="left"/>
            </w:pPr>
            <w:r>
              <w:t xml:space="preserve">Limitation of liability</w:t>
            </w:r>
          </w:p>
        </w:tc>
        <w:tc>
          <w:tcPr/>
          <w:p>
            <w:pPr>
              <w:pStyle w:val="Compact"/>
              <w:jc w:val="left"/>
            </w:pPr>
            <w:r>
              <w:t xml:space="preserve">§ 12 unenforceable because of fraud or unconscionability</w:t>
            </w:r>
          </w:p>
        </w:tc>
        <w:tc>
          <w:tcPr/>
          <w:p>
            <w:pPr>
              <w:pStyle w:val="Compact"/>
              <w:jc w:val="left"/>
            </w:pPr>
            <w:r>
              <w:t xml:space="preserve">“</w:t>
            </w:r>
            <w:r>
              <w:t xml:space="preserve">Consequential</w:t>
            </w:r>
            <w:r>
              <w:t xml:space="preserve">”</w:t>
            </w:r>
            <w:r>
              <w:t xml:space="preserve"> </w:t>
            </w:r>
            <w:r>
              <w:t xml:space="preserve">cap of $5,811,300</w:t>
            </w:r>
          </w:p>
        </w:tc>
        <w:tc>
          <w:tcPr/>
          <w:p>
            <w:pPr>
              <w:pStyle w:val="Compact"/>
              <w:jc w:val="left"/>
            </w:pPr>
            <w:r>
              <w:t xml:space="preserve">§ 12.1 exclusion (with a willful-misconduct carve-out) plus § 12.2 aggregate cap covering</w:t>
            </w:r>
            <w:r>
              <w:t xml:space="preserve"> </w:t>
            </w:r>
            <w:r>
              <w:t xml:space="preserve">“</w:t>
            </w:r>
            <w:r>
              <w:t xml:space="preserve">misrepresentation.</w:t>
            </w:r>
            <w:r>
              <w:t xml:space="preserve">”</w:t>
            </w:r>
            <w:r>
              <w:t xml:space="preserve"> </w:t>
            </w:r>
            <w:r>
              <w:t xml:space="preserve">Ohio law on fraud exceptions controls. The Answer should be amended to plead § 12 accurately.</w:t>
            </w:r>
          </w:p>
        </w:tc>
      </w:tr>
      <w:tr>
        <w:tc>
          <w:tcPr/>
          <w:p>
            <w:pPr>
              <w:pStyle w:val="Compact"/>
              <w:jc w:val="left"/>
            </w:pPr>
            <w:r>
              <w:t xml:space="preserve">Acceptance / waiver</w:t>
            </w:r>
          </w:p>
        </w:tc>
        <w:tc>
          <w:tcPr/>
          <w:p>
            <w:pPr>
              <w:pStyle w:val="Compact"/>
              <w:jc w:val="left"/>
            </w:pPr>
            <w:r>
              <w:t xml:space="preserve">Defects were latent</w:t>
            </w:r>
          </w:p>
        </w:tc>
        <w:tc>
          <w:tcPr/>
          <w:p>
            <w:pPr>
              <w:pStyle w:val="Compact"/>
              <w:jc w:val="left"/>
            </w:pPr>
            <w:r>
              <w:t xml:space="preserve">Accepted without timely rejection</w:t>
            </w:r>
          </w:p>
        </w:tc>
        <w:tc>
          <w:tcPr/>
          <w:p>
            <w:pPr>
              <w:pStyle w:val="Compact"/>
              <w:jc w:val="left"/>
            </w:pPr>
            <w:r>
              <w:t xml:space="preserve">§ 9.2 expressly treats subsurface porosity as latent. We recommend withdrawing or narrowing the Eighth Affirmative Defense.</w:t>
            </w:r>
          </w:p>
        </w:tc>
      </w:tr>
      <w:tr>
        <w:tc>
          <w:tcPr/>
          <w:p>
            <w:pPr>
              <w:pStyle w:val="Compact"/>
              <w:jc w:val="left"/>
            </w:pPr>
            <w:r>
              <w:t xml:space="preserve">Mitigation / downtime ($8.42M)</w:t>
            </w:r>
          </w:p>
        </w:tc>
        <w:tc>
          <w:tcPr/>
          <w:p>
            <w:pPr>
              <w:pStyle w:val="Compact"/>
              <w:jc w:val="left"/>
            </w:pPr>
            <w:r>
              <w:t xml:space="preserve">454.5 days at $18,522/day through June 2025</w:t>
            </w:r>
          </w:p>
        </w:tc>
        <w:tc>
          <w:tcPr/>
          <w:p>
            <w:pPr>
              <w:pStyle w:val="Compact"/>
              <w:jc w:val="left"/>
            </w:pPr>
            <w:r>
              <w:t xml:space="preserve">Valves could be replaced in about 90 days</w:t>
            </w:r>
          </w:p>
        </w:tc>
        <w:tc>
          <w:tcPr/>
          <w:p>
            <w:pPr>
              <w:pStyle w:val="Compact"/>
              <w:jc w:val="left"/>
            </w:pPr>
            <w:r>
              <w:t xml:space="preserve">Whitmore recommended further NDE or fitness-for-service review for the 19 suspect valves and said the 18 clean valves</w:t>
            </w:r>
            <w:r>
              <w:t xml:space="preserve"> </w:t>
            </w:r>
            <w:r>
              <w:t xml:space="preserve">“</w:t>
            </w:r>
            <w:r>
              <w:t xml:space="preserve">may be considered for continued service.</w:t>
            </w:r>
            <w:r>
              <w:t xml:space="preserve">”</w:t>
            </w:r>
            <w:r>
              <w:t xml:space="preserve"> </w:t>
            </w:r>
            <w:r>
              <w:t xml:space="preserve">The claim grew from $5.5M (demand letter) to $8.42M (Complaint). Whether</w:t>
            </w:r>
            <w:r>
              <w:t xml:space="preserve"> </w:t>
            </w:r>
            <w:r>
              <w:t xml:space="preserve">“</w:t>
            </w:r>
            <w:r>
              <w:t xml:space="preserve">affected units</w:t>
            </w:r>
            <w:r>
              <w:t xml:space="preserve">”</w:t>
            </w:r>
            <w:r>
              <w:t xml:space="preserve"> </w:t>
            </w:r>
            <w:r>
              <w:t xml:space="preserve">or the whole facility was shut down is unclear.</w:t>
            </w:r>
          </w:p>
        </w:tc>
      </w:tr>
      <w:tr>
        <w:tc>
          <w:tcPr/>
          <w:p>
            <w:pPr>
              <w:pStyle w:val="Compact"/>
              <w:jc w:val="left"/>
            </w:pPr>
            <w:r>
              <w:t xml:space="preserve">Counterclaim ($612,400)</w:t>
            </w:r>
          </w:p>
        </w:tc>
        <w:tc>
          <w:tcPr/>
          <w:p>
            <w:pPr>
              <w:pStyle w:val="Compact"/>
              <w:jc w:val="left"/>
            </w:pPr>
            <w:r>
              <w:t xml:space="preserve">Withheld as set-off (Compl. ¶60)</w:t>
            </w:r>
          </w:p>
        </w:tc>
        <w:tc>
          <w:tcPr/>
          <w:p>
            <w:pPr>
              <w:pStyle w:val="Compact"/>
              <w:jc w:val="left"/>
            </w:pPr>
            <w:r>
              <w:t xml:space="preserve">No right of set-off</w:t>
            </w:r>
          </w:p>
        </w:tc>
        <w:tc>
          <w:tcPr/>
          <w:p>
            <w:pPr>
              <w:pStyle w:val="Compact"/>
              <w:jc w:val="left"/>
            </w:pPr>
            <w:r>
              <w:t xml:space="preserve">MSA § 4.3 bars set-off. § 4.4 requires a written dispute notice within 15 days. § 4.3 provides 1.5%/month interest, which is</w:t>
            </w:r>
            <w:r>
              <w:t xml:space="preserve"> </w:t>
            </w:r>
            <w:r>
              <w:rPr>
                <w:b/>
                <w:bCs/>
              </w:rPr>
              <w:t xml:space="preserve">not</w:t>
            </w:r>
            <w:r>
              <w:t xml:space="preserve"> </w:t>
            </w:r>
            <w:r>
              <w:t xml:space="preserve">pleaded. Under § 6.1, title does not pass until payment. The unpaid POs appear to include HV-4400s (Countercl. ¶64), possibly including failed serials 0145 and 0148 (Nov. 15, 2023).</w:t>
            </w:r>
          </w:p>
        </w:tc>
      </w:tr>
    </w:tbl>
    <w:bookmarkEnd w:id="22"/>
    <w:bookmarkStart w:id="23" w:name="X31636c3dae1f09ec1f7d36a2aa771ac184802bc"/>
    <w:p>
      <w:pPr>
        <w:pStyle w:val="Heading2"/>
      </w:pPr>
      <w:r>
        <w:t xml:space="preserve">B. Inconsistencies to Resolve Before the Conference</w:t>
      </w:r>
    </w:p>
    <w:p>
      <w:pPr>
        <w:pStyle w:val="Compact"/>
        <w:numPr>
          <w:ilvl w:val="0"/>
          <w:numId w:val="1005"/>
        </w:numPr>
      </w:pPr>
      <w:r>
        <w:rPr>
          <w:b/>
          <w:bCs/>
        </w:rPr>
        <w:t xml:space="preserve">PO numbering.</w:t>
      </w:r>
      <w:r>
        <w:t xml:space="preserve"> </w:t>
      </w:r>
      <w:r>
        <w:t xml:space="preserve">The Counterclaim uses PO-2022-001 through PO-2023-013, and says PO-2022-001 through PO-2023-010 are the</w:t>
      </w:r>
      <w:r>
        <w:t xml:space="preserve"> </w:t>
      </w:r>
      <w:r>
        <w:t xml:space="preserve">“</w:t>
      </w:r>
      <w:r>
        <w:t xml:space="preserve">first eleven.</w:t>
      </w:r>
      <w:r>
        <w:t xml:space="preserve">”</w:t>
      </w:r>
      <w:r>
        <w:t xml:space="preserve"> </w:t>
      </w:r>
      <w:r>
        <w:t xml:space="preserve">Whitmore uses four-digit numbers (e.g., PO-2022-0034, PO-2023-0103). Pull a single PO register from SAP so our disclosures and counterclaim proof match.</w:t>
      </w:r>
    </w:p>
    <w:p>
      <w:pPr>
        <w:pStyle w:val="Compact"/>
        <w:numPr>
          <w:ilvl w:val="0"/>
          <w:numId w:val="1005"/>
        </w:numPr>
      </w:pPr>
      <w:r>
        <w:rPr>
          <w:b/>
          <w:bCs/>
        </w:rPr>
        <w:t xml:space="preserve">Lot/heat traceability.</w:t>
      </w:r>
      <w:r>
        <w:t xml:space="preserve"> </w:t>
      </w:r>
      <w:r>
        <w:t xml:space="preserve">Ostrowski refers to Great Lakes lots GL-2023-0618 and GL-2023-0625. Whitmore refers to heat numbers GLF-44xx. We need a cross-reference from SAP material receipts and QualTrack showing which lots went into which of the 48 Pinnacle serials.</w:t>
      </w:r>
    </w:p>
    <w:p>
      <w:pPr>
        <w:pStyle w:val="Compact"/>
        <w:numPr>
          <w:ilvl w:val="0"/>
          <w:numId w:val="1005"/>
        </w:numPr>
      </w:pPr>
      <w:r>
        <w:rPr>
          <w:b/>
          <w:bCs/>
        </w:rPr>
        <w:t xml:space="preserve">Relevant period.</w:t>
      </w:r>
      <w:r>
        <w:t xml:space="preserve"> </w:t>
      </w:r>
      <w:r>
        <w:t xml:space="preserve">The hold covers January 1, 2021 forward. The vendor assessed January 1, 2022 forward. Pre-contract negotiations (Brecker/Marsh, late 2021) are relevant to the reliance allegations, so collection should start</w:t>
      </w:r>
      <w:r>
        <w:t xml:space="preserve"> </w:t>
      </w:r>
      <w:r>
        <w:rPr>
          <w:b/>
          <w:bCs/>
        </w:rPr>
        <w:t xml:space="preserve">January 1, 2021</w:t>
      </w:r>
      <w:r>
        <w:t xml:space="preserve">.</w:t>
      </w:r>
    </w:p>
    <w:p>
      <w:pPr>
        <w:pStyle w:val="Compact"/>
        <w:numPr>
          <w:ilvl w:val="0"/>
          <w:numId w:val="1005"/>
        </w:numPr>
      </w:pPr>
      <w:r>
        <w:rPr>
          <w:b/>
          <w:bCs/>
        </w:rPr>
        <w:t xml:space="preserve">Vendor identity.</w:t>
      </w:r>
      <w:r>
        <w:t xml:space="preserve"> </w:t>
      </w:r>
      <w:r>
        <w:t xml:space="preserve">The e-discovery assessment is headed</w:t>
      </w:r>
      <w:r>
        <w:t xml:space="preserve"> </w:t>
      </w:r>
      <w:r>
        <w:t xml:space="preserve">“</w:t>
      </w:r>
      <w:r>
        <w:t xml:space="preserve">Crestview Litigation Support</w:t>
      </w:r>
      <w:r>
        <w:t xml:space="preserve">”</w:t>
      </w:r>
      <w:r>
        <w:t xml:space="preserve"> </w:t>
      </w:r>
      <w:r>
        <w:t xml:space="preserve">but says it is from</w:t>
      </w:r>
      <w:r>
        <w:t xml:space="preserve"> </w:t>
      </w:r>
      <w:r>
        <w:t xml:space="preserve">“</w:t>
      </w:r>
      <w:r>
        <w:t xml:space="preserve">Aldersgate Litigation Support,</w:t>
      </w:r>
      <w:r>
        <w:t xml:space="preserve">”</w:t>
      </w:r>
      <w:r>
        <w:t xml:space="preserve"> </w:t>
      </w:r>
      <w:r>
        <w:t xml:space="preserve">and is signed by Michael Tran of Crestview. Confirm which entity we engaged, and that the engagement letter runs through our firm, before we cite the vendor’s work in any certification or declaration.</w:t>
      </w:r>
    </w:p>
    <w:p>
      <w:pPr>
        <w:pStyle w:val="Compact"/>
        <w:numPr>
          <w:ilvl w:val="0"/>
          <w:numId w:val="1005"/>
        </w:numPr>
      </w:pPr>
      <w:r>
        <w:rPr>
          <w:b/>
          <w:bCs/>
        </w:rPr>
        <w:t xml:space="preserve">Ostrowski’s title.</w:t>
      </w:r>
      <w:r>
        <w:t xml:space="preserve"> </w:t>
      </w:r>
      <w:r>
        <w:t xml:space="preserve">The vendor lists him as</w:t>
      </w:r>
      <w:r>
        <w:t xml:space="preserve"> </w:t>
      </w:r>
      <w:r>
        <w:t xml:space="preserve">“</w:t>
      </w:r>
      <w:r>
        <w:t xml:space="preserve">Lead Technician/Machinist.</w:t>
      </w:r>
      <w:r>
        <w:t xml:space="preserve">”</w:t>
      </w:r>
      <w:r>
        <w:t xml:space="preserve"> </w:t>
      </w:r>
      <w:r>
        <w:t xml:space="preserve">His signature block reads</w:t>
      </w:r>
      <w:r>
        <w:t xml:space="preserve"> </w:t>
      </w:r>
      <w:r>
        <w:t xml:space="preserve">“</w:t>
      </w:r>
      <w:r>
        <w:t xml:space="preserve">Senior CNC Machinist — Valve Division.</w:t>
      </w:r>
      <w:r>
        <w:t xml:space="preserve">”</w:t>
      </w:r>
      <w:r>
        <w:t xml:space="preserve"> </w:t>
      </w:r>
      <w:r>
        <w:t xml:space="preserve">Use the correct title in the Rule 26(a)(1) disclosures.</w:t>
      </w:r>
    </w:p>
    <w:p>
      <w:pPr>
        <w:pStyle w:val="Compact"/>
        <w:numPr>
          <w:ilvl w:val="0"/>
          <w:numId w:val="1005"/>
        </w:numPr>
      </w:pPr>
      <w:r>
        <w:rPr>
          <w:b/>
          <w:bCs/>
        </w:rPr>
        <w:t xml:space="preserve">Email metadata.</w:t>
      </w:r>
      <w:r>
        <w:t xml:space="preserve"> </w:t>
      </w:r>
      <w:r>
        <w:t xml:space="preserve">Hartwell signature blocks in the July 2023 chain list 814 (Erie, PA) phone numbers. Other Hartwell materials use 419 (Toledo). Have the vendor collect the chain natively from Exchange with full metadata so authenticity is not in question. We should not rely on the .eml copy.</w:t>
      </w:r>
    </w:p>
    <w:p>
      <w:pPr>
        <w:pStyle w:val="Compact"/>
        <w:numPr>
          <w:ilvl w:val="0"/>
          <w:numId w:val="1005"/>
        </w:numPr>
      </w:pPr>
      <w:r>
        <w:rPr>
          <w:b/>
          <w:bCs/>
        </w:rPr>
        <w:t xml:space="preserve">Joint inspection timing.</w:t>
      </w:r>
      <w:r>
        <w:t xml:space="preserve"> </w:t>
      </w:r>
      <w:r>
        <w:t xml:space="preserve">The Complaint (¶43) says Dr. Cho presented his laboratory findings at the May 10, 2024 joint inspection. Whitmore’s chain-of-custody log shows it received the valves on</w:t>
      </w:r>
      <w:r>
        <w:t xml:space="preserve"> </w:t>
      </w:r>
      <w:r>
        <w:rPr>
          <w:b/>
          <w:bCs/>
        </w:rPr>
        <w:t xml:space="preserve">May 20, 2024</w:t>
      </w:r>
      <w:r>
        <w:t xml:space="preserve">, and the report issued August 15, 2024. This is a good deposition topic.</w:t>
      </w:r>
    </w:p>
    <w:p>
      <w:pPr>
        <w:pStyle w:val="Compact"/>
        <w:numPr>
          <w:ilvl w:val="0"/>
          <w:numId w:val="1005"/>
        </w:numPr>
      </w:pPr>
      <w:r>
        <w:rPr>
          <w:b/>
          <w:bCs/>
        </w:rPr>
        <w:t xml:space="preserve">Counsel addresses.</w:t>
      </w:r>
      <w:r>
        <w:t xml:space="preserve"> </w:t>
      </w:r>
      <w:r>
        <w:t xml:space="preserve">Our firm’s address appears three different ways across the CMO, Answer, and hold memo. Ms. Vidal’s appears four ways. Confirm service addresses and emails in the Rule 26(f) report and include an agreement to serve discovery by email.</w:t>
      </w:r>
    </w:p>
    <w:bookmarkEnd w:id="23"/>
    <w:bookmarkEnd w:id="24"/>
    <w:bookmarkStart w:id="28" w:name="X2072d4815f7ea4150fc16dfdd3cf6013108a8d8"/>
    <w:p>
      <w:pPr>
        <w:pStyle w:val="Heading1"/>
      </w:pPr>
      <w:r>
        <w:t xml:space="preserve">III. Preservation: Status, Required Disclosures, and Immediate Actions</w:t>
      </w:r>
    </w:p>
    <w:bookmarkStart w:id="25" w:name="a.-cmo-requirement"/>
    <w:p>
      <w:pPr>
        <w:pStyle w:val="Heading2"/>
      </w:pPr>
      <w:r>
        <w:t xml:space="preserve">A. CMO Requirement</w:t>
      </w:r>
    </w:p>
    <w:p>
      <w:pPr>
        <w:pStyle w:val="FirstParagraph"/>
      </w:pPr>
      <w:r>
        <w:t xml:space="preserve">CMO § IV requires each party to confirm to opposing counsel</w:t>
      </w:r>
      <w:r>
        <w:t xml:space="preserve"> </w:t>
      </w:r>
      <w:r>
        <w:rPr>
          <w:b/>
          <w:bCs/>
        </w:rPr>
        <w:t xml:space="preserve">in writing, no later than the Rule 26(f) conference</w:t>
      </w:r>
      <w:r>
        <w:t xml:space="preserve">:</w:t>
      </w:r>
    </w:p>
    <w:p>
      <w:pPr>
        <w:pStyle w:val="Compact"/>
        <w:numPr>
          <w:ilvl w:val="0"/>
          <w:numId w:val="1006"/>
        </w:numPr>
      </w:pPr>
      <w:r>
        <w:t xml:space="preserve">the date the hold was implemented;</w:t>
      </w:r>
    </w:p>
    <w:p>
      <w:pPr>
        <w:pStyle w:val="Compact"/>
        <w:numPr>
          <w:ilvl w:val="0"/>
          <w:numId w:val="1006"/>
        </w:numPr>
      </w:pPr>
      <w:r>
        <w:t xml:space="preserve">the custodians and data sources it covers; and</w:t>
      </w:r>
    </w:p>
    <w:p>
      <w:pPr>
        <w:pStyle w:val="Compact"/>
        <w:numPr>
          <w:ilvl w:val="0"/>
          <w:numId w:val="1006"/>
        </w:numPr>
      </w:pPr>
      <w:r>
        <w:t xml:space="preserve">any known categories of potentially relevant material lost before the hold.</w:t>
      </w:r>
    </w:p>
    <w:p>
      <w:pPr>
        <w:pStyle w:val="FirstParagraph"/>
      </w:pPr>
      <w:r>
        <w:t xml:space="preserve">Known losses must also be disclosed to the Court</w:t>
      </w:r>
      <w:r>
        <w:t xml:space="preserve"> </w:t>
      </w:r>
      <w:r>
        <w:t xml:space="preserve">“</w:t>
      </w:r>
      <w:r>
        <w:t xml:space="preserve">promptly.</w:t>
      </w:r>
      <w:r>
        <w:t xml:space="preserve">”</w:t>
      </w:r>
      <w:r>
        <w:t xml:space="preserve"> </w:t>
      </w:r>
      <w:r>
        <w:t xml:space="preserve">CMO § V.B separately requires a written</w:t>
      </w:r>
      <w:r>
        <w:t xml:space="preserve"> </w:t>
      </w:r>
      <w:r>
        <w:rPr>
          <w:b/>
          <w:bCs/>
        </w:rPr>
        <w:t xml:space="preserve">ESI source list</w:t>
      </w:r>
      <w:r>
        <w:t xml:space="preserve"> </w:t>
      </w:r>
      <w:r>
        <w:t xml:space="preserve">by the conference.</w:t>
      </w:r>
    </w:p>
    <w:bookmarkEnd w:id="25"/>
    <w:bookmarkStart w:id="26" w:name="b.-exposure-analysis"/>
    <w:p>
      <w:pPr>
        <w:pStyle w:val="Heading2"/>
      </w:pPr>
      <w:r>
        <w:t xml:space="preserve">B. Exposure Analysis</w:t>
      </w:r>
    </w:p>
    <w:p>
      <w:pPr>
        <w:pStyle w:val="Compact"/>
        <w:numPr>
          <w:ilvl w:val="0"/>
          <w:numId w:val="1007"/>
        </w:numPr>
      </w:pPr>
      <w:r>
        <w:rPr>
          <w:b/>
          <w:bCs/>
        </w:rPr>
        <w:t xml:space="preserve">When the duty arose.</w:t>
      </w:r>
      <w:r>
        <w:t xml:space="preserve"> </w:t>
      </w:r>
      <w:r>
        <w:t xml:space="preserve">Pinnacle will argue the duty arose on April 5, 2024, with the demand letter. It threatened litigation and specifically demanded preservation of</w:t>
      </w:r>
      <w:r>
        <w:t xml:space="preserve"> </w:t>
      </w:r>
      <w:r>
        <w:t xml:space="preserve">“</w:t>
      </w:r>
      <w:r>
        <w:t xml:space="preserve">text messages.</w:t>
      </w:r>
      <w:r>
        <w:t xml:space="preserve">”</w:t>
      </w:r>
      <w:r>
        <w:t xml:space="preserve"> </w:t>
      </w:r>
      <w:r>
        <w:t xml:space="preserve">Hartwell’s April 22 response committed to</w:t>
      </w:r>
      <w:r>
        <w:t xml:space="preserve"> </w:t>
      </w:r>
      <w:r>
        <w:t xml:space="preserve">“</w:t>
      </w:r>
      <w:r>
        <w:t xml:space="preserve">take appropriate steps to preserve.</w:t>
      </w:r>
      <w:r>
        <w:t xml:space="preserve">”</w:t>
      </w:r>
      <w:r>
        <w:t xml:space="preserve"> </w:t>
      </w:r>
      <w:r>
        <w:t xml:space="preserve">Hartwell’s hold issued October 30, 2024. That is roughly</w:t>
      </w:r>
      <w:r>
        <w:t xml:space="preserve"> </w:t>
      </w:r>
      <w:r>
        <w:rPr>
          <w:b/>
          <w:bCs/>
        </w:rPr>
        <w:t xml:space="preserve">seven months</w:t>
      </w:r>
      <w:r>
        <w:t xml:space="preserve"> </w:t>
      </w:r>
      <w:r>
        <w:t xml:space="preserve">after the demand, not the 37 days the vendor measured from the Complaint. Our preservation letter should state accurately when the hold issued. It should not concede when the duty arose.</w:t>
      </w:r>
    </w:p>
    <w:p>
      <w:pPr>
        <w:pStyle w:val="Compact"/>
        <w:numPr>
          <w:ilvl w:val="0"/>
          <w:numId w:val="1007"/>
        </w:numPr>
      </w:pPr>
      <w:r>
        <w:rPr>
          <w:b/>
          <w:bCs/>
        </w:rPr>
        <w:t xml:space="preserve">Email.</w:t>
      </w:r>
      <w:r>
        <w:t xml:space="preserve"> </w:t>
      </w:r>
      <w:r>
        <w:t xml:space="preserve">Microsoft 365 keeps deleted items for 365 days, with no auto-purge of inbox or sent items. Items deleted before about late October 2023 may be permanently gone. Ask IT whether any Tier 1 custodian’s deleted items were purged, and whether audit logs exist.</w:t>
      </w:r>
    </w:p>
    <w:p>
      <w:pPr>
        <w:pStyle w:val="Compact"/>
        <w:numPr>
          <w:ilvl w:val="0"/>
          <w:numId w:val="1007"/>
        </w:numPr>
      </w:pPr>
      <w:r>
        <w:rPr>
          <w:b/>
          <w:bCs/>
        </w:rPr>
        <w:t xml:space="preserve">Teams and SharePoint.</w:t>
      </w:r>
      <w:r>
        <w:t xml:space="preserve"> </w:t>
      </w:r>
      <w:r>
        <w:t xml:space="preserve">Retention settings have not been verified. The</w:t>
      </w:r>
      <w:r>
        <w:t xml:space="preserve"> </w:t>
      </w:r>
      <w:r>
        <w:t xml:space="preserve">“</w:t>
      </w:r>
      <w:r>
        <w:t xml:space="preserve">Pinnacle Project</w:t>
      </w:r>
      <w:r>
        <w:t xml:space="preserve">”</w:t>
      </w:r>
      <w:r>
        <w:t xml:space="preserve"> </w:t>
      </w:r>
      <w:r>
        <w:t xml:space="preserve">Teams channel (opened April 2022) is high-value. Get the Purview retention policy report now.</w:t>
      </w:r>
    </w:p>
    <w:p>
      <w:pPr>
        <w:pStyle w:val="Compact"/>
        <w:numPr>
          <w:ilvl w:val="0"/>
          <w:numId w:val="1007"/>
        </w:numPr>
      </w:pPr>
      <w:r>
        <w:rPr>
          <w:b/>
          <w:bCs/>
        </w:rPr>
        <w:t xml:space="preserve">Brecker phone.</w:t>
      </w:r>
      <w:r>
        <w:t xml:space="preserve"> </w:t>
      </w:r>
      <w:r>
        <w:t xml:space="preserve">His texts with Daniel Marsh were frequent and covered delivery, pricing, and at least some early-2024 quality issues. These texts are the likely Rule 37(e) battleground. Whether messages were deleted after April 5, 2024, and whether an iCloud backup exists, must be determined forensically</w:t>
      </w:r>
      <w:r>
        <w:t xml:space="preserve"> </w:t>
      </w:r>
      <w:r>
        <w:rPr>
          <w:b/>
          <w:bCs/>
        </w:rPr>
        <w:t xml:space="preserve">before</w:t>
      </w:r>
      <w:r>
        <w:t xml:space="preserve"> </w:t>
      </w:r>
      <w:r>
        <w:t xml:space="preserve">we sign the CMO § IV letter.</w:t>
      </w:r>
    </w:p>
    <w:p>
      <w:pPr>
        <w:pStyle w:val="Compact"/>
        <w:numPr>
          <w:ilvl w:val="0"/>
          <w:numId w:val="1007"/>
        </w:numPr>
      </w:pPr>
      <w:r>
        <w:rPr>
          <w:b/>
          <w:bCs/>
        </w:rPr>
        <w:t xml:space="preserve">Ostrowski.</w:t>
      </w:r>
      <w:r>
        <w:t xml:space="preserve"> </w:t>
      </w:r>
      <w:r>
        <w:t xml:space="preserve">He was not on the hold as of November 15, 2024. He also says he took</w:t>
      </w:r>
      <w:r>
        <w:t xml:space="preserve"> </w:t>
      </w:r>
      <w:r>
        <w:rPr>
          <w:b/>
          <w:bCs/>
        </w:rPr>
        <w:t xml:space="preserve">cell phone photos</w:t>
      </w:r>
      <w:r>
        <w:t xml:space="preserve"> </w:t>
      </w:r>
      <w:r>
        <w:t xml:space="preserve">of the affected castings (July 15, 2023 email). The vendor memo does not address his phone. His device and any photos must be preserved.</w:t>
      </w:r>
    </w:p>
    <w:p>
      <w:pPr>
        <w:pStyle w:val="Compact"/>
        <w:numPr>
          <w:ilvl w:val="0"/>
          <w:numId w:val="1007"/>
        </w:numPr>
      </w:pPr>
      <w:r>
        <w:rPr>
          <w:b/>
          <w:bCs/>
        </w:rPr>
        <w:t xml:space="preserve">Physical specimens at Hartwell.</w:t>
      </w:r>
      <w:r>
        <w:t xml:space="preserve"> </w:t>
      </w:r>
      <w:r>
        <w:t xml:space="preserve">Determine whether any Great Lakes castings from the 2023 lots, machining scrap, retained samples, or rejected parts remain at Toledo or Findlay. CMO § IV expressly covers</w:t>
      </w:r>
      <w:r>
        <w:t xml:space="preserve"> </w:t>
      </w:r>
      <w:r>
        <w:t xml:space="preserve">“</w:t>
      </w:r>
      <w:r>
        <w:t xml:space="preserve">physical specimens.</w:t>
      </w:r>
      <w:r>
        <w:t xml:space="preserve">”</w:t>
      </w:r>
    </w:p>
    <w:p>
      <w:pPr>
        <w:pStyle w:val="Compact"/>
        <w:numPr>
          <w:ilvl w:val="0"/>
          <w:numId w:val="1007"/>
        </w:numPr>
      </w:pPr>
      <w:r>
        <w:rPr>
          <w:b/>
          <w:bCs/>
        </w:rPr>
        <w:t xml:space="preserve">QA binders.</w:t>
      </w:r>
      <w:r>
        <w:t xml:space="preserve"> </w:t>
      </w:r>
      <w:r>
        <w:t xml:space="preserve">Hartwell’s five-year binder retention policy conflicts with</w:t>
      </w:r>
      <w:r>
        <w:t xml:space="preserve"> </w:t>
      </w:r>
      <w:r>
        <w:rPr>
          <w:b/>
          <w:bCs/>
        </w:rPr>
        <w:t xml:space="preserve">MSA § 7.4 and Exhibit D.1</w:t>
      </w:r>
      <w:r>
        <w:t xml:space="preserve">, which require Hartwell to keep QA/QC records for</w:t>
      </w:r>
      <w:r>
        <w:t xml:space="preserve"> </w:t>
      </w:r>
      <w:r>
        <w:rPr>
          <w:b/>
          <w:bCs/>
        </w:rPr>
        <w:t xml:space="preserve">seven</w:t>
      </w:r>
      <w:r>
        <w:t xml:space="preserve"> </w:t>
      </w:r>
      <w:r>
        <w:t xml:space="preserve">years. That is a contract obligation independent of the litigation, and Pinnacle can rely on it.</w:t>
      </w:r>
    </w:p>
    <w:p>
      <w:pPr>
        <w:pStyle w:val="Compact"/>
        <w:numPr>
          <w:ilvl w:val="0"/>
          <w:numId w:val="1007"/>
        </w:numPr>
      </w:pPr>
      <w:r>
        <w:rPr>
          <w:b/>
          <w:bCs/>
        </w:rPr>
        <w:t xml:space="preserve">Findlay.</w:t>
      </w:r>
      <w:r>
        <w:t xml:space="preserve"> </w:t>
      </w:r>
      <w:r>
        <w:t xml:space="preserve">MSA § 5.1 designates Findlay as a possible FOB shipping/distribution point, and the Complaint alleges manufacturing there. Findlay was not assessed.</w:t>
      </w:r>
    </w:p>
    <w:bookmarkEnd w:id="26"/>
    <w:bookmarkStart w:id="27" w:name="X497fa216089ed9c0d1051dcc54d891806b6f305"/>
    <w:p>
      <w:pPr>
        <w:pStyle w:val="Heading2"/>
      </w:pPr>
      <w:r>
        <w:t xml:space="preserve">C. Pre-Conference Action Items (confirm complete or finish by February 5, 2025)</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jc w:val="left"/>
            </w:pPr>
            <w:r>
              <w:rPr>
                <w:b/>
              </w:rPr>
              <w:t xml:space="preserve">#</w:t>
            </w:r>
          </w:p>
        </w:tc>
        <w:tc>
          <w:tcPr/>
          <w:p>
            <w:pPr>
              <w:pStyle w:val="Compact"/>
              <w:jc w:val="left"/>
            </w:pPr>
            <w:r>
              <w:rPr>
                <w:b/>
              </w:rPr>
              <w:t xml:space="preserve">Action</w:t>
            </w:r>
          </w:p>
        </w:tc>
        <w:tc>
          <w:tcPr/>
          <w:p>
            <w:pPr>
              <w:pStyle w:val="Compact"/>
              <w:jc w:val="left"/>
            </w:pPr>
            <w:r>
              <w:rPr>
                <w:b/>
              </w:rPr>
              <w:t xml:space="preserve">Owner</w:t>
            </w:r>
          </w:p>
        </w:tc>
        <w:tc>
          <w:tcPr/>
          <w:p>
            <w:pPr>
              <w:pStyle w:val="Compact"/>
              <w:jc w:val="left"/>
            </w:pPr>
            <w:r>
              <w:rPr>
                <w:b/>
              </w:rPr>
              <w:t xml:space="preserve">Status to confirm</w:t>
            </w:r>
          </w:p>
        </w:tc>
      </w:tr>
      <w:tr>
        <w:tc>
          <w:tcPr/>
          <w:p>
            <w:pPr>
              <w:pStyle w:val="Compact"/>
              <w:jc w:val="left"/>
            </w:pPr>
            <w:r>
              <w:t xml:space="preserve">1</w:t>
            </w:r>
          </w:p>
        </w:tc>
        <w:tc>
          <w:tcPr/>
          <w:p>
            <w:pPr>
              <w:pStyle w:val="Compact"/>
              <w:jc w:val="left"/>
            </w:pPr>
            <w:r>
              <w:t xml:space="preserve">Supplemental hold. Add Ostrowski, Tier 1 QA engineers, the two QA engineers at the joint inspection, IT/QualTrack administrator, shipping/receiving (Toledo and Findlay), accounts receivable/billing staff, and procurement staff who dealt with Great Lakes. Expressly cover personal devices, texts/iMessage/WhatsApp, photos, hardcopy binders, QualTrack, and physical specimens.</w:t>
            </w:r>
          </w:p>
        </w:tc>
        <w:tc>
          <w:tcPr/>
          <w:p>
            <w:pPr>
              <w:pStyle w:val="Compact"/>
              <w:jc w:val="left"/>
            </w:pPr>
            <w:r>
              <w:t xml:space="preserve">M. Liu / CSV</w:t>
            </w:r>
          </w:p>
        </w:tc>
        <w:tc>
          <w:tcPr/>
          <w:p>
            <w:pPr>
              <w:pStyle w:val="Compact"/>
              <w:jc w:val="left"/>
            </w:pPr>
            <w:r>
              <w:t xml:space="preserve">Issued? Acknowledgments returned?</w:t>
            </w:r>
          </w:p>
        </w:tc>
      </w:tr>
      <w:tr>
        <w:tc>
          <w:tcPr/>
          <w:p>
            <w:pPr>
              <w:pStyle w:val="Compact"/>
              <w:jc w:val="left"/>
            </w:pPr>
            <w:r>
              <w:t xml:space="preserve">2</w:t>
            </w:r>
          </w:p>
        </w:tc>
        <w:tc>
          <w:tcPr/>
          <w:p>
            <w:pPr>
              <w:pStyle w:val="Compact"/>
              <w:jc w:val="left"/>
            </w:pPr>
            <w:r>
              <w:t xml:space="preserve">Purview in-place holds on all custodian mailboxes, OneDrive, and Teams, plus the</w:t>
            </w:r>
            <w:r>
              <w:t xml:space="preserve"> </w:t>
            </w:r>
            <w:r>
              <w:t xml:space="preserve">“</w:t>
            </w:r>
            <w:r>
              <w:t xml:space="preserve">Pinnacle-Blackridge</w:t>
            </w:r>
            <w:r>
              <w:t xml:space="preserve">”</w:t>
            </w:r>
            <w:r>
              <w:t xml:space="preserve"> </w:t>
            </w:r>
            <w:r>
              <w:t xml:space="preserve">and</w:t>
            </w:r>
            <w:r>
              <w:t xml:space="preserve"> </w:t>
            </w:r>
            <w:r>
              <w:t xml:space="preserve">“</w:t>
            </w:r>
            <w:r>
              <w:t xml:space="preserve">Quality Documents</w:t>
            </w:r>
            <w:r>
              <w:t xml:space="preserve">”</w:t>
            </w:r>
            <w:r>
              <w:t xml:space="preserve"> </w:t>
            </w:r>
            <w:r>
              <w:t xml:space="preserve">SharePoint sites</w:t>
            </w:r>
          </w:p>
        </w:tc>
        <w:tc>
          <w:tcPr/>
          <w:p>
            <w:pPr>
              <w:pStyle w:val="Compact"/>
              <w:jc w:val="left"/>
            </w:pPr>
            <w:r>
              <w:t xml:space="preserve">Hartwell IT / vendor</w:t>
            </w:r>
          </w:p>
        </w:tc>
        <w:tc>
          <w:tcPr/>
          <w:p>
            <w:pPr>
              <w:pStyle w:val="Compact"/>
              <w:jc w:val="left"/>
            </w:pPr>
            <w:r>
              <w:t xml:space="preserve">Applied (date)?</w:t>
            </w:r>
          </w:p>
        </w:tc>
      </w:tr>
      <w:tr>
        <w:tc>
          <w:tcPr/>
          <w:p>
            <w:pPr>
              <w:pStyle w:val="Compact"/>
              <w:jc w:val="left"/>
            </w:pPr>
            <w:r>
              <w:t xml:space="preserve">3</w:t>
            </w:r>
          </w:p>
        </w:tc>
        <w:tc>
          <w:tcPr/>
          <w:p>
            <w:pPr>
              <w:pStyle w:val="Compact"/>
              <w:jc w:val="left"/>
            </w:pPr>
            <w:r>
              <w:t xml:space="preserve">Forensic image of Brecker’s iPhone and iCloud; targeted extraction of Pinnacle-contact threads. Same for Ostrowski’s phone photos (with consent). Get written consent and a privacy protocol.</w:t>
            </w:r>
          </w:p>
        </w:tc>
        <w:tc>
          <w:tcPr/>
          <w:p>
            <w:pPr>
              <w:pStyle w:val="Compact"/>
              <w:jc w:val="left"/>
            </w:pPr>
            <w:r>
              <w:t xml:space="preserve">Vendor / CSV</w:t>
            </w:r>
          </w:p>
        </w:tc>
        <w:tc>
          <w:tcPr/>
          <w:p>
            <w:pPr>
              <w:pStyle w:val="Compact"/>
              <w:jc w:val="left"/>
            </w:pPr>
            <w:r>
              <w:t xml:space="preserve">Imaged (date)? Any deletion gaps?</w:t>
            </w:r>
          </w:p>
        </w:tc>
      </w:tr>
      <w:tr>
        <w:tc>
          <w:tcPr/>
          <w:p>
            <w:pPr>
              <w:pStyle w:val="Compact"/>
              <w:jc w:val="left"/>
            </w:pPr>
            <w:r>
              <w:t xml:space="preserve">4</w:t>
            </w:r>
          </w:p>
        </w:tc>
        <w:tc>
          <w:tcPr/>
          <w:p>
            <w:pPr>
              <w:pStyle w:val="Compact"/>
              <w:jc w:val="left"/>
            </w:pPr>
            <w:r>
              <w:t xml:space="preserve">Inventory the 8–12 QA binders, chain of custody, scan with OCR</w:t>
            </w:r>
          </w:p>
        </w:tc>
        <w:tc>
          <w:tcPr/>
          <w:p>
            <w:pPr>
              <w:pStyle w:val="Compact"/>
              <w:jc w:val="left"/>
            </w:pPr>
            <w:r>
              <w:t xml:space="preserve">Kowalski / vendor</w:t>
            </w:r>
          </w:p>
        </w:tc>
        <w:tc>
          <w:tcPr/>
          <w:p>
            <w:pPr>
              <w:pStyle w:val="Compact"/>
              <w:jc w:val="left"/>
            </w:pPr>
            <w:r>
              <w:t xml:space="preserve">Complete?</w:t>
            </w:r>
          </w:p>
        </w:tc>
      </w:tr>
      <w:tr>
        <w:tc>
          <w:tcPr/>
          <w:p>
            <w:pPr>
              <w:pStyle w:val="Compact"/>
              <w:jc w:val="left"/>
            </w:pPr>
            <w:r>
              <w:t xml:space="preserve">5</w:t>
            </w:r>
          </w:p>
        </w:tc>
        <w:tc>
          <w:tcPr/>
          <w:p>
            <w:pPr>
              <w:pStyle w:val="Compact"/>
              <w:jc w:val="left"/>
            </w:pPr>
            <w:r>
              <w:t xml:space="preserve">Full QualTrack CSV export for HV-4400 (all ~6,800 records, not only Pinnacle lots), plus schema/data dictionary and screenshots of the record views</w:t>
            </w:r>
          </w:p>
        </w:tc>
        <w:tc>
          <w:tcPr/>
          <w:p>
            <w:pPr>
              <w:pStyle w:val="Compact"/>
              <w:jc w:val="left"/>
            </w:pPr>
            <w:r>
              <w:t xml:space="preserve">Vendor / IT</w:t>
            </w:r>
          </w:p>
        </w:tc>
        <w:tc>
          <w:tcPr/>
          <w:p>
            <w:pPr>
              <w:pStyle w:val="Compact"/>
              <w:jc w:val="left"/>
            </w:pPr>
            <w:r>
              <w:t xml:space="preserve">Complete?</w:t>
            </w:r>
          </w:p>
        </w:tc>
      </w:tr>
      <w:tr>
        <w:tc>
          <w:tcPr/>
          <w:p>
            <w:pPr>
              <w:pStyle w:val="Compact"/>
              <w:jc w:val="left"/>
            </w:pPr>
            <w:r>
              <w:t xml:space="preserve">6</w:t>
            </w:r>
          </w:p>
        </w:tc>
        <w:tc>
          <w:tcPr/>
          <w:p>
            <w:pPr>
              <w:pStyle w:val="Compact"/>
              <w:jc w:val="left"/>
            </w:pPr>
            <w:r>
              <w:t xml:space="preserve">SAP extraction: PO register, work orders, Great Lakes material receipts with lot/heat numbers, QM inspection lots, shipping and billing records</w:t>
            </w:r>
          </w:p>
        </w:tc>
        <w:tc>
          <w:tcPr/>
          <w:p>
            <w:pPr>
              <w:pStyle w:val="Compact"/>
              <w:jc w:val="left"/>
            </w:pPr>
            <w:r>
              <w:t xml:space="preserve">Vendor / IT</w:t>
            </w:r>
          </w:p>
        </w:tc>
        <w:tc>
          <w:tcPr/>
          <w:p>
            <w:pPr>
              <w:pStyle w:val="Compact"/>
              <w:jc w:val="left"/>
            </w:pPr>
            <w:r>
              <w:t xml:space="preserve">Complete?</w:t>
            </w:r>
          </w:p>
        </w:tc>
      </w:tr>
      <w:tr>
        <w:tc>
          <w:tcPr/>
          <w:p>
            <w:pPr>
              <w:pStyle w:val="Compact"/>
              <w:jc w:val="left"/>
            </w:pPr>
            <w:r>
              <w:t xml:space="preserve">7</w:t>
            </w:r>
          </w:p>
        </w:tc>
        <w:tc>
          <w:tcPr/>
          <w:p>
            <w:pPr>
              <w:pStyle w:val="Compact"/>
              <w:jc w:val="left"/>
            </w:pPr>
            <w:r>
              <w:t xml:space="preserve">Findlay assessment (records, shipping documents, any HV-4400 activity)</w:t>
            </w:r>
          </w:p>
        </w:tc>
        <w:tc>
          <w:tcPr/>
          <w:p>
            <w:pPr>
              <w:pStyle w:val="Compact"/>
              <w:jc w:val="left"/>
            </w:pPr>
            <w:r>
              <w:t xml:space="preserve">Vendor</w:t>
            </w:r>
          </w:p>
        </w:tc>
        <w:tc>
          <w:tcPr/>
          <w:p>
            <w:pPr>
              <w:pStyle w:val="Compact"/>
              <w:jc w:val="left"/>
            </w:pPr>
            <w:r>
              <w:t xml:space="preserve">Scheduled?</w:t>
            </w:r>
          </w:p>
        </w:tc>
      </w:tr>
      <w:tr>
        <w:tc>
          <w:tcPr/>
          <w:p>
            <w:pPr>
              <w:pStyle w:val="Compact"/>
              <w:jc w:val="left"/>
            </w:pPr>
            <w:r>
              <w:t xml:space="preserve">8</w:t>
            </w:r>
          </w:p>
        </w:tc>
        <w:tc>
          <w:tcPr/>
          <w:p>
            <w:pPr>
              <w:pStyle w:val="Compact"/>
              <w:jc w:val="left"/>
            </w:pPr>
            <w:r>
              <w:t xml:space="preserve">Microsoft 365 retention policy report and deleted-item/audit review for the October 2023 – October 2024 window</w:t>
            </w:r>
          </w:p>
        </w:tc>
        <w:tc>
          <w:tcPr/>
          <w:p>
            <w:pPr>
              <w:pStyle w:val="Compact"/>
              <w:jc w:val="left"/>
            </w:pPr>
            <w:r>
              <w:t xml:space="preserve">IT</w:t>
            </w:r>
          </w:p>
        </w:tc>
        <w:tc>
          <w:tcPr/>
          <w:p>
            <w:pPr>
              <w:pStyle w:val="Compact"/>
              <w:jc w:val="left"/>
            </w:pPr>
            <w:r>
              <w:t xml:space="preserve">Received?</w:t>
            </w:r>
          </w:p>
        </w:tc>
      </w:tr>
      <w:tr>
        <w:tc>
          <w:tcPr/>
          <w:p>
            <w:pPr>
              <w:pStyle w:val="Compact"/>
              <w:jc w:val="left"/>
            </w:pPr>
            <w:r>
              <w:t xml:space="preserve">9</w:t>
            </w:r>
          </w:p>
        </w:tc>
        <w:tc>
          <w:tcPr/>
          <w:p>
            <w:pPr>
              <w:pStyle w:val="Compact"/>
              <w:jc w:val="left"/>
            </w:pPr>
            <w:r>
              <w:t xml:space="preserve">Physical evidence letter to Pinnacle and Whitmore. Demand preservation of the 11 sectioned specimens and all offcuts, mounts, and images; the 37 remaining valves as removed (tagged by serial and position); replaced piping and gaskets; torque logs; and raw UT data. No further destructive testing without notice and a joint protocol (see MSA § 9.4).</w:t>
            </w:r>
          </w:p>
        </w:tc>
        <w:tc>
          <w:tcPr/>
          <w:p>
            <w:pPr>
              <w:pStyle w:val="Compact"/>
              <w:jc w:val="left"/>
            </w:pPr>
            <w:r>
              <w:t xml:space="preserve">CSV</w:t>
            </w:r>
          </w:p>
        </w:tc>
        <w:tc>
          <w:tcPr/>
          <w:p>
            <w:pPr>
              <w:pStyle w:val="Compact"/>
              <w:jc w:val="left"/>
            </w:pPr>
            <w:r>
              <w:t xml:space="preserve">Sent?</w:t>
            </w:r>
          </w:p>
        </w:tc>
      </w:tr>
      <w:tr>
        <w:tc>
          <w:tcPr/>
          <w:p>
            <w:pPr>
              <w:pStyle w:val="Compact"/>
              <w:jc w:val="left"/>
            </w:pPr>
            <w:r>
              <w:t xml:space="preserve">10</w:t>
            </w:r>
          </w:p>
        </w:tc>
        <w:tc>
          <w:tcPr/>
          <w:p>
            <w:pPr>
              <w:pStyle w:val="Compact"/>
              <w:jc w:val="left"/>
            </w:pPr>
            <w:r>
              <w:t xml:space="preserve">Notify insurers (CGL and product liability, MSA § 18) and send a preservation/claim notice to Great Lakes</w:t>
            </w:r>
          </w:p>
        </w:tc>
        <w:tc>
          <w:tcPr/>
          <w:p>
            <w:pPr>
              <w:pStyle w:val="Compact"/>
              <w:jc w:val="left"/>
            </w:pPr>
            <w:r>
              <w:t xml:space="preserve">M. Liu / CSV</w:t>
            </w:r>
          </w:p>
        </w:tc>
        <w:tc>
          <w:tcPr/>
          <w:p>
            <w:pPr>
              <w:pStyle w:val="Compact"/>
              <w:jc w:val="left"/>
            </w:pPr>
            <w:r>
              <w:t xml:space="preserve">Sent?</w:t>
            </w:r>
          </w:p>
        </w:tc>
      </w:tr>
    </w:tbl>
    <w:p>
      <w:pPr>
        <w:pStyle w:val="BodyText"/>
      </w:pPr>
      <w:r>
        <w:rPr>
          <w:b/>
          <w:bCs/>
        </w:rPr>
        <w:t xml:space="preserve">Recommendation on the CMO § IV letter.</w:t>
      </w:r>
      <w:r>
        <w:t xml:space="preserve"> </w:t>
      </w:r>
      <w:r>
        <w:t xml:space="preserve">Be accurate and complete. State the hold date (October 30, 2024), the supplemental hold date, and custodians and sources by category. Describe any gaps the forensic work finds. Do not argue about when the duty arose. The Court has warned it will impose Rule 37(e) remedies, and credibility on preservation will matter throughout the case. A candid disclosure now, paired with evidence of prompt remediation, is the best defense against a later</w:t>
      </w:r>
      <w:r>
        <w:t xml:space="preserve"> </w:t>
      </w:r>
      <w:r>
        <w:t xml:space="preserve">“</w:t>
      </w:r>
      <w:r>
        <w:t xml:space="preserve">intent to deprive</w:t>
      </w:r>
      <w:r>
        <w:t xml:space="preserve">”</w:t>
      </w:r>
      <w:r>
        <w:t xml:space="preserve"> </w:t>
      </w:r>
      <w:r>
        <w:t xml:space="preserve">finding.</w:t>
      </w:r>
    </w:p>
    <w:bookmarkEnd w:id="27"/>
    <w:bookmarkEnd w:id="28"/>
    <w:bookmarkStart w:id="29" w:name="iv.-phased-discovery-and-early-motions"/>
    <w:p>
      <w:pPr>
        <w:pStyle w:val="Heading1"/>
      </w:pPr>
      <w:r>
        <w:t xml:space="preserve">IV. Phased Discovery and Early Motions</w:t>
      </w:r>
    </w:p>
    <w:p>
      <w:pPr>
        <w:pStyle w:val="FirstParagraph"/>
      </w:pPr>
      <w:r>
        <w:t xml:space="preserve">CMO §§ II.J and VII invite proposals for phased discovery. The Answer (¶54) previews early summary judgment on the fraud claim and the cap. We recommend</w:t>
      </w:r>
      <w:r>
        <w:t xml:space="preserve"> </w:t>
      </w:r>
      <w:r>
        <w:rPr>
          <w:b/>
          <w:bCs/>
        </w:rPr>
        <w:t xml:space="preserve">against</w:t>
      </w:r>
      <w:r>
        <w:t xml:space="preserve"> </w:t>
      </w:r>
      <w:r>
        <w:t xml:space="preserve">asking for fraud-first or liability-first phasing, for four reasons:</w:t>
      </w:r>
    </w:p>
    <w:p>
      <w:pPr>
        <w:pStyle w:val="Compact"/>
        <w:numPr>
          <w:ilvl w:val="0"/>
          <w:numId w:val="1008"/>
        </w:numPr>
      </w:pPr>
      <w:r>
        <w:rPr>
          <w:b/>
          <w:bCs/>
        </w:rPr>
        <w:t xml:space="preserve">Rule 9(b) is no longer a good vehicle.</w:t>
      </w:r>
      <w:r>
        <w:t xml:space="preserve"> </w:t>
      </w:r>
      <w:r>
        <w:t xml:space="preserve">The Complaint names Kowalski, Fenton, and Brecker and gives a July–November 2023 window. The Ostrowski chain matches those allegations closely. A motion would probably be denied or produce an amended complaint, and it would put the emails in front of the Court early.</w:t>
      </w:r>
    </w:p>
    <w:p>
      <w:pPr>
        <w:pStyle w:val="Compact"/>
        <w:numPr>
          <w:ilvl w:val="0"/>
          <w:numId w:val="1008"/>
        </w:numPr>
      </w:pPr>
      <w:r>
        <w:rPr>
          <w:b/>
          <w:bCs/>
        </w:rPr>
        <w:t xml:space="preserve">Whether the fraud exception to the cap applies depends on facts.</w:t>
      </w:r>
      <w:r>
        <w:t xml:space="preserve"> </w:t>
      </w:r>
      <w:r>
        <w:t xml:space="preserve">The § 12.1 carve-out for gross negligence and willful misconduct, and Ohio’s fraud exception to limitation clauses, both turn on what Hartwell knew and did in July–November 2023. The Court will not stay fraud discovery to decide the cap in the abstract.</w:t>
      </w:r>
    </w:p>
    <w:p>
      <w:pPr>
        <w:pStyle w:val="Compact"/>
        <w:numPr>
          <w:ilvl w:val="0"/>
          <w:numId w:val="1008"/>
        </w:numPr>
      </w:pPr>
      <w:r>
        <w:rPr>
          <w:b/>
          <w:bCs/>
        </w:rPr>
        <w:t xml:space="preserve">Phasing damages second would hurt us.</w:t>
      </w:r>
      <w:r>
        <w:t xml:space="preserve"> </w:t>
      </w:r>
      <w:r>
        <w:t xml:space="preserve">Our best issues are mitigation, the downtime calculation, and Whitmore’s own fitness-for-service and return-to-service recommendations. We want that discovery to run early, alongside liability discovery.</w:t>
      </w:r>
    </w:p>
    <w:p>
      <w:pPr>
        <w:pStyle w:val="Compact"/>
        <w:numPr>
          <w:ilvl w:val="0"/>
          <w:numId w:val="1008"/>
        </w:numPr>
      </w:pPr>
      <w:r>
        <w:rPr>
          <w:b/>
          <w:bCs/>
        </w:rPr>
        <w:t xml:space="preserve">The schedule is tight.</w:t>
      </w:r>
      <w:r>
        <w:t xml:space="preserve"> </w:t>
      </w:r>
      <w:r>
        <w:t xml:space="preserve">The May 4, 2026 trial date and August 1, 2025 expert deadline leave little room for phases.</w:t>
      </w:r>
    </w:p>
    <w:p>
      <w:pPr>
        <w:pStyle w:val="FirstParagraph"/>
      </w:pPr>
      <w:r>
        <w:rPr>
          <w:b/>
          <w:bCs/>
        </w:rPr>
        <w:t xml:space="preserve">Proposed alternative (to raise at the conference):</w:t>
      </w:r>
    </w:p>
    <w:p>
      <w:pPr>
        <w:pStyle w:val="Compact"/>
        <w:numPr>
          <w:ilvl w:val="0"/>
          <w:numId w:val="1009"/>
        </w:numPr>
      </w:pPr>
      <w:r>
        <w:t xml:space="preserve">A single fact-discovery track closing October 31, 2025, covering all claims and the counterclaim.</w:t>
      </w:r>
    </w:p>
    <w:p>
      <w:pPr>
        <w:pStyle w:val="Compact"/>
        <w:numPr>
          <w:ilvl w:val="0"/>
          <w:numId w:val="1009"/>
        </w:numPr>
      </w:pPr>
      <w:r>
        <w:t xml:space="preserve">An agreed</w:t>
      </w:r>
      <w:r>
        <w:t xml:space="preserve"> </w:t>
      </w:r>
      <w:r>
        <w:rPr>
          <w:b/>
          <w:bCs/>
        </w:rPr>
        <w:t xml:space="preserve">early partial summary judgment window</w:t>
      </w:r>
      <w:r>
        <w:t xml:space="preserve"> </w:t>
      </w:r>
      <w:r>
        <w:t xml:space="preserve">(e.g., opening briefs by July 15, 2025) limited to pure contract-interpretation questions that do not depend on the fraud facts:</w:t>
      </w:r>
    </w:p>
    <w:p>
      <w:pPr>
        <w:pStyle w:val="Compact"/>
        <w:numPr>
          <w:ilvl w:val="1"/>
          <w:numId w:val="1010"/>
        </w:numPr>
      </w:pPr>
    </w:p>
    <w:p>
      <w:pPr>
        <w:pStyle w:val="Compact"/>
        <w:numPr>
          <w:ilvl w:val="2"/>
          <w:numId w:val="1011"/>
        </w:numPr>
      </w:pPr>
      <w:r>
        <w:t xml:space="preserve">§ 8.6 disclaimer of the implied warranty of merchantability (Count III);</w:t>
      </w:r>
    </w:p>
    <w:p>
      <w:pPr>
        <w:pStyle w:val="Compact"/>
        <w:numPr>
          <w:ilvl w:val="1"/>
          <w:numId w:val="1010"/>
        </w:numPr>
      </w:pPr>
    </w:p>
    <w:p>
      <w:pPr>
        <w:pStyle w:val="Compact"/>
        <w:numPr>
          <w:ilvl w:val="2"/>
          <w:numId w:val="1012"/>
        </w:numPr>
      </w:pPr>
      <w:r>
        <w:t xml:space="preserve">whether § 12.2’s aggregate cap reaches negligent misrepresentation, and the economic loss doctrine (Count V);</w:t>
      </w:r>
    </w:p>
    <w:p>
      <w:pPr>
        <w:pStyle w:val="Compact"/>
        <w:numPr>
          <w:ilvl w:val="1"/>
          <w:numId w:val="1010"/>
        </w:numPr>
      </w:pPr>
    </w:p>
    <w:p>
      <w:pPr>
        <w:pStyle w:val="Compact"/>
        <w:numPr>
          <w:ilvl w:val="2"/>
          <w:numId w:val="1013"/>
        </w:numPr>
      </w:pPr>
      <w:r>
        <w:t xml:space="preserve">§ 12.1’s exclusion of lost revenue and cost of substitute goods absent willful misconduct or gross negligence;</w:t>
      </w:r>
    </w:p>
    <w:p>
      <w:pPr>
        <w:pStyle w:val="Compact"/>
        <w:numPr>
          <w:ilvl w:val="1"/>
          <w:numId w:val="1010"/>
        </w:numPr>
      </w:pPr>
    </w:p>
    <w:p>
      <w:pPr>
        <w:pStyle w:val="Compact"/>
        <w:numPr>
          <w:ilvl w:val="2"/>
          <w:numId w:val="1014"/>
        </w:numPr>
      </w:pPr>
      <w:r>
        <w:t xml:space="preserve">counterclaim liability under §§ 4.3–4.4 (no set-off; waiver of undisputed invoices).</w:t>
      </w:r>
    </w:p>
    <w:p>
      <w:pPr>
        <w:pStyle w:val="Compact"/>
        <w:numPr>
          <w:ilvl w:val="0"/>
          <w:numId w:val="1009"/>
        </w:numPr>
      </w:pPr>
      <w:r>
        <w:t xml:space="preserve">Discovery would not be stayed during the briefing.</w:t>
      </w:r>
    </w:p>
    <w:p>
      <w:pPr>
        <w:pStyle w:val="Compact"/>
        <w:numPr>
          <w:ilvl w:val="0"/>
          <w:numId w:val="1009"/>
        </w:numPr>
      </w:pPr>
      <w:r>
        <w:t xml:space="preserve">The</w:t>
      </w:r>
      <w:r>
        <w:t xml:space="preserve"> </w:t>
      </w:r>
      <w:r>
        <w:rPr>
          <w:b/>
          <w:bCs/>
        </w:rPr>
        <w:t xml:space="preserve">counterclaim</w:t>
      </w:r>
      <w:r>
        <w:t xml:space="preserve"> </w:t>
      </w:r>
      <w:r>
        <w:t xml:space="preserve">is a good early motion candidate: it is document-driven, and Pinnacle has effectively admitted withholding payment (Compl. ¶60). First confirm which HV-4400 serials were on the unpaid POs, because Pinnacle will argue it rejected or revoked acceptance of those valves.</w:t>
      </w:r>
    </w:p>
    <w:p>
      <w:pPr>
        <w:pStyle w:val="FirstParagraph"/>
      </w:pPr>
      <w:r>
        <w:rPr>
          <w:b/>
          <w:bCs/>
        </w:rPr>
        <w:t xml:space="preserve">Expected Pinnacle position:</w:t>
      </w:r>
      <w:r>
        <w:t xml:space="preserve"> </w:t>
      </w:r>
      <w:r>
        <w:t xml:space="preserve">oppose phasing and seek immediate, broad fraud discovery. Our proposal gives the Court a reasonable, efficient middle path and shows cooperation.</w:t>
      </w:r>
    </w:p>
    <w:bookmarkEnd w:id="29"/>
    <w:bookmarkStart w:id="30" w:name="X1a3874493f139274c9d3e824b235b3956433f65"/>
    <w:p>
      <w:pPr>
        <w:pStyle w:val="Heading1"/>
      </w:pPr>
      <w:r>
        <w:t xml:space="preserve">V. Proposed Schedule (within CMO Deadlines)</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p>
            <w:pPr>
              <w:pStyle w:val="Compact"/>
              <w:jc w:val="left"/>
            </w:pPr>
            <w:r>
              <w:rPr>
                <w:b/>
              </w:rPr>
              <w:t xml:space="preserve">Event</w:t>
            </w:r>
          </w:p>
        </w:tc>
        <w:tc>
          <w:tcPr/>
          <w:p>
            <w:pPr>
              <w:pStyle w:val="Compact"/>
              <w:jc w:val="left"/>
            </w:pPr>
            <w:r>
              <w:rPr>
                <w:b/>
              </w:rPr>
              <w:t xml:space="preserve">Proposed date</w:t>
            </w:r>
          </w:p>
        </w:tc>
      </w:tr>
      <w:tr>
        <w:tc>
          <w:tcPr/>
          <w:p>
            <w:pPr>
              <w:pStyle w:val="Compact"/>
              <w:jc w:val="left"/>
            </w:pPr>
            <w:r>
              <w:t xml:space="preserve">Rule 26(f) conference (in person or video, lead counsel plus e-discovery liaisons)</w:t>
            </w:r>
          </w:p>
        </w:tc>
        <w:tc>
          <w:tcPr/>
          <w:p>
            <w:pPr>
              <w:pStyle w:val="Compact"/>
              <w:jc w:val="left"/>
            </w:pPr>
            <w:r>
              <w:t xml:space="preserve">Target Feb. 5–7, 2025 (no later than Feb. 10)</w:t>
            </w:r>
          </w:p>
        </w:tc>
      </w:tr>
      <w:tr>
        <w:tc>
          <w:tcPr/>
          <w:p>
            <w:pPr>
              <w:pStyle w:val="Compact"/>
              <w:jc w:val="left"/>
            </w:pPr>
            <w:r>
              <w:t xml:space="preserve">Exchange CMO § IV hold letters and § V.B ESI source lists</w:t>
            </w:r>
          </w:p>
        </w:tc>
        <w:tc>
          <w:tcPr/>
          <w:p>
            <w:pPr>
              <w:pStyle w:val="Compact"/>
              <w:jc w:val="left"/>
            </w:pPr>
            <w:r>
              <w:t xml:space="preserve">At or before conference</w:t>
            </w:r>
          </w:p>
        </w:tc>
      </w:tr>
      <w:tr>
        <w:tc>
          <w:tcPr/>
          <w:p>
            <w:pPr>
              <w:pStyle w:val="Compact"/>
              <w:jc w:val="left"/>
            </w:pPr>
            <w:r>
              <w:t xml:space="preserve">Joint Rule 26(f) report; stipulated protective order; Rule 502(d) order; initial disclosures</w:t>
            </w:r>
          </w:p>
        </w:tc>
        <w:tc>
          <w:tcPr/>
          <w:p>
            <w:pPr>
              <w:pStyle w:val="Compact"/>
              <w:jc w:val="left"/>
            </w:pPr>
            <w:r>
              <w:t xml:space="preserve">Feb. 24, 2025</w:t>
            </w:r>
          </w:p>
        </w:tc>
      </w:tr>
      <w:tr>
        <w:tc>
          <w:tcPr/>
          <w:p>
            <w:pPr>
              <w:pStyle w:val="Compact"/>
              <w:jc w:val="left"/>
            </w:pPr>
            <w:r>
              <w:t xml:space="preserve">ESI protocol (if not finalized by Feb. 24)</w:t>
            </w:r>
          </w:p>
        </w:tc>
        <w:tc>
          <w:tcPr/>
          <w:p>
            <w:pPr>
              <w:pStyle w:val="Compact"/>
              <w:jc w:val="left"/>
            </w:pPr>
            <w:r>
              <w:t xml:space="preserve">Mar. 10, 2025</w:t>
            </w:r>
          </w:p>
        </w:tc>
      </w:tr>
      <w:tr>
        <w:tc>
          <w:tcPr/>
          <w:p>
            <w:pPr>
              <w:pStyle w:val="Compact"/>
              <w:jc w:val="left"/>
            </w:pPr>
            <w:r>
              <w:t xml:space="preserve">Search terms and custodian lists exchanged; hit reports</w:t>
            </w:r>
          </w:p>
        </w:tc>
        <w:tc>
          <w:tcPr/>
          <w:p>
            <w:pPr>
              <w:pStyle w:val="Compact"/>
              <w:jc w:val="left"/>
            </w:pPr>
            <w:r>
              <w:t xml:space="preserve">Mar. 14 / Mar. 28, 2025</w:t>
            </w:r>
          </w:p>
        </w:tc>
      </w:tr>
      <w:tr>
        <w:tc>
          <w:tcPr/>
          <w:p>
            <w:pPr>
              <w:pStyle w:val="Compact"/>
              <w:jc w:val="left"/>
            </w:pPr>
            <w:r>
              <w:t xml:space="preserve">Joint physical-evidence inspection and testing protocol agreed; Hartwell expert access to specimens and remaining valves</w:t>
            </w:r>
          </w:p>
        </w:tc>
        <w:tc>
          <w:tcPr/>
          <w:p>
            <w:pPr>
              <w:pStyle w:val="Compact"/>
              <w:jc w:val="left"/>
            </w:pPr>
            <w:r>
              <w:t xml:space="preserve">By Apr. 15, 2025</w:t>
            </w:r>
          </w:p>
        </w:tc>
      </w:tr>
      <w:tr>
        <w:tc>
          <w:tcPr/>
          <w:p>
            <w:pPr>
              <w:pStyle w:val="Compact"/>
              <w:jc w:val="left"/>
            </w:pPr>
            <w:r>
              <w:t xml:space="preserve">First written discovery served by both sides</w:t>
            </w:r>
          </w:p>
        </w:tc>
        <w:tc>
          <w:tcPr/>
          <w:p>
            <w:pPr>
              <w:pStyle w:val="Compact"/>
              <w:jc w:val="left"/>
            </w:pPr>
            <w:r>
              <w:t xml:space="preserve">By Mar. 14, 2025</w:t>
            </w:r>
          </w:p>
        </w:tc>
      </w:tr>
      <w:tr>
        <w:tc>
          <w:tcPr/>
          <w:p>
            <w:pPr>
              <w:pStyle w:val="Compact"/>
              <w:jc w:val="left"/>
            </w:pPr>
            <w:r>
              <w:t xml:space="preserve">Rolling productions begin; privilege logs rolling within 30 days of each production</w:t>
            </w:r>
          </w:p>
        </w:tc>
        <w:tc>
          <w:tcPr/>
          <w:p>
            <w:pPr>
              <w:pStyle w:val="Compact"/>
              <w:jc w:val="left"/>
            </w:pPr>
            <w:r>
              <w:t xml:space="preserve">Apr. 1, 2025 onward</w:t>
            </w:r>
          </w:p>
        </w:tc>
      </w:tr>
      <w:tr>
        <w:tc>
          <w:tcPr/>
          <w:p>
            <w:pPr>
              <w:pStyle w:val="Compact"/>
              <w:jc w:val="left"/>
            </w:pPr>
            <w:r>
              <w:t xml:space="preserve">Deadline to amend pleadings / join parties (including Great Lakes third-party complaint)</w:t>
            </w:r>
          </w:p>
        </w:tc>
        <w:tc>
          <w:tcPr/>
          <w:p>
            <w:pPr>
              <w:pStyle w:val="Compact"/>
              <w:jc w:val="left"/>
            </w:pPr>
            <w:r>
              <w:t xml:space="preserve">Apr. 30, 2025 (CMO)</w:t>
            </w:r>
          </w:p>
        </w:tc>
      </w:tr>
      <w:tr>
        <w:tc>
          <w:tcPr/>
          <w:p>
            <w:pPr>
              <w:pStyle w:val="Compact"/>
              <w:jc w:val="left"/>
            </w:pPr>
            <w:r>
              <w:t xml:space="preserve">Substantial completion of document production</w:t>
            </w:r>
          </w:p>
        </w:tc>
        <w:tc>
          <w:tcPr/>
          <w:p>
            <w:pPr>
              <w:pStyle w:val="Compact"/>
              <w:jc w:val="left"/>
            </w:pPr>
            <w:r>
              <w:t xml:space="preserve">June 30, 2025</w:t>
            </w:r>
          </w:p>
        </w:tc>
      </w:tr>
      <w:tr>
        <w:tc>
          <w:tcPr/>
          <w:p>
            <w:pPr>
              <w:pStyle w:val="Compact"/>
              <w:jc w:val="left"/>
            </w:pPr>
            <w:r>
              <w:t xml:space="preserve">Early partial summary judgment window (contract-interpretation issues)</w:t>
            </w:r>
          </w:p>
        </w:tc>
        <w:tc>
          <w:tcPr/>
          <w:p>
            <w:pPr>
              <w:pStyle w:val="Compact"/>
              <w:jc w:val="left"/>
            </w:pPr>
            <w:r>
              <w:t xml:space="preserve">Opening briefs July 15, 2025 (proposed)</w:t>
            </w:r>
          </w:p>
        </w:tc>
      </w:tr>
      <w:tr>
        <w:tc>
          <w:tcPr/>
          <w:p>
            <w:pPr>
              <w:pStyle w:val="Compact"/>
              <w:jc w:val="left"/>
            </w:pPr>
            <w:r>
              <w:t xml:space="preserve">Affirmative expert reports</w:t>
            </w:r>
          </w:p>
        </w:tc>
        <w:tc>
          <w:tcPr/>
          <w:p>
            <w:pPr>
              <w:pStyle w:val="Compact"/>
              <w:jc w:val="left"/>
            </w:pPr>
            <w:r>
              <w:t xml:space="preserve">Aug. 1, 2025 (CMO)</w:t>
            </w:r>
          </w:p>
        </w:tc>
      </w:tr>
      <w:tr>
        <w:tc>
          <w:tcPr/>
          <w:p>
            <w:pPr>
              <w:pStyle w:val="Compact"/>
              <w:jc w:val="left"/>
            </w:pPr>
            <w:r>
              <w:t xml:space="preserve">Rebuttal expert reports</w:t>
            </w:r>
          </w:p>
        </w:tc>
        <w:tc>
          <w:tcPr/>
          <w:p>
            <w:pPr>
              <w:pStyle w:val="Compact"/>
              <w:jc w:val="left"/>
            </w:pPr>
            <w:r>
              <w:t xml:space="preserve">Sept. 15, 2025 (CMO)</w:t>
            </w:r>
          </w:p>
        </w:tc>
      </w:tr>
      <w:tr>
        <w:tc>
          <w:tcPr/>
          <w:p>
            <w:pPr>
              <w:pStyle w:val="Compact"/>
              <w:jc w:val="left"/>
            </w:pPr>
            <w:r>
              <w:t xml:space="preserve">Fact and expert discovery close</w:t>
            </w:r>
          </w:p>
        </w:tc>
        <w:tc>
          <w:tcPr/>
          <w:p>
            <w:pPr>
              <w:pStyle w:val="Compact"/>
              <w:jc w:val="left"/>
            </w:pPr>
            <w:r>
              <w:t xml:space="preserve">Oct. 31, 2025 (CMO)</w:t>
            </w:r>
          </w:p>
        </w:tc>
      </w:tr>
      <w:tr>
        <w:tc>
          <w:tcPr/>
          <w:p>
            <w:pPr>
              <w:pStyle w:val="Compact"/>
              <w:jc w:val="left"/>
            </w:pPr>
            <w:r>
              <w:t xml:space="preserve">Final privilege logs</w:t>
            </w:r>
          </w:p>
        </w:tc>
        <w:tc>
          <w:tcPr/>
          <w:p>
            <w:pPr>
              <w:pStyle w:val="Compact"/>
              <w:jc w:val="left"/>
            </w:pPr>
            <w:r>
              <w:t xml:space="preserve">Nov. 30, 2025 (CMO)</w:t>
            </w:r>
          </w:p>
        </w:tc>
      </w:tr>
      <w:tr>
        <w:tc>
          <w:tcPr/>
          <w:p>
            <w:pPr>
              <w:pStyle w:val="Compact"/>
              <w:jc w:val="left"/>
            </w:pPr>
            <w:r>
              <w:t xml:space="preserve">Dispositive motions</w:t>
            </w:r>
          </w:p>
        </w:tc>
        <w:tc>
          <w:tcPr/>
          <w:p>
            <w:pPr>
              <w:pStyle w:val="Compact"/>
              <w:jc w:val="left"/>
            </w:pPr>
            <w:r>
              <w:t xml:space="preserve">Jan. 15, 2026 (CMO)</w:t>
            </w:r>
          </w:p>
        </w:tc>
      </w:tr>
      <w:tr>
        <w:tc>
          <w:tcPr/>
          <w:p>
            <w:pPr>
              <w:pStyle w:val="Compact"/>
              <w:jc w:val="left"/>
            </w:pPr>
            <w:r>
              <w:t xml:space="preserve">Jury trial</w:t>
            </w:r>
          </w:p>
        </w:tc>
        <w:tc>
          <w:tcPr/>
          <w:p>
            <w:pPr>
              <w:pStyle w:val="Compact"/>
              <w:jc w:val="left"/>
            </w:pPr>
            <w:r>
              <w:t xml:space="preserve">May 4, 2026 (CMO)</w:t>
            </w:r>
          </w:p>
        </w:tc>
      </w:tr>
    </w:tbl>
    <w:p>
      <w:pPr>
        <w:pStyle w:val="BodyText"/>
      </w:pPr>
      <w:r>
        <w:t xml:space="preserve">The August 1 expert deadline comes before the end of fact discovery. That makes early physical access to the specimens and Great Lakes’ foundry records essential. We should also propose that Pinnacle’s affirmative damages expert disclosure include all underlying operating and financial data.</w:t>
      </w:r>
    </w:p>
    <w:bookmarkEnd w:id="30"/>
    <w:bookmarkStart w:id="35" w:name="vi.-discovery-hartwell-needs"/>
    <w:p>
      <w:pPr>
        <w:pStyle w:val="Heading1"/>
      </w:pPr>
      <w:r>
        <w:t xml:space="preserve">VI. Discovery Hartwell Needs</w:t>
      </w:r>
    </w:p>
    <w:bookmarkStart w:id="31" w:name="Xa3b9710f78d1b45dcfd311fedbfecef1911c3ad"/>
    <w:p>
      <w:pPr>
        <w:pStyle w:val="Heading2"/>
      </w:pPr>
      <w:r>
        <w:t xml:space="preserve">A. From Pinnacle (Requests for Production and Interrogatories, 25-interrogatory limit)</w:t>
      </w:r>
    </w:p>
    <w:p>
      <w:pPr>
        <w:pStyle w:val="FirstParagraph"/>
      </w:pPr>
      <w:r>
        <w:rPr>
          <w:b/>
          <w:bCs/>
        </w:rPr>
        <w:t xml:space="preserve">Priority requests for production:</w:t>
      </w:r>
    </w:p>
    <w:p>
      <w:pPr>
        <w:pStyle w:val="Compact"/>
        <w:numPr>
          <w:ilvl w:val="0"/>
          <w:numId w:val="1015"/>
        </w:numPr>
      </w:pPr>
      <w:r>
        <w:rPr>
          <w:b/>
          <w:bCs/>
        </w:rPr>
        <w:t xml:space="preserve">Physical evidence:</w:t>
      </w:r>
      <w:r>
        <w:t xml:space="preserve"> </w:t>
      </w:r>
      <w:r>
        <w:t xml:space="preserve">all 11 specimens (sectioned and offcuts); the 37 remaining valves (removal dates, condition, storage, tags); replaced gaskets and bolting.</w:t>
      </w:r>
    </w:p>
    <w:p>
      <w:pPr>
        <w:pStyle w:val="Compact"/>
        <w:numPr>
          <w:ilvl w:val="0"/>
          <w:numId w:val="1015"/>
        </w:numPr>
      </w:pPr>
      <w:r>
        <w:rPr>
          <w:b/>
          <w:bCs/>
        </w:rPr>
        <w:t xml:space="preserve">Whitmore file:</w:t>
      </w:r>
      <w:r>
        <w:t xml:space="preserve"> </w:t>
      </w:r>
      <w:r>
        <w:t xml:space="preserve">engagement letter and communications with Pinnacle and Langford Meyers; lab notes; raw data; all photographs (Appendix A–B originals); draft reports; invoices supporting the $385,000. Pinnacle’s reliance on the report in the Complaint and its expected use of Dr. Cho as a testifying expert limit any work-product claim.</w:t>
      </w:r>
    </w:p>
    <w:p>
      <w:pPr>
        <w:pStyle w:val="Compact"/>
        <w:numPr>
          <w:ilvl w:val="0"/>
          <w:numId w:val="1015"/>
        </w:numPr>
      </w:pPr>
      <w:r>
        <w:rPr>
          <w:b/>
          <w:bCs/>
        </w:rPr>
        <w:t xml:space="preserve">UT data for the 37 valves:</w:t>
      </w:r>
      <w:r>
        <w:t xml:space="preserve"> </w:t>
      </w:r>
      <w:r>
        <w:t xml:space="preserve">scan files, DAC calibrations, inspector qualifications, and procedures. Whitmore did not verify these, and they are the only basis for the</w:t>
      </w:r>
      <w:r>
        <w:t xml:space="preserve"> </w:t>
      </w:r>
      <w:r>
        <w:t xml:space="preserve">“</w:t>
      </w:r>
      <w:r>
        <w:t xml:space="preserve">19 additional</w:t>
      </w:r>
      <w:r>
        <w:t xml:space="preserve">”</w:t>
      </w:r>
      <w:r>
        <w:t xml:space="preserve"> </w:t>
      </w:r>
      <w:r>
        <w:t xml:space="preserve">valves.</w:t>
      </w:r>
    </w:p>
    <w:p>
      <w:pPr>
        <w:pStyle w:val="Compact"/>
        <w:numPr>
          <w:ilvl w:val="0"/>
          <w:numId w:val="1015"/>
        </w:numPr>
      </w:pPr>
      <w:r>
        <w:rPr>
          <w:b/>
          <w:bCs/>
        </w:rPr>
        <w:t xml:space="preserve">Installation records:</w:t>
      </w:r>
      <w:r>
        <w:t xml:space="preserve"> </w:t>
      </w:r>
      <w:r>
        <w:t xml:space="preserve">contractor identity, torque logs, installation procedures, commissioning and hydrotest records, operating pressure and temperature histories (SCADA/DCS) for each valve position. Hartwell bears the burden under § 8.4.</w:t>
      </w:r>
    </w:p>
    <w:p>
      <w:pPr>
        <w:pStyle w:val="Compact"/>
        <w:numPr>
          <w:ilvl w:val="0"/>
          <w:numId w:val="1015"/>
        </w:numPr>
      </w:pPr>
      <w:r>
        <w:rPr>
          <w:b/>
          <w:bCs/>
        </w:rPr>
        <w:t xml:space="preserve">Maintenance and failure records:</w:t>
      </w:r>
      <w:r>
        <w:t xml:space="preserve"> </w:t>
      </w:r>
      <w:r>
        <w:t xml:space="preserve">the January–March 2024 maintenance-cycle and failure reports (Alcott), plus the internal root-cause and shutdown decision documents.</w:t>
      </w:r>
    </w:p>
    <w:p>
      <w:pPr>
        <w:pStyle w:val="Compact"/>
        <w:numPr>
          <w:ilvl w:val="0"/>
          <w:numId w:val="1015"/>
        </w:numPr>
      </w:pPr>
      <w:r>
        <w:rPr>
          <w:b/>
          <w:bCs/>
        </w:rPr>
        <w:t xml:space="preserve">Shutdown scope and mitigation:</w:t>
      </w:r>
      <w:r>
        <w:t xml:space="preserve"> </w:t>
      </w:r>
      <w:r>
        <w:t xml:space="preserve">which units were shut down; partial operation; replacement valve RFQs, bids, POs, and lead times; decisions not to pursue fitness-for-service review or to return the 18 clean valves to service; regulatory re-certification correspondence (identify the agency).</w:t>
      </w:r>
    </w:p>
    <w:p>
      <w:pPr>
        <w:pStyle w:val="Compact"/>
        <w:numPr>
          <w:ilvl w:val="0"/>
          <w:numId w:val="1015"/>
        </w:numPr>
      </w:pPr>
      <w:r>
        <w:rPr>
          <w:b/>
          <w:bCs/>
        </w:rPr>
        <w:t xml:space="preserve">Damages support:</w:t>
      </w:r>
    </w:p>
    <w:p>
      <w:pPr>
        <w:pStyle w:val="Compact"/>
        <w:numPr>
          <w:ilvl w:val="1"/>
          <w:numId w:val="1016"/>
        </w:numPr>
      </w:pPr>
      <w:r>
        <w:t xml:space="preserve">the $18,522/day figure and the twelve-month historical data behind it;</w:t>
      </w:r>
    </w:p>
    <w:p>
      <w:pPr>
        <w:pStyle w:val="Compact"/>
        <w:numPr>
          <w:ilvl w:val="1"/>
          <w:numId w:val="1016"/>
        </w:numPr>
      </w:pPr>
      <w:r>
        <w:t xml:space="preserve">offtaker contracts and penalty claims;</w:t>
      </w:r>
    </w:p>
    <w:p>
      <w:pPr>
        <w:pStyle w:val="Compact"/>
        <w:numPr>
          <w:ilvl w:val="1"/>
          <w:numId w:val="1016"/>
        </w:numPr>
      </w:pPr>
      <w:r>
        <w:t xml:space="preserve">all revisions from $5.5M to $8.42M;</w:t>
      </w:r>
    </w:p>
    <w:p>
      <w:pPr>
        <w:pStyle w:val="Compact"/>
        <w:numPr>
          <w:ilvl w:val="1"/>
          <w:numId w:val="1016"/>
        </w:numPr>
      </w:pPr>
      <w:r>
        <w:t xml:space="preserve">labor invoices ($2.14M) and engineering invoices ($467,800);</w:t>
      </w:r>
    </w:p>
    <w:p>
      <w:pPr>
        <w:pStyle w:val="Compact"/>
        <w:numPr>
          <w:ilvl w:val="1"/>
          <w:numId w:val="1016"/>
        </w:numPr>
      </w:pPr>
      <w:r>
        <w:t xml:space="preserve">replacement valve pricing ($1,387,200);</w:t>
      </w:r>
    </w:p>
    <w:p>
      <w:pPr>
        <w:pStyle w:val="Compact"/>
        <w:numPr>
          <w:ilvl w:val="1"/>
          <w:numId w:val="1016"/>
        </w:numPr>
      </w:pPr>
      <w:r>
        <w:t xml:space="preserve">insurance recoveries (business interruption, property).</w:t>
      </w:r>
    </w:p>
    <w:p>
      <w:pPr>
        <w:pStyle w:val="Compact"/>
        <w:numPr>
          <w:ilvl w:val="0"/>
          <w:numId w:val="1015"/>
        </w:numPr>
      </w:pPr>
      <w:r>
        <w:rPr>
          <w:b/>
          <w:bCs/>
        </w:rPr>
        <w:t xml:space="preserve">Receipt and acceptance records:</w:t>
      </w:r>
      <w:r>
        <w:t xml:space="preserve"> </w:t>
      </w:r>
      <w:r>
        <w:t xml:space="preserve">receiving inspection and records showing QA/QC data packages (MTRs, NDE reports) were received. This bears on reliance and on whether Pinnacle ever reviewed the WCB-versus-WC6/WC9 discrepancy.</w:t>
      </w:r>
    </w:p>
    <w:p>
      <w:pPr>
        <w:pStyle w:val="Compact"/>
        <w:numPr>
          <w:ilvl w:val="0"/>
          <w:numId w:val="1015"/>
        </w:numPr>
      </w:pPr>
      <w:r>
        <w:rPr>
          <w:b/>
          <w:bCs/>
        </w:rPr>
        <w:t xml:space="preserve">Counterclaim records:</w:t>
      </w:r>
      <w:r>
        <w:t xml:space="preserve"> </w:t>
      </w:r>
      <w:r>
        <w:t xml:space="preserve">receipt of the invoices for the three unpaid POs; any § 4.4 dispute notices; the internal decision to withhold payment; accounts payable records.</w:t>
      </w:r>
    </w:p>
    <w:p>
      <w:pPr>
        <w:pStyle w:val="Compact"/>
        <w:numPr>
          <w:ilvl w:val="0"/>
          <w:numId w:val="1015"/>
        </w:numPr>
      </w:pPr>
      <w:r>
        <w:rPr>
          <w:b/>
          <w:bCs/>
        </w:rPr>
        <w:t xml:space="preserve">Communications:</w:t>
      </w:r>
      <w:r>
        <w:t xml:space="preserve"> </w:t>
      </w:r>
      <w:r>
        <w:t xml:space="preserve">Marsh’s texts with Brecker (a reciprocal personal-device preservation demand to Pinnacle); internal Pinnacle communications about Hartwell, the HV-4400 valves, and Great Lakes; any contact with Hartwell employees,</w:t>
      </w:r>
      <w:r>
        <w:t xml:space="preserve"> </w:t>
      </w:r>
      <w:r>
        <w:rPr>
          <w:b/>
          <w:bCs/>
        </w:rPr>
        <w:t xml:space="preserve">including any contact with Ray Ostrowski or other current or former Hartwell personnel</w:t>
      </w:r>
      <w:r>
        <w:t xml:space="preserve">. The Complaint’s detail about a</w:t>
      </w:r>
      <w:r>
        <w:t xml:space="preserve"> </w:t>
      </w:r>
      <w:r>
        <w:t xml:space="preserve">“</w:t>
      </w:r>
      <w:r>
        <w:t xml:space="preserve">lead manufacturing technician</w:t>
      </w:r>
      <w:r>
        <w:t xml:space="preserve">”</w:t>
      </w:r>
      <w:r>
        <w:t xml:space="preserve"> </w:t>
      </w:r>
      <w:r>
        <w:t xml:space="preserve">suggests Pinnacle may have an inside source.</w:t>
      </w:r>
    </w:p>
    <w:p>
      <w:pPr>
        <w:pStyle w:val="Compact"/>
        <w:numPr>
          <w:ilvl w:val="0"/>
          <w:numId w:val="1015"/>
        </w:numPr>
      </w:pPr>
      <w:r>
        <w:rPr>
          <w:b/>
          <w:bCs/>
        </w:rPr>
        <w:t xml:space="preserve">Procurement:</w:t>
      </w:r>
      <w:r>
        <w:t xml:space="preserve"> </w:t>
      </w:r>
      <w:r>
        <w:t xml:space="preserve">pre-contract negotiations and the drafting history of MSA §§ 8, 9, and 12, relevant to the unconscionability claim and to § 19.1 non-reliance.</w:t>
      </w:r>
    </w:p>
    <w:p>
      <w:pPr>
        <w:pStyle w:val="FirstParagraph"/>
      </w:pPr>
      <w:r>
        <w:rPr>
          <w:b/>
          <w:bCs/>
        </w:rPr>
        <w:t xml:space="preserve">Priority interrogatories (about 15, holding the rest in reserve):</w:t>
      </w:r>
    </w:p>
    <w:p>
      <w:pPr>
        <w:pStyle w:val="Compact"/>
        <w:numPr>
          <w:ilvl w:val="0"/>
          <w:numId w:val="1017"/>
        </w:numPr>
      </w:pPr>
      <w:r>
        <w:t xml:space="preserve">basis for each damages category, with computation (Rule 26(a)(1)(A)(iii) plus follow-up);</w:t>
      </w:r>
    </w:p>
    <w:p>
      <w:pPr>
        <w:pStyle w:val="Compact"/>
        <w:numPr>
          <w:ilvl w:val="0"/>
          <w:numId w:val="1017"/>
        </w:numPr>
      </w:pPr>
      <w:r>
        <w:t xml:space="preserve">every representation Pinnacle claims was false, with speaker, date, and medium;</w:t>
      </w:r>
    </w:p>
    <w:p>
      <w:pPr>
        <w:pStyle w:val="Compact"/>
        <w:numPr>
          <w:ilvl w:val="0"/>
          <w:numId w:val="1017"/>
        </w:numPr>
      </w:pPr>
      <w:r>
        <w:t xml:space="preserve">every person with knowledge of the installation;</w:t>
      </w:r>
    </w:p>
    <w:p>
      <w:pPr>
        <w:pStyle w:val="Compact"/>
        <w:numPr>
          <w:ilvl w:val="0"/>
          <w:numId w:val="1017"/>
        </w:numPr>
      </w:pPr>
      <w:r>
        <w:t xml:space="preserve">the facts underlying the</w:t>
      </w:r>
      <w:r>
        <w:t xml:space="preserve"> </w:t>
      </w:r>
      <w:r>
        <w:t xml:space="preserve">“</w:t>
      </w:r>
      <w:r>
        <w:t xml:space="preserve">information and belief</w:t>
      </w:r>
      <w:r>
        <w:t xml:space="preserve">”</w:t>
      </w:r>
      <w:r>
        <w:t xml:space="preserve"> </w:t>
      </w:r>
      <w:r>
        <w:t xml:space="preserve">allegations in ¶¶30–35, including their sources;</w:t>
      </w:r>
    </w:p>
    <w:p>
      <w:pPr>
        <w:pStyle w:val="Compact"/>
        <w:numPr>
          <w:ilvl w:val="0"/>
          <w:numId w:val="1017"/>
        </w:numPr>
      </w:pPr>
      <w:r>
        <w:t xml:space="preserve">dates of partial and full shutdown and restart milestones;</w:t>
      </w:r>
    </w:p>
    <w:p>
      <w:pPr>
        <w:pStyle w:val="Compact"/>
        <w:numPr>
          <w:ilvl w:val="0"/>
          <w:numId w:val="1017"/>
        </w:numPr>
      </w:pPr>
      <w:r>
        <w:t xml:space="preserve">mitigation efforts;</w:t>
      </w:r>
    </w:p>
    <w:p>
      <w:pPr>
        <w:pStyle w:val="Compact"/>
        <w:numPr>
          <w:ilvl w:val="0"/>
          <w:numId w:val="1017"/>
        </w:numPr>
      </w:pPr>
      <w:r>
        <w:t xml:space="preserve">set-off basis and any § 4.4 notice.</w:t>
      </w:r>
    </w:p>
    <w:bookmarkEnd w:id="31"/>
    <w:bookmarkStart w:id="32" w:name="X1f41d19c4e294807d3bf5b40468a3b8350e7f09"/>
    <w:p>
      <w:pPr>
        <w:pStyle w:val="Heading2"/>
      </w:pPr>
      <w:r>
        <w:t xml:space="preserve">B. From Non-Parties (Rule 45; 14-day advance notice under CMO § VIII)</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jc w:val="left"/>
            </w:pPr>
            <w:r>
              <w:rPr>
                <w:b/>
              </w:rPr>
              <w:t xml:space="preserve">Non-party</w:t>
            </w:r>
          </w:p>
        </w:tc>
        <w:tc>
          <w:tcPr/>
          <w:p>
            <w:pPr>
              <w:pStyle w:val="Compact"/>
              <w:jc w:val="left"/>
            </w:pPr>
            <w:r>
              <w:rPr>
                <w:b/>
              </w:rPr>
              <w:t xml:space="preserve">Discovery</w:t>
            </w:r>
          </w:p>
        </w:tc>
        <w:tc>
          <w:tcPr/>
          <w:p>
            <w:pPr>
              <w:pStyle w:val="Compact"/>
              <w:jc w:val="left"/>
            </w:pPr>
            <w:r>
              <w:rPr>
                <w:b/>
              </w:rPr>
              <w:t xml:space="preserve">Timing</w:t>
            </w:r>
          </w:p>
        </w:tc>
      </w:tr>
      <w:tr>
        <w:tc>
          <w:tcPr/>
          <w:p>
            <w:pPr>
              <w:pStyle w:val="Compact"/>
              <w:jc w:val="left"/>
            </w:pPr>
            <w:r>
              <w:t xml:space="preserve">Great Lakes Foundry Partners, LLC (Erie, PA)</w:t>
            </w:r>
          </w:p>
        </w:tc>
        <w:tc>
          <w:tcPr/>
          <w:p>
            <w:pPr>
              <w:pStyle w:val="Compact"/>
              <w:jc w:val="left"/>
            </w:pPr>
            <w:r>
              <w:t xml:space="preserve">Heat and lot records for GLF-4417 through GLF-4459 and lots GL-2023-0618/0625; heat-treatment furnace charts; RT/UT records; MTRs; process control and gating/riser documents; NCRs; customer complaints on the same heats; communications with Hartwell</w:t>
            </w:r>
          </w:p>
        </w:tc>
        <w:tc>
          <w:tcPr/>
          <w:p>
            <w:pPr>
              <w:pStyle w:val="Compact"/>
              <w:jc w:val="left"/>
            </w:pPr>
            <w:r>
              <w:t xml:space="preserve">Serve notice by Mar. 1, 2025. The documents are needed for the Aug. 1 expert reports and to evaluate a third-party claim. Subpoena compliance is in W.D. Pa. (Rule 45(c)).</w:t>
            </w:r>
          </w:p>
        </w:tc>
      </w:tr>
      <w:tr>
        <w:tc>
          <w:tcPr/>
          <w:p>
            <w:pPr>
              <w:pStyle w:val="Compact"/>
              <w:jc w:val="left"/>
            </w:pPr>
            <w:r>
              <w:t xml:space="preserve">Whitmore Testing Laboratories</w:t>
            </w:r>
          </w:p>
        </w:tc>
        <w:tc>
          <w:tcPr/>
          <w:p>
            <w:pPr>
              <w:pStyle w:val="Compact"/>
              <w:jc w:val="left"/>
            </w:pPr>
            <w:r>
              <w:t xml:space="preserve">Anything not produced by Pinnacle (raw data, images, chain of custody)</w:t>
            </w:r>
          </w:p>
        </w:tc>
        <w:tc>
          <w:tcPr/>
          <w:p>
            <w:pPr>
              <w:pStyle w:val="Compact"/>
              <w:jc w:val="left"/>
            </w:pPr>
            <w:r>
              <w:t xml:space="preserve">After Pinnacle’s production</w:t>
            </w:r>
          </w:p>
        </w:tc>
      </w:tr>
      <w:tr>
        <w:tc>
          <w:tcPr/>
          <w:p>
            <w:pPr>
              <w:pStyle w:val="Compact"/>
              <w:jc w:val="left"/>
            </w:pPr>
            <w:r>
              <w:t xml:space="preserve">Pinnacle’s installation and remediation contractors</w:t>
            </w:r>
          </w:p>
        </w:tc>
        <w:tc>
          <w:tcPr/>
          <w:p>
            <w:pPr>
              <w:pStyle w:val="Compact"/>
              <w:jc w:val="left"/>
            </w:pPr>
            <w:r>
              <w:t xml:space="preserve">Torque logs, installation records, remediation invoices</w:t>
            </w:r>
          </w:p>
        </w:tc>
        <w:tc>
          <w:tcPr/>
          <w:p>
            <w:pPr>
              <w:pStyle w:val="Compact"/>
              <w:jc w:val="left"/>
            </w:pPr>
            <w:r>
              <w:t xml:space="preserve">Apr. 2025</w:t>
            </w:r>
          </w:p>
        </w:tc>
      </w:tr>
      <w:tr>
        <w:tc>
          <w:tcPr/>
          <w:p>
            <w:pPr>
              <w:pStyle w:val="Compact"/>
              <w:jc w:val="left"/>
            </w:pPr>
            <w:r>
              <w:t xml:space="preserve">Replacement valve supplier(s)</w:t>
            </w:r>
          </w:p>
        </w:tc>
        <w:tc>
          <w:tcPr/>
          <w:p>
            <w:pPr>
              <w:pStyle w:val="Compact"/>
              <w:jc w:val="left"/>
            </w:pPr>
            <w:r>
              <w:t xml:space="preserve">Quotes, lead times, delivery dates (the 90-day mitigation theory)</w:t>
            </w:r>
          </w:p>
        </w:tc>
        <w:tc>
          <w:tcPr/>
          <w:p>
            <w:pPr>
              <w:pStyle w:val="Compact"/>
              <w:jc w:val="left"/>
            </w:pPr>
            <w:r>
              <w:t xml:space="preserve">Apr.–May 2025</w:t>
            </w:r>
          </w:p>
        </w:tc>
      </w:tr>
      <w:tr>
        <w:tc>
          <w:tcPr/>
          <w:p>
            <w:pPr>
              <w:pStyle w:val="Compact"/>
              <w:jc w:val="left"/>
            </w:pPr>
            <w:r>
              <w:t xml:space="preserve">Offtakers / regulators</w:t>
            </w:r>
          </w:p>
        </w:tc>
        <w:tc>
          <w:tcPr/>
          <w:p>
            <w:pPr>
              <w:pStyle w:val="Compact"/>
              <w:jc w:val="left"/>
            </w:pPr>
            <w:r>
              <w:t xml:space="preserve">Penalty claims; re-certification timeline</w:t>
            </w:r>
          </w:p>
        </w:tc>
        <w:tc>
          <w:tcPr/>
          <w:p>
            <w:pPr>
              <w:pStyle w:val="Compact"/>
              <w:jc w:val="left"/>
            </w:pPr>
            <w:r>
              <w:t xml:space="preserve">As needed, targeted</w:t>
            </w:r>
          </w:p>
        </w:tc>
      </w:tr>
    </w:tbl>
    <w:bookmarkEnd w:id="32"/>
    <w:bookmarkStart w:id="33" w:name="c.-depositions-10-per-side-7-hours-each"/>
    <w:p>
      <w:pPr>
        <w:pStyle w:val="Heading2"/>
      </w:pPr>
      <w:r>
        <w:t xml:space="preserve">C. Depositions (10 per side, 7 hours each)</w:t>
      </w:r>
    </w:p>
    <w:p>
      <w:pPr>
        <w:pStyle w:val="FirstParagraph"/>
      </w:pPr>
      <w:r>
        <w:t xml:space="preserve">Tentative Hartwell list, ranked:</w:t>
      </w:r>
    </w:p>
    <w:p>
      <w:pPr>
        <w:pStyle w:val="Compact"/>
        <w:numPr>
          <w:ilvl w:val="0"/>
          <w:numId w:val="1018"/>
        </w:numPr>
      </w:pPr>
      <w:r>
        <w:t xml:space="preserve">Sandra Reeves (VP Engineering)</w:t>
      </w:r>
    </w:p>
    <w:p>
      <w:pPr>
        <w:pStyle w:val="Compact"/>
        <w:numPr>
          <w:ilvl w:val="0"/>
          <w:numId w:val="1018"/>
        </w:numPr>
      </w:pPr>
      <w:r>
        <w:t xml:space="preserve">Kevin Alcott (Site Manager)</w:t>
      </w:r>
    </w:p>
    <w:p>
      <w:pPr>
        <w:pStyle w:val="Compact"/>
        <w:numPr>
          <w:ilvl w:val="0"/>
          <w:numId w:val="1018"/>
        </w:numPr>
      </w:pPr>
      <w:r>
        <w:t xml:space="preserve">Daniel Marsh (Procurement)</w:t>
      </w:r>
    </w:p>
    <w:p>
      <w:pPr>
        <w:pStyle w:val="Compact"/>
        <w:numPr>
          <w:ilvl w:val="0"/>
          <w:numId w:val="1018"/>
        </w:numPr>
      </w:pPr>
      <w:r>
        <w:t xml:space="preserve">Pinnacle Rule 30(b)(6): damages, shutdown, and mitigation</w:t>
      </w:r>
    </w:p>
    <w:p>
      <w:pPr>
        <w:pStyle w:val="Compact"/>
        <w:numPr>
          <w:ilvl w:val="0"/>
          <w:numId w:val="1018"/>
        </w:numPr>
      </w:pPr>
      <w:r>
        <w:t xml:space="preserve">Pinnacle Rule 30(b)(6): installation and UT</w:t>
      </w:r>
    </w:p>
    <w:p>
      <w:pPr>
        <w:pStyle w:val="Compact"/>
        <w:numPr>
          <w:ilvl w:val="0"/>
          <w:numId w:val="1018"/>
        </w:numPr>
      </w:pPr>
      <w:r>
        <w:t xml:space="preserve">Great Lakes Rule 30(b)(6)</w:t>
      </w:r>
    </w:p>
    <w:p>
      <w:pPr>
        <w:pStyle w:val="Compact"/>
        <w:numPr>
          <w:ilvl w:val="0"/>
          <w:numId w:val="1018"/>
        </w:numPr>
      </w:pPr>
      <w:r>
        <w:t xml:space="preserve">Pinnacle UT inspector</w:t>
      </w:r>
    </w:p>
    <w:p>
      <w:pPr>
        <w:pStyle w:val="Compact"/>
        <w:numPr>
          <w:ilvl w:val="0"/>
          <w:numId w:val="1018"/>
        </w:numPr>
      </w:pPr>
      <w:r>
        <w:t xml:space="preserve">Installation contractor</w:t>
      </w:r>
    </w:p>
    <w:p>
      <w:pPr>
        <w:pStyle w:val="Compact"/>
        <w:numPr>
          <w:ilvl w:val="0"/>
          <w:numId w:val="1018"/>
        </w:numPr>
      </w:pPr>
      <w:r>
        <w:t xml:space="preserve">Richard Okonkwo (only if needed for damages decisions)</w:t>
      </w:r>
    </w:p>
    <w:p>
      <w:pPr>
        <w:pStyle w:val="Compact"/>
        <w:numPr>
          <w:ilvl w:val="0"/>
          <w:numId w:val="1018"/>
        </w:numPr>
      </w:pPr>
      <w:r>
        <w:t xml:space="preserve">Reserve</w:t>
      </w:r>
    </w:p>
    <w:p>
      <w:pPr>
        <w:pStyle w:val="FirstParagraph"/>
      </w:pPr>
      <w:r>
        <w:rPr>
          <w:b/>
          <w:bCs/>
        </w:rPr>
        <w:t xml:space="preserve">Positions to negotiate:</w:t>
      </w:r>
    </w:p>
    <w:p>
      <w:pPr>
        <w:pStyle w:val="Compact"/>
        <w:numPr>
          <w:ilvl w:val="0"/>
          <w:numId w:val="1019"/>
        </w:numPr>
      </w:pPr>
      <w:r>
        <w:t xml:space="preserve">Expert depositions do not count toward the 10.</w:t>
      </w:r>
    </w:p>
    <w:p>
      <w:pPr>
        <w:pStyle w:val="Compact"/>
        <w:numPr>
          <w:ilvl w:val="0"/>
          <w:numId w:val="1019"/>
        </w:numPr>
      </w:pPr>
      <w:r>
        <w:t xml:space="preserve">Each 30(b)(6) notice counts as one deposition regardless of the number of designees, capped at 7 hours per notice.</w:t>
      </w:r>
    </w:p>
    <w:p>
      <w:pPr>
        <w:pStyle w:val="Compact"/>
        <w:numPr>
          <w:ilvl w:val="0"/>
          <w:numId w:val="1019"/>
        </w:numPr>
      </w:pPr>
      <w:r>
        <w:t xml:space="preserve">Non-party depositions count toward the limit, consistent with the CMO.</w:t>
      </w:r>
    </w:p>
    <w:p>
      <w:pPr>
        <w:pStyle w:val="FirstParagraph"/>
      </w:pPr>
      <w:r>
        <w:t xml:space="preserve">We expect Pinnacle to depose Ostrowski, Kowalski, Fenton, Brecker, Gerald Hartwell, a Hartwell 30(b)(6), probably the QA engineers who attended the joint inspection, and possibly Ms. Liu (see Part IX.C). Oppose an apex deposition of Mr. Hartwell unless Pinnacle first shows he has unique personal knowledge. His involvement appears limited to signing the MSA.</w:t>
      </w:r>
    </w:p>
    <w:bookmarkEnd w:id="33"/>
    <w:bookmarkStart w:id="34" w:name="d.-experts-retain-now"/>
    <w:p>
      <w:pPr>
        <w:pStyle w:val="Heading2"/>
      </w:pPr>
      <w:r>
        <w:t xml:space="preserve">D. Experts (Retain Now)</w:t>
      </w:r>
    </w:p>
    <w:p>
      <w:pPr>
        <w:pStyle w:val="Compact"/>
        <w:numPr>
          <w:ilvl w:val="0"/>
          <w:numId w:val="1020"/>
        </w:numPr>
      </w:pPr>
      <w:r>
        <w:rPr>
          <w:b/>
          <w:bCs/>
        </w:rPr>
        <w:t xml:space="preserve">Metallurgy and casting-process expert:</w:t>
      </w:r>
      <w:r>
        <w:t xml:space="preserve"> </w:t>
      </w:r>
      <w:r>
        <w:t xml:space="preserve">review Whitmore; handle joint testing of the specimens and remaining valves.</w:t>
      </w:r>
    </w:p>
    <w:p>
      <w:pPr>
        <w:pStyle w:val="Compact"/>
        <w:numPr>
          <w:ilvl w:val="0"/>
          <w:numId w:val="1020"/>
        </w:numPr>
      </w:pPr>
      <w:r>
        <w:rPr>
          <w:b/>
          <w:bCs/>
        </w:rPr>
        <w:t xml:space="preserve">NDE (Level III) expert:</w:t>
      </w:r>
      <w:r>
        <w:t xml:space="preserve"> </w:t>
      </w:r>
      <w:r>
        <w:t xml:space="preserve">evaluate Pinnacle’s pulse-echo UT; possibly run phased-array or RT on the 19 suspect valves.</w:t>
      </w:r>
    </w:p>
    <w:p>
      <w:pPr>
        <w:pStyle w:val="Compact"/>
        <w:numPr>
          <w:ilvl w:val="0"/>
          <w:numId w:val="1020"/>
        </w:numPr>
      </w:pPr>
      <w:r>
        <w:rPr>
          <w:b/>
          <w:bCs/>
        </w:rPr>
        <w:t xml:space="preserve">Valve and installation engineer:</w:t>
      </w:r>
      <w:r>
        <w:t xml:space="preserve"> </w:t>
      </w:r>
      <w:r>
        <w:t xml:space="preserve">API 600/598, torque practices, fitness-for-service (API 579).</w:t>
      </w:r>
    </w:p>
    <w:p>
      <w:pPr>
        <w:pStyle w:val="Compact"/>
        <w:numPr>
          <w:ilvl w:val="0"/>
          <w:numId w:val="1020"/>
        </w:numPr>
      </w:pPr>
      <w:r>
        <w:rPr>
          <w:b/>
          <w:bCs/>
        </w:rPr>
        <w:t xml:space="preserve">Forensic accountant / damages expert:</w:t>
      </w:r>
      <w:r>
        <w:t xml:space="preserve"> </w:t>
      </w:r>
      <w:r>
        <w:t xml:space="preserve">downtime and lost profits, net versus gross revenue, the 454.5-day assumption.</w:t>
      </w:r>
    </w:p>
    <w:p>
      <w:pPr>
        <w:pStyle w:val="Compact"/>
        <w:numPr>
          <w:ilvl w:val="0"/>
          <w:numId w:val="1020"/>
        </w:numPr>
      </w:pPr>
      <w:r>
        <w:rPr>
          <w:b/>
          <w:bCs/>
        </w:rPr>
        <w:t xml:space="preserve">Industry supply-chain expert:</w:t>
      </w:r>
      <w:r>
        <w:t xml:space="preserve"> </w:t>
      </w:r>
      <w:r>
        <w:t xml:space="preserve">lead times for replacement API 600 valves in 2024.</w:t>
      </w:r>
    </w:p>
    <w:p>
      <w:pPr>
        <w:pStyle w:val="FirstParagraph"/>
      </w:pPr>
      <w:r>
        <w:t xml:space="preserve">Caution on the torque theory: Whitmore’s report (§ 6.4) directly rejects it, and our own experts should test it before we invest in it further. If it does not hold up, narrow the Fourth Affirmative Defense rather than lose credibility with the jury.</w:t>
      </w:r>
    </w:p>
    <w:bookmarkEnd w:id="34"/>
    <w:bookmarkEnd w:id="35"/>
    <w:bookmarkStart w:id="36" w:name="X5b053f46c0487134255b4f042487e6afbeef4c0"/>
    <w:p>
      <w:pPr>
        <w:pStyle w:val="Heading1"/>
      </w:pPr>
      <w:r>
        <w:t xml:space="preserve">VII. Discovery Pinnacle Will Seek — Anticipated Disputes and Positions</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p>
            <w:pPr>
              <w:pStyle w:val="Compact"/>
              <w:jc w:val="left"/>
            </w:pPr>
            <w:r>
              <w:rPr>
                <w:b/>
              </w:rPr>
              <w:t xml:space="preserve">Pinnacle request (expected)</w:t>
            </w:r>
          </w:p>
        </w:tc>
        <w:tc>
          <w:tcPr/>
          <w:p>
            <w:pPr>
              <w:pStyle w:val="Compact"/>
              <w:jc w:val="left"/>
            </w:pPr>
            <w:r>
              <w:rPr>
                <w:b/>
              </w:rPr>
              <w:t xml:space="preserve">Hartwell position</w:t>
            </w:r>
          </w:p>
        </w:tc>
      </w:tr>
      <w:tr>
        <w:tc>
          <w:tcPr/>
          <w:p>
            <w:pPr>
              <w:pStyle w:val="Compact"/>
              <w:jc w:val="left"/>
            </w:pPr>
            <w:r>
              <w:t xml:space="preserve">All internal communications about HV-4400 quality, castings, and Great Lakes, July 2023 onward</w:t>
            </w:r>
          </w:p>
        </w:tc>
        <w:tc>
          <w:tcPr/>
          <w:p>
            <w:pPr>
              <w:pStyle w:val="Compact"/>
              <w:jc w:val="left"/>
            </w:pPr>
            <w:r>
              <w:t xml:space="preserve">Produce. These are core. Negotiate reasonable date ranges (Jan. 1, 2021 – Sept. 23, 2024 for general topics; later for failures and the joint inspection).</w:t>
            </w:r>
          </w:p>
        </w:tc>
      </w:tr>
      <w:tr>
        <w:tc>
          <w:tcPr/>
          <w:p>
            <w:pPr>
              <w:pStyle w:val="Compact"/>
              <w:jc w:val="left"/>
            </w:pPr>
            <w:r>
              <w:t xml:space="preserve">QualTrack</w:t>
            </w:r>
            <w:r>
              <w:t xml:space="preserve"> </w:t>
            </w:r>
            <w:r>
              <w:t xml:space="preserve">“</w:t>
            </w:r>
            <w:r>
              <w:t xml:space="preserve">native database</w:t>
            </w:r>
            <w:r>
              <w:t xml:space="preserve">”</w:t>
            </w:r>
            <w:r>
              <w:t xml:space="preserve"> </w:t>
            </w:r>
            <w:r>
              <w:t xml:space="preserve">access or production</w:t>
            </w:r>
          </w:p>
        </w:tc>
        <w:tc>
          <w:tcPr/>
          <w:p>
            <w:pPr>
              <w:pStyle w:val="Compact"/>
              <w:jc w:val="left"/>
            </w:pPr>
            <w:r>
              <w:t xml:space="preserve">Produce fielded load files with all columns, a data dictionary, and screenshots of the record views. Offer a supervised, read-only demonstration or a structured query session if needed.</w:t>
            </w:r>
            <w:r>
              <w:t xml:space="preserve"> </w:t>
            </w:r>
            <w:r>
              <w:rPr>
                <w:b/>
                <w:bCs/>
              </w:rPr>
              <w:t xml:space="preserve">Do not claim Rule 26(b)(2)(B) inaccessibility.</w:t>
            </w:r>
            <w:r>
              <w:t xml:space="preserve"> </w:t>
            </w:r>
            <w:r>
              <w:t xml:space="preserve">QualTrack is in active daily use, and the vendor agrees a court will likely reject that argument.</w:t>
            </w:r>
          </w:p>
        </w:tc>
      </w:tr>
      <w:tr>
        <w:tc>
          <w:tcPr/>
          <w:p>
            <w:pPr>
              <w:pStyle w:val="Compact"/>
              <w:jc w:val="left"/>
            </w:pPr>
            <w:r>
              <w:t xml:space="preserve">QA/QC data packages, NDE reports, hardness data, MTRs for all 48 valves (Ex. D.3, D.5)</w:t>
            </w:r>
          </w:p>
        </w:tc>
        <w:tc>
          <w:tcPr/>
          <w:p>
            <w:pPr>
              <w:pStyle w:val="Compact"/>
              <w:jc w:val="left"/>
            </w:pPr>
            <w:r>
              <w:t xml:space="preserve">Produce. Pinnacle is also entitled to these under MSA §§ 7.4 and D.5 on 10 business days’ request. Resisting would fail and would signal problems.</w:t>
            </w:r>
          </w:p>
        </w:tc>
      </w:tr>
      <w:tr>
        <w:tc>
          <w:tcPr/>
          <w:p>
            <w:pPr>
              <w:pStyle w:val="Compact"/>
              <w:jc w:val="left"/>
            </w:pPr>
            <w:r>
              <w:t xml:space="preserve">Other customers’ HV-4400 complaints; other valves made from the same Great Lakes heats</w:t>
            </w:r>
          </w:p>
        </w:tc>
        <w:tc>
          <w:tcPr/>
          <w:p>
            <w:pPr>
              <w:pStyle w:val="Compact"/>
              <w:jc w:val="left"/>
            </w:pPr>
            <w:r>
              <w:t xml:space="preserve">Limit to castings from the same Great Lakes lots/heats and the same period, on proportionality grounds (CMO § III). Offer lot-level data and resist company-wide product-line discovery.</w:t>
            </w:r>
          </w:p>
        </w:tc>
      </w:tr>
      <w:tr>
        <w:tc>
          <w:tcPr/>
          <w:p>
            <w:pPr>
              <w:pStyle w:val="Compact"/>
              <w:jc w:val="left"/>
            </w:pPr>
            <w:r>
              <w:t xml:space="preserve">Hartwell financial condition (punitive damages)</w:t>
            </w:r>
          </w:p>
        </w:tc>
        <w:tc>
          <w:tcPr/>
          <w:p>
            <w:pPr>
              <w:pStyle w:val="Compact"/>
              <w:jc w:val="left"/>
            </w:pPr>
            <w:r>
              <w:t xml:space="preserve">Defer until the fraud claim survives summary judgment, or limit to a current net-worth summary under AEO. Note that Ohio law caps punitive damages as a multiple of compensatory damages and ties them to defendant size (confirm current R.C. 2315.21 limits).</w:t>
            </w:r>
          </w:p>
        </w:tc>
      </w:tr>
      <w:tr>
        <w:tc>
          <w:tcPr/>
          <w:p>
            <w:pPr>
              <w:pStyle w:val="Compact"/>
              <w:jc w:val="left"/>
            </w:pPr>
            <w:r>
              <w:t xml:space="preserve">Brecker (and other) personal-device texts</w:t>
            </w:r>
          </w:p>
        </w:tc>
        <w:tc>
          <w:tcPr/>
          <w:p>
            <w:pPr>
              <w:pStyle w:val="Compact"/>
              <w:jc w:val="left"/>
            </w:pPr>
            <w:r>
              <w:t xml:space="preserve">Produce the Pinnacle-contact threads and responsive internal texts under an agreed privacy protocol. Demand the same from Marsh, Alcott, and Reeves.</w:t>
            </w:r>
          </w:p>
        </w:tc>
      </w:tr>
      <w:tr>
        <w:tc>
          <w:tcPr/>
          <w:p>
            <w:pPr>
              <w:pStyle w:val="Compact"/>
              <w:jc w:val="left"/>
            </w:pPr>
            <w:r>
              <w:t xml:space="preserve">Hold notices, preservation timeline, depositions about preservation</w:t>
            </w:r>
          </w:p>
        </w:tc>
        <w:tc>
          <w:tcPr/>
          <w:p>
            <w:pPr>
              <w:pStyle w:val="Compact"/>
              <w:jc w:val="left"/>
            </w:pPr>
            <w:r>
              <w:t xml:space="preserve">Hold notices are usually privileged, but the CMO requires disclosure of dates and scope. Prepare for Pinnacle to seek</w:t>
            </w:r>
            <w:r>
              <w:t xml:space="preserve"> </w:t>
            </w:r>
            <w:r>
              <w:t xml:space="preserve">“</w:t>
            </w:r>
            <w:r>
              <w:t xml:space="preserve">discovery on discovery</w:t>
            </w:r>
            <w:r>
              <w:t xml:space="preserve">”</w:t>
            </w:r>
            <w:r>
              <w:t xml:space="preserve"> </w:t>
            </w:r>
            <w:r>
              <w:t xml:space="preserve">if gaps appear. Candor under Part III is the best protection.</w:t>
            </w:r>
          </w:p>
        </w:tc>
      </w:tr>
      <w:tr>
        <w:tc>
          <w:tcPr/>
          <w:p>
            <w:pPr>
              <w:pStyle w:val="Compact"/>
              <w:jc w:val="left"/>
            </w:pPr>
            <w:r>
              <w:t xml:space="preserve">Liu communications</w:t>
            </w:r>
          </w:p>
        </w:tc>
        <w:tc>
          <w:tcPr/>
          <w:p>
            <w:pPr>
              <w:pStyle w:val="Compact"/>
              <w:jc w:val="left"/>
            </w:pPr>
            <w:r>
              <w:t xml:space="preserve">See Part IX.C.</w:t>
            </w:r>
          </w:p>
        </w:tc>
      </w:tr>
      <w:tr>
        <w:tc>
          <w:tcPr/>
          <w:p>
            <w:pPr>
              <w:pStyle w:val="Compact"/>
              <w:jc w:val="left"/>
            </w:pPr>
            <w:r>
              <w:t xml:space="preserve">Findlay records</w:t>
            </w:r>
          </w:p>
        </w:tc>
        <w:tc>
          <w:tcPr/>
          <w:p>
            <w:pPr>
              <w:pStyle w:val="Compact"/>
              <w:jc w:val="left"/>
            </w:pPr>
            <w:r>
              <w:t xml:space="preserve">Include once assessed.</w:t>
            </w:r>
          </w:p>
        </w:tc>
      </w:tr>
      <w:tr>
        <w:tc>
          <w:tcPr/>
          <w:p>
            <w:pPr>
              <w:pStyle w:val="Compact"/>
              <w:jc w:val="left"/>
            </w:pPr>
            <w:r>
              <w:t xml:space="preserve">Communications with Great Lakes after the dispute arose</w:t>
            </w:r>
          </w:p>
        </w:tc>
        <w:tc>
          <w:tcPr/>
          <w:p>
            <w:pPr>
              <w:pStyle w:val="Compact"/>
              <w:jc w:val="left"/>
            </w:pPr>
            <w:r>
              <w:t xml:space="preserve">Produce business communications. Any joint-defense or common-interest communications need a written agreement first (see Part VIII.C).</w:t>
            </w:r>
          </w:p>
        </w:tc>
      </w:tr>
    </w:tbl>
    <w:bookmarkEnd w:id="36"/>
    <w:bookmarkStart w:id="40" w:name="viii.-esi-protocol-proposed-terms"/>
    <w:p>
      <w:pPr>
        <w:pStyle w:val="Heading1"/>
      </w:pPr>
      <w:r>
        <w:t xml:space="preserve">VIII. ESI Protocol — Proposed Terms</w:t>
      </w:r>
    </w:p>
    <w:bookmarkStart w:id="37" w:name="a.-esi-sources-to-disclose-cmo-v.b-list"/>
    <w:p>
      <w:pPr>
        <w:pStyle w:val="Heading2"/>
      </w:pPr>
      <w:r>
        <w:t xml:space="preserve">A. ESI Sources to Disclose (CMO § V.B list)</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jc w:val="left"/>
            </w:pPr>
            <w:r>
              <w:rPr>
                <w:b/>
              </w:rPr>
              <w:t xml:space="preserve">Source</w:t>
            </w:r>
          </w:p>
        </w:tc>
        <w:tc>
          <w:tcPr/>
          <w:p>
            <w:pPr>
              <w:pStyle w:val="Compact"/>
              <w:jc w:val="left"/>
            </w:pPr>
            <w:r>
              <w:rPr>
                <w:b/>
              </w:rPr>
              <w:t xml:space="preserve">Nature</w:t>
            </w:r>
          </w:p>
        </w:tc>
        <w:tc>
          <w:tcPr/>
          <w:p>
            <w:pPr>
              <w:pStyle w:val="Compact"/>
              <w:jc w:val="left"/>
            </w:pPr>
            <w:r>
              <w:rPr>
                <w:b/>
              </w:rPr>
              <w:t xml:space="preserve">Custodians / access</w:t>
            </w:r>
          </w:p>
        </w:tc>
        <w:tc>
          <w:tcPr/>
          <w:p>
            <w:pPr>
              <w:pStyle w:val="Compact"/>
              <w:jc w:val="left"/>
            </w:pPr>
            <w:r>
              <w:rPr>
                <w:b/>
              </w:rPr>
              <w:t xml:space="preserve">Export format</w:t>
            </w:r>
          </w:p>
        </w:tc>
        <w:tc>
          <w:tcPr/>
          <w:p>
            <w:pPr>
              <w:pStyle w:val="Compact"/>
              <w:jc w:val="left"/>
            </w:pPr>
            <w:r>
              <w:rPr>
                <w:b/>
              </w:rPr>
              <w:t xml:space="preserve">Accessibility notes</w:t>
            </w:r>
          </w:p>
        </w:tc>
      </w:tr>
      <w:tr>
        <w:tc>
          <w:tcPr/>
          <w:p>
            <w:pPr>
              <w:pStyle w:val="Compact"/>
              <w:jc w:val="left"/>
            </w:pPr>
            <w:r>
              <w:t xml:space="preserve">Microsoft 365 Exchange Online</w:t>
            </w:r>
          </w:p>
        </w:tc>
        <w:tc>
          <w:tcPr/>
          <w:p>
            <w:pPr>
              <w:pStyle w:val="Compact"/>
              <w:jc w:val="left"/>
            </w:pPr>
            <w:r>
              <w:t xml:space="preserve">Email, calendar</w:t>
            </w:r>
          </w:p>
        </w:tc>
        <w:tc>
          <w:tcPr/>
          <w:p>
            <w:pPr>
              <w:pStyle w:val="Compact"/>
              <w:jc w:val="left"/>
            </w:pPr>
            <w:r>
              <w:t xml:space="preserve">~340 accounts; Tier 1 plus added custodians</w:t>
            </w:r>
          </w:p>
        </w:tc>
        <w:tc>
          <w:tcPr/>
          <w:p>
            <w:pPr>
              <w:pStyle w:val="Compact"/>
              <w:jc w:val="left"/>
            </w:pPr>
            <w:r>
              <w:t xml:space="preserve">PST/MSG, native</w:t>
            </w:r>
          </w:p>
        </w:tc>
        <w:tc>
          <w:tcPr/>
          <w:p>
            <w:pPr>
              <w:pStyle w:val="Compact"/>
              <w:jc w:val="left"/>
            </w:pPr>
            <w:r>
              <w:t xml:space="preserve">Online archive only for Liu and Hartwell; 365-day deleted-item retention</w:t>
            </w:r>
          </w:p>
        </w:tc>
      </w:tr>
      <w:tr>
        <w:tc>
          <w:tcPr/>
          <w:p>
            <w:pPr>
              <w:pStyle w:val="Compact"/>
              <w:jc w:val="left"/>
            </w:pPr>
            <w:r>
              <w:t xml:space="preserve">Microsoft Teams</w:t>
            </w:r>
          </w:p>
        </w:tc>
        <w:tc>
          <w:tcPr/>
          <w:p>
            <w:pPr>
              <w:pStyle w:val="Compact"/>
              <w:jc w:val="left"/>
            </w:pPr>
            <w:r>
              <w:t xml:space="preserve">“</w:t>
            </w:r>
            <w:r>
              <w:t xml:space="preserve">Pinnacle Project</w:t>
            </w:r>
            <w:r>
              <w:t xml:space="preserve">”</w:t>
            </w:r>
            <w:r>
              <w:t xml:space="preserve"> </w:t>
            </w:r>
            <w:r>
              <w:t xml:space="preserve">channel (Apr. 2022–present),</w:t>
            </w:r>
            <w:r>
              <w:t xml:space="preserve"> </w:t>
            </w:r>
            <w:r>
              <w:t xml:space="preserve">“</w:t>
            </w:r>
            <w:r>
              <w:t xml:space="preserve">Quality Assurance</w:t>
            </w:r>
            <w:r>
              <w:t xml:space="preserve">”</w:t>
            </w:r>
            <w:r>
              <w:t xml:space="preserve"> </w:t>
            </w:r>
            <w:r>
              <w:t xml:space="preserve">channel, 1:1 and group chats</w:t>
            </w:r>
          </w:p>
        </w:tc>
        <w:tc>
          <w:tcPr/>
          <w:p>
            <w:pPr>
              <w:pStyle w:val="Compact"/>
              <w:jc w:val="left"/>
            </w:pPr>
            <w:r>
              <w:t xml:space="preserve">Custodians</w:t>
            </w:r>
          </w:p>
        </w:tc>
        <w:tc>
          <w:tcPr/>
          <w:p>
            <w:pPr>
              <w:pStyle w:val="Compact"/>
              <w:jc w:val="left"/>
            </w:pPr>
            <w:r>
              <w:t xml:space="preserve">JSON/HTML via Purview; produce in RSMF or threaded 24-hour-per-conversation format</w:t>
            </w:r>
          </w:p>
        </w:tc>
        <w:tc>
          <w:tcPr/>
          <w:p>
            <w:pPr>
              <w:pStyle w:val="Compact"/>
              <w:jc w:val="left"/>
            </w:pPr>
            <w:r>
              <w:t xml:space="preserve">Retention policy under verification</w:t>
            </w:r>
          </w:p>
        </w:tc>
      </w:tr>
      <w:tr>
        <w:tc>
          <w:tcPr/>
          <w:p>
            <w:pPr>
              <w:pStyle w:val="Compact"/>
              <w:jc w:val="left"/>
            </w:pPr>
            <w:r>
              <w:t xml:space="preserve">SharePoint / OneDrive</w:t>
            </w:r>
          </w:p>
        </w:tc>
        <w:tc>
          <w:tcPr/>
          <w:p>
            <w:pPr>
              <w:pStyle w:val="Compact"/>
              <w:jc w:val="left"/>
            </w:pPr>
            <w:r>
              <w:t xml:space="preserve">“</w:t>
            </w:r>
            <w:r>
              <w:t xml:space="preserve">Pinnacle-Blackridge</w:t>
            </w:r>
            <w:r>
              <w:t xml:space="preserve">”</w:t>
            </w:r>
            <w:r>
              <w:t xml:space="preserve"> </w:t>
            </w:r>
            <w:r>
              <w:t xml:space="preserve">and</w:t>
            </w:r>
            <w:r>
              <w:t xml:space="preserve"> </w:t>
            </w:r>
            <w:r>
              <w:t xml:space="preserve">“</w:t>
            </w:r>
            <w:r>
              <w:t xml:space="preserve">Quality Documents</w:t>
            </w:r>
            <w:r>
              <w:t xml:space="preserve">”</w:t>
            </w:r>
            <w:r>
              <w:t xml:space="preserve"> </w:t>
            </w:r>
            <w:r>
              <w:t xml:space="preserve">sites (~3,500 documents)</w:t>
            </w:r>
          </w:p>
        </w:tc>
        <w:tc>
          <w:tcPr/>
          <w:p>
            <w:pPr>
              <w:pStyle w:val="Compact"/>
              <w:jc w:val="left"/>
            </w:pPr>
            <w:r>
              <w:t xml:space="preserve">Project and QA staff</w:t>
            </w:r>
          </w:p>
        </w:tc>
        <w:tc>
          <w:tcPr/>
          <w:p>
            <w:pPr>
              <w:pStyle w:val="Compact"/>
              <w:jc w:val="left"/>
            </w:pPr>
            <w:r>
              <w:t xml:space="preserve">Native</w:t>
            </w:r>
          </w:p>
        </w:tc>
        <w:tc>
          <w:tcPr/>
          <w:p>
            <w:pPr>
              <w:pStyle w:val="Compact"/>
              <w:jc w:val="left"/>
            </w:pPr>
            <w:r>
              <w:t xml:space="preserve">None</w:t>
            </w:r>
          </w:p>
        </w:tc>
      </w:tr>
      <w:tr>
        <w:tc>
          <w:tcPr/>
          <w:p>
            <w:pPr>
              <w:pStyle w:val="Compact"/>
              <w:jc w:val="left"/>
            </w:pPr>
            <w:r>
              <w:t xml:space="preserve">SAP S/4HANA (MM, QM, SD)</w:t>
            </w:r>
          </w:p>
        </w:tc>
        <w:tc>
          <w:tcPr/>
          <w:p>
            <w:pPr>
              <w:pStyle w:val="Compact"/>
              <w:jc w:val="left"/>
            </w:pPr>
            <w:r>
              <w:t xml:space="preserve">POs, work orders, material receipts with lot/heat, QM inspection lots, shipping, invoicing, A/R</w:t>
            </w:r>
          </w:p>
        </w:tc>
        <w:tc>
          <w:tcPr/>
          <w:p>
            <w:pPr>
              <w:pStyle w:val="Compact"/>
              <w:jc w:val="left"/>
            </w:pPr>
            <w:r>
              <w:t xml:space="preserve">IT administrators</w:t>
            </w:r>
          </w:p>
        </w:tc>
        <w:tc>
          <w:tcPr/>
          <w:p>
            <w:pPr>
              <w:pStyle w:val="Compact"/>
              <w:jc w:val="left"/>
            </w:pPr>
            <w:r>
              <w:t xml:space="preserve">Excel/CSV reports; PDF</w:t>
            </w:r>
          </w:p>
        </w:tc>
        <w:tc>
          <w:tcPr/>
          <w:p>
            <w:pPr>
              <w:pStyle w:val="Compact"/>
              <w:jc w:val="left"/>
            </w:pPr>
            <w:r>
              <w:t xml:space="preserve">Structured data; produce as reports in native Excel with field definitions</w:t>
            </w:r>
          </w:p>
        </w:tc>
      </w:tr>
      <w:tr>
        <w:tc>
          <w:tcPr/>
          <w:p>
            <w:pPr>
              <w:pStyle w:val="Compact"/>
              <w:jc w:val="left"/>
            </w:pPr>
            <w:r>
              <w:t xml:space="preserve">QualTrack (on-premises, legacy, in-house built)</w:t>
            </w:r>
          </w:p>
        </w:tc>
        <w:tc>
          <w:tcPr/>
          <w:p>
            <w:pPr>
              <w:pStyle w:val="Compact"/>
              <w:jc w:val="left"/>
            </w:pPr>
            <w:r>
              <w:t xml:space="preserve">Incoming, in-process, and final inspection; hydrostatic test; NCRs; corrective actions; calibration; free-text inspector notes</w:t>
            </w:r>
          </w:p>
        </w:tc>
        <w:tc>
          <w:tcPr/>
          <w:p>
            <w:pPr>
              <w:pStyle w:val="Compact"/>
              <w:jc w:val="left"/>
            </w:pPr>
            <w:r>
              <w:t xml:space="preserve">QA department; IT</w:t>
            </w:r>
          </w:p>
        </w:tc>
        <w:tc>
          <w:tcPr/>
          <w:p>
            <w:pPr>
              <w:pStyle w:val="Compact"/>
              <w:jc w:val="left"/>
            </w:pPr>
            <w:r>
              <w:rPr>
                <w:b/>
                <w:bCs/>
              </w:rPr>
              <w:t xml:space="preserve">CSV only</w:t>
            </w:r>
            <w:r>
              <w:t xml:space="preserve">; no full-text search; no attachments or images export</w:t>
            </w:r>
          </w:p>
        </w:tc>
        <w:tc>
          <w:tcPr/>
          <w:p>
            <w:pPr>
              <w:pStyle w:val="Compact"/>
              <w:jc w:val="left"/>
            </w:pPr>
            <w:r>
              <w:t xml:space="preserve">Limited search and export, but actively used. Disclose the limits openly (CMO § V.A.1).</w:t>
            </w:r>
          </w:p>
        </w:tc>
      </w:tr>
      <w:tr>
        <w:tc>
          <w:tcPr/>
          <w:p>
            <w:pPr>
              <w:pStyle w:val="Compact"/>
              <w:jc w:val="left"/>
            </w:pPr>
            <w:r>
              <w:t xml:space="preserve">Hardcopy QA binders (8–12)</w:t>
            </w:r>
          </w:p>
        </w:tc>
        <w:tc>
          <w:tcPr/>
          <w:p>
            <w:pPr>
              <w:pStyle w:val="Compact"/>
              <w:jc w:val="left"/>
            </w:pPr>
            <w:r>
              <w:t xml:space="preserve">MTRs, dimensional reports, hydrostatic results, visual checklists, NCRs, sign-offs</w:t>
            </w:r>
          </w:p>
        </w:tc>
        <w:tc>
          <w:tcPr/>
          <w:p>
            <w:pPr>
              <w:pStyle w:val="Compact"/>
              <w:jc w:val="left"/>
            </w:pPr>
            <w:r>
              <w:t xml:space="preserve">Kowalski / QA records room, Toledo</w:t>
            </w:r>
          </w:p>
        </w:tc>
        <w:tc>
          <w:tcPr/>
          <w:p>
            <w:pPr>
              <w:pStyle w:val="Compact"/>
              <w:jc w:val="left"/>
            </w:pPr>
            <w:r>
              <w:t xml:space="preserve">Scanned PDF/TIFF with OCR</w:t>
            </w:r>
          </w:p>
        </w:tc>
        <w:tc>
          <w:tcPr/>
          <w:p>
            <w:pPr>
              <w:pStyle w:val="Compact"/>
              <w:jc w:val="left"/>
            </w:pPr>
            <w:r>
              <w:t xml:space="preserve">Paper; being digitized</w:t>
            </w:r>
          </w:p>
        </w:tc>
      </w:tr>
      <w:tr>
        <w:tc>
          <w:tcPr/>
          <w:p>
            <w:pPr>
              <w:pStyle w:val="Compact"/>
              <w:jc w:val="left"/>
            </w:pPr>
            <w:r>
              <w:t xml:space="preserve">Personal mobile devices (Brecker; Ostrowski photos; others as identified)</w:t>
            </w:r>
          </w:p>
        </w:tc>
        <w:tc>
          <w:tcPr/>
          <w:p>
            <w:pPr>
              <w:pStyle w:val="Compact"/>
              <w:jc w:val="left"/>
            </w:pPr>
            <w:r>
              <w:t xml:space="preserve">SMS/iMessage, photos</w:t>
            </w:r>
          </w:p>
        </w:tc>
        <w:tc>
          <w:tcPr/>
          <w:p>
            <w:pPr>
              <w:pStyle w:val="Compact"/>
              <w:jc w:val="left"/>
            </w:pPr>
            <w:r>
              <w:t xml:space="preserve">Individual employees; no BYOD policy</w:t>
            </w:r>
          </w:p>
        </w:tc>
        <w:tc>
          <w:tcPr/>
          <w:p>
            <w:pPr>
              <w:pStyle w:val="Compact"/>
              <w:jc w:val="left"/>
            </w:pPr>
            <w:r>
              <w:t xml:space="preserve">Forensic extraction to RSMF or PDF with metadata</w:t>
            </w:r>
          </w:p>
        </w:tc>
        <w:tc>
          <w:tcPr/>
          <w:p>
            <w:pPr>
              <w:pStyle w:val="Compact"/>
              <w:jc w:val="left"/>
            </w:pPr>
            <w:r>
              <w:t xml:space="preserve">Needs employee consent; privacy protocol</w:t>
            </w:r>
          </w:p>
        </w:tc>
      </w:tr>
      <w:tr>
        <w:tc>
          <w:tcPr/>
          <w:p>
            <w:pPr>
              <w:pStyle w:val="Compact"/>
              <w:jc w:val="left"/>
            </w:pPr>
            <w:r>
              <w:t xml:space="preserve">Network shares, Findlay records</w:t>
            </w:r>
          </w:p>
        </w:tc>
        <w:tc>
          <w:tcPr/>
          <w:p>
            <w:pPr>
              <w:pStyle w:val="Compact"/>
              <w:jc w:val="left"/>
            </w:pPr>
            <w:r>
              <w:t xml:space="preserve">To be confirmed</w:t>
            </w:r>
          </w:p>
        </w:tc>
        <w:tc>
          <w:tcPr/>
          <w:p>
            <w:pPr>
              <w:pStyle w:val="Compact"/>
              <w:jc w:val="left"/>
            </w:pPr>
            <w:r>
              <w:t xml:space="preserve">—</w:t>
            </w:r>
          </w:p>
        </w:tc>
        <w:tc>
          <w:tcPr/>
          <w:p>
            <w:pPr>
              <w:pStyle w:val="Compact"/>
              <w:jc w:val="left"/>
            </w:pPr>
            <w:r>
              <w:t xml:space="preserve">—</w:t>
            </w:r>
          </w:p>
        </w:tc>
        <w:tc>
          <w:tcPr/>
          <w:p>
            <w:pPr>
              <w:pStyle w:val="Compact"/>
              <w:jc w:val="left"/>
            </w:pPr>
            <w:r>
              <w:t xml:space="preserve">Assessment pending</w:t>
            </w:r>
          </w:p>
        </w:tc>
      </w:tr>
    </w:tbl>
    <w:bookmarkEnd w:id="37"/>
    <w:bookmarkStart w:id="38" w:name="b.-key-protocol-terms-to-propose"/>
    <w:p>
      <w:pPr>
        <w:pStyle w:val="Heading2"/>
      </w:pPr>
      <w:r>
        <w:t xml:space="preserve">B. Key Protocol Terms to Propose</w:t>
      </w:r>
    </w:p>
    <w:p>
      <w:pPr>
        <w:pStyle w:val="Compact"/>
        <w:numPr>
          <w:ilvl w:val="0"/>
          <w:numId w:val="1021"/>
        </w:numPr>
      </w:pPr>
      <w:r>
        <w:rPr>
          <w:b/>
          <w:bCs/>
        </w:rPr>
        <w:t xml:space="preserve">Production format.</w:t>
      </w:r>
    </w:p>
    <w:p>
      <w:pPr>
        <w:pStyle w:val="Compact"/>
        <w:numPr>
          <w:ilvl w:val="1"/>
          <w:numId w:val="1022"/>
        </w:numPr>
      </w:pPr>
      <w:r>
        <w:t xml:space="preserve">Email and e-documents: TIFF with extracted text and standard metadata load files.</w:t>
      </w:r>
    </w:p>
    <w:p>
      <w:pPr>
        <w:pStyle w:val="Compact"/>
        <w:numPr>
          <w:ilvl w:val="1"/>
          <w:numId w:val="1022"/>
        </w:numPr>
      </w:pPr>
      <w:r>
        <w:t xml:space="preserve">Native production for spreadsheets, CAD/drawings, audio/video, and structured data.</w:t>
      </w:r>
    </w:p>
    <w:p>
      <w:pPr>
        <w:pStyle w:val="Compact"/>
        <w:numPr>
          <w:ilvl w:val="1"/>
          <w:numId w:val="1022"/>
        </w:numPr>
      </w:pPr>
      <w:r>
        <w:t xml:space="preserve">QualTrack and SAP: delimited fielded data with a data dictionary. QualTrack free-text notes kept in their own field. Each record gets a unique control number.</w:t>
      </w:r>
    </w:p>
    <w:p>
      <w:pPr>
        <w:pStyle w:val="Compact"/>
        <w:numPr>
          <w:ilvl w:val="1"/>
          <w:numId w:val="1022"/>
        </w:numPr>
      </w:pPr>
      <w:r>
        <w:t xml:space="preserve">Photographs: native with EXIF metadata.</w:t>
      </w:r>
    </w:p>
    <w:p>
      <w:pPr>
        <w:pStyle w:val="Compact"/>
        <w:numPr>
          <w:ilvl w:val="1"/>
          <w:numId w:val="1022"/>
        </w:numPr>
      </w:pPr>
      <w:r>
        <w:t xml:space="preserve">Texts: RSMF or conversation-threaded PDF, with sender, recipient, and timestamp fields.</w:t>
      </w:r>
    </w:p>
    <w:p>
      <w:pPr>
        <w:pStyle w:val="Compact"/>
        <w:numPr>
          <w:ilvl w:val="0"/>
          <w:numId w:val="1021"/>
        </w:numPr>
      </w:pPr>
      <w:r>
        <w:rPr>
          <w:b/>
          <w:bCs/>
        </w:rPr>
        <w:t xml:space="preserve">Metadata fields.</w:t>
      </w:r>
      <w:r>
        <w:t xml:space="preserve"> </w:t>
      </w:r>
      <w:r>
        <w:t xml:space="preserve">A standard set (custodian, all-custodians, from/to/cc/bcc, dates sent/received/created/modified, file name, file path, MD5 hash, BegBates/EndBates, attachment range, conversation index, redaction flag, confidentiality designation).</w:t>
      </w:r>
    </w:p>
    <w:p>
      <w:pPr>
        <w:pStyle w:val="Compact"/>
        <w:numPr>
          <w:ilvl w:val="0"/>
          <w:numId w:val="1021"/>
        </w:numPr>
      </w:pPr>
      <w:r>
        <w:rPr>
          <w:b/>
          <w:bCs/>
        </w:rPr>
        <w:t xml:space="preserve">De-duplication.</w:t>
      </w:r>
      <w:r>
        <w:t xml:space="preserve"> </w:t>
      </w:r>
      <w:r>
        <w:t xml:space="preserve">Global MD5/SHA-1 de-duplication with an</w:t>
      </w:r>
      <w:r>
        <w:t xml:space="preserve"> </w:t>
      </w:r>
      <w:r>
        <w:t xml:space="preserve">“</w:t>
      </w:r>
      <w:r>
        <w:t xml:space="preserve">all custodians</w:t>
      </w:r>
      <w:r>
        <w:t xml:space="preserve">”</w:t>
      </w:r>
      <w:r>
        <w:t xml:space="preserve"> </w:t>
      </w:r>
      <w:r>
        <w:t xml:space="preserve">field. Email threading allowed only if lesser-included emails are logged or produced on request.</w:t>
      </w:r>
    </w:p>
    <w:p>
      <w:pPr>
        <w:pStyle w:val="Compact"/>
        <w:numPr>
          <w:ilvl w:val="0"/>
          <w:numId w:val="1021"/>
        </w:numPr>
      </w:pPr>
      <w:r>
        <w:rPr>
          <w:b/>
          <w:bCs/>
        </w:rPr>
        <w:t xml:space="preserve">Search methodology.</w:t>
      </w:r>
      <w:r>
        <w:t xml:space="preserve"> </w:t>
      </w:r>
      <w:r>
        <w:t xml:space="preserve">Custodian-based keyword searches with hit reports and iterative negotiation. Hartwell reserves the right to use TAR/continuous active learning. The vendor estimates a 30–40% cut in review cost, bringing review from $85–120K to $50–75K. If we use TAR, disclose it with validation by elusion sampling (recall target around 75%). Keep seed-set details proportionate; the CMO asks for transparency. Structured data is produced by field filters (model HV-4400; customer Pinnacle; Great Lakes lots), not keywords.</w:t>
      </w:r>
    </w:p>
    <w:p>
      <w:pPr>
        <w:pStyle w:val="Compact"/>
        <w:numPr>
          <w:ilvl w:val="0"/>
          <w:numId w:val="1021"/>
        </w:numPr>
      </w:pPr>
      <w:r>
        <w:rPr>
          <w:b/>
          <w:bCs/>
        </w:rPr>
        <w:t xml:space="preserve">Custodians (Hartwell, initial):</w:t>
      </w:r>
      <w:r>
        <w:t xml:space="preserve"> </w:t>
      </w:r>
      <w:r>
        <w:t xml:space="preserve">Brecker, Kowalski, Fenton, Ostrowski, Liu (with privilege filters), the QA engineers at the joint inspection, the QA inspectors who signed HV-4400 incoming and final inspections (identify from the binders and QualTrack), the purchasing/supplier-quality contact for Great Lakes, and the accounts receivable lead for the counterclaim. Gerald Hartwell as a Tier 2 custodian with keyword filtering.</w:t>
      </w:r>
    </w:p>
    <w:p>
      <w:pPr>
        <w:pStyle w:val="Compact"/>
        <w:numPr>
          <w:ilvl w:val="0"/>
          <w:numId w:val="1021"/>
        </w:numPr>
      </w:pPr>
      <w:r>
        <w:rPr>
          <w:b/>
          <w:bCs/>
        </w:rPr>
        <w:t xml:space="preserve">Custodians (Pinnacle, demanded):</w:t>
      </w:r>
      <w:r>
        <w:t xml:space="preserve"> </w:t>
      </w:r>
      <w:r>
        <w:t xml:space="preserve">Okonkwo, Reeves, Marsh, Alcott, the UT inspection lead, the project and installation engineer, the finance/revenue lead for downtime, and accounts payable.</w:t>
      </w:r>
    </w:p>
    <w:p>
      <w:pPr>
        <w:pStyle w:val="Compact"/>
        <w:numPr>
          <w:ilvl w:val="0"/>
          <w:numId w:val="1021"/>
        </w:numPr>
      </w:pPr>
      <w:r>
        <w:rPr>
          <w:b/>
          <w:bCs/>
        </w:rPr>
        <w:t xml:space="preserve">Date ranges:</w:t>
      </w:r>
      <w:r>
        <w:t xml:space="preserve"> </w:t>
      </w:r>
      <w:r>
        <w:t xml:space="preserve">January 1, 2021 through September 23, 2024 (Complaint), with later dates for failure, testing, mitigation, and damages topics.</w:t>
      </w:r>
    </w:p>
    <w:p>
      <w:pPr>
        <w:pStyle w:val="Compact"/>
        <w:numPr>
          <w:ilvl w:val="0"/>
          <w:numId w:val="1021"/>
        </w:numPr>
      </w:pPr>
      <w:r>
        <w:rPr>
          <w:b/>
          <w:bCs/>
        </w:rPr>
        <w:t xml:space="preserve">Draft Hartwell search strings (for internal testing, not to be disclosed yet):</w:t>
      </w:r>
      <w:r>
        <w:t xml:space="preserve"> </w:t>
      </w:r>
      <w:r>
        <w:t xml:space="preserve">porosity OR void* OR pinhole* OR pitting OR</w:t>
      </w:r>
      <w:r>
        <w:t xml:space="preserve"> </w:t>
      </w:r>
      <w:r>
        <w:t xml:space="preserve">“</w:t>
      </w:r>
      <w:r>
        <w:t xml:space="preserve">surface irregular</w:t>
      </w:r>
      <w:r>
        <w:rPr>
          <w:i/>
          <w:iCs/>
        </w:rPr>
        <w:t xml:space="preserve">”; ”Great Lakes” OR GLF OR ”GL-2023</w:t>
      </w:r>
      <w:r>
        <w:t xml:space="preserve">”</w:t>
      </w:r>
      <w:r>
        <w:t xml:space="preserve">; HV-4400 OR HV4400; (NDE OR UT OR ultrason* OR radiograph* OR RT) w/10 casting</w:t>
      </w:r>
      <w:r>
        <w:rPr>
          <w:i/>
          <w:iCs/>
        </w:rPr>
        <w:t xml:space="preserve">; hardness OR Brinell OR HBW; heat treat</w:t>
      </w:r>
      <w:r>
        <w:t xml:space="preserve"> </w:t>
      </w:r>
      <w:r>
        <w:t xml:space="preserve">OR temper* OR normaliz*; WCB OR WC6 OR WC9 OR A216 OR A217; Pinnacle OR Blackridge; Ostrowski; torque.</w:t>
      </w:r>
      <w:r>
        <w:t xml:space="preserve"> </w:t>
      </w:r>
      <w:r>
        <w:rPr>
          <w:b/>
          <w:bCs/>
        </w:rPr>
        <w:t xml:space="preserve">Run these internally before the conference</w:t>
      </w:r>
      <w:r>
        <w:t xml:space="preserve"> </w:t>
      </w:r>
      <w:r>
        <w:t xml:space="preserve">so we know the hit volumes, and so we know before Pinnacle does what documents such as additional Ostrowski-type communications exist.</w:t>
      </w:r>
    </w:p>
    <w:p>
      <w:pPr>
        <w:pStyle w:val="Compact"/>
        <w:numPr>
          <w:ilvl w:val="0"/>
          <w:numId w:val="1021"/>
        </w:numPr>
      </w:pPr>
      <w:r>
        <w:rPr>
          <w:b/>
          <w:bCs/>
        </w:rPr>
        <w:t xml:space="preserve">Cost estimate (vendor):</w:t>
      </w:r>
      <w:r>
        <w:t xml:space="preserve"> </w:t>
      </w:r>
      <w:r>
        <w:t xml:space="preserve">$175,000–$250,000 total. About 35,500 electronic items in the first collection, plus 2,500–4,000 scanned pages. The vendor’s 45,000-document planning figure includes a buffer and does not reconcile exactly with its source table; ask for a reconciled figure before we cite volumes. Against $14.7M claimed, these costs are proportionate, and we should not argue cost-based limits on core QA discovery.</w:t>
      </w:r>
    </w:p>
    <w:bookmarkEnd w:id="38"/>
    <w:bookmarkStart w:id="39" w:name="c.-other-agreements"/>
    <w:p>
      <w:pPr>
        <w:pStyle w:val="Heading2"/>
      </w:pPr>
      <w:r>
        <w:t xml:space="preserve">C. Other Agreements</w:t>
      </w:r>
    </w:p>
    <w:p>
      <w:pPr>
        <w:pStyle w:val="Compact"/>
        <w:numPr>
          <w:ilvl w:val="0"/>
          <w:numId w:val="1023"/>
        </w:numPr>
      </w:pPr>
      <w:r>
        <w:rPr>
          <w:b/>
          <w:bCs/>
        </w:rPr>
        <w:t xml:space="preserve">Rule 502(d) order.</w:t>
      </w:r>
      <w:r>
        <w:t xml:space="preserve"> </w:t>
      </w:r>
      <w:r>
        <w:t xml:space="preserve">Non-waiver regardless of the care taken. Clawback within 10 business days of discovery. The receiving party must sequester and may not use the document to challenge the privilege. The procedure follows Rule 26(b)(5)(B).</w:t>
      </w:r>
    </w:p>
    <w:p>
      <w:pPr>
        <w:pStyle w:val="Compact"/>
        <w:numPr>
          <w:ilvl w:val="0"/>
          <w:numId w:val="1023"/>
        </w:numPr>
      </w:pPr>
      <w:r>
        <w:rPr>
          <w:b/>
          <w:bCs/>
        </w:rPr>
        <w:t xml:space="preserve">Privilege logs.</w:t>
      </w:r>
    </w:p>
    <w:p>
      <w:pPr>
        <w:pStyle w:val="Compact"/>
        <w:numPr>
          <w:ilvl w:val="1"/>
          <w:numId w:val="1024"/>
        </w:numPr>
      </w:pPr>
      <w:r>
        <w:t xml:space="preserve">Metadata-based logs are allowed for email families, with categorical logging for defined categories.</w:t>
      </w:r>
    </w:p>
    <w:p>
      <w:pPr>
        <w:pStyle w:val="Compact"/>
        <w:numPr>
          <w:ilvl w:val="1"/>
          <w:numId w:val="1024"/>
        </w:numPr>
      </w:pPr>
      <w:r>
        <w:t xml:space="preserve">Communications with litigation counsel after September 23, 2024 (Complaint) do not need to be logged.</w:t>
      </w:r>
    </w:p>
    <w:p>
      <w:pPr>
        <w:pStyle w:val="Compact"/>
        <w:numPr>
          <w:ilvl w:val="1"/>
          <w:numId w:val="1024"/>
        </w:numPr>
      </w:pPr>
      <w:r>
        <w:t xml:space="preserve">Hartwell will ask that the exemption start April 5, 2024 for communications with outside counsel. Expect Pinnacle to object.</w:t>
      </w:r>
    </w:p>
    <w:p>
      <w:pPr>
        <w:pStyle w:val="Compact"/>
        <w:numPr>
          <w:ilvl w:val="1"/>
          <w:numId w:val="1024"/>
        </w:numPr>
      </w:pPr>
      <w:r>
        <w:t xml:space="preserve">Rolling logs within 30 days of each production; final logs by November 30, 2025 (CMO § VI).</w:t>
      </w:r>
    </w:p>
    <w:p>
      <w:pPr>
        <w:pStyle w:val="Compact"/>
        <w:numPr>
          <w:ilvl w:val="0"/>
          <w:numId w:val="1023"/>
        </w:numPr>
      </w:pPr>
      <w:r>
        <w:rPr>
          <w:b/>
          <w:bCs/>
        </w:rPr>
        <w:t xml:space="preserve">Protective order.</w:t>
      </w:r>
      <w:r>
        <w:t xml:space="preserve"> </w:t>
      </w:r>
      <w:r>
        <w:t xml:space="preserve">Use the N.D. Ohio model with two tiers: Confidential, and Highly Confidential – Attorneys’ Eyes Only. AEO covers manufacturing processes, drawings, supplier pricing, Pinnacle revenue and offtaker contracts, and QualTrack schema. Include a provision allowing experts to access physical specimens. Include a procedure for third-party (Great Lakes) confidential material. Include a sealing procedure consistent with Sixth Circuit standards.</w:t>
      </w:r>
    </w:p>
    <w:p>
      <w:pPr>
        <w:pStyle w:val="Compact"/>
        <w:numPr>
          <w:ilvl w:val="0"/>
          <w:numId w:val="1023"/>
        </w:numPr>
      </w:pPr>
      <w:r>
        <w:rPr>
          <w:b/>
          <w:bCs/>
        </w:rPr>
        <w:t xml:space="preserve">Physical evidence protocol.</w:t>
      </w:r>
      <w:r>
        <w:t xml:space="preserve"> </w:t>
      </w:r>
      <w:r>
        <w:t xml:space="preserve">Joint chain of custody. Notice and an opportunity to attend any destructive testing (see MSA § 9.4, which required Hartwell’s consent for destructive testing). Split samples. Photo and video documentation. Neither party may alter the remaining 37 valves without notice.</w:t>
      </w:r>
    </w:p>
    <w:p>
      <w:pPr>
        <w:pStyle w:val="Compact"/>
        <w:numPr>
          <w:ilvl w:val="0"/>
          <w:numId w:val="1023"/>
        </w:numPr>
      </w:pPr>
      <w:r>
        <w:rPr>
          <w:b/>
          <w:bCs/>
        </w:rPr>
        <w:t xml:space="preserve">Common interest with Great Lakes.</w:t>
      </w:r>
      <w:r>
        <w:t xml:space="preserve"> </w:t>
      </w:r>
      <w:r>
        <w:t xml:space="preserve">Do not assume one exists. Any cooperation arrangement must be in writing and weighed against our likely third-party claim against Great Lakes.</w:t>
      </w:r>
    </w:p>
    <w:p>
      <w:pPr>
        <w:pStyle w:val="Compact"/>
        <w:numPr>
          <w:ilvl w:val="0"/>
          <w:numId w:val="1023"/>
        </w:numPr>
      </w:pPr>
      <w:r>
        <w:rPr>
          <w:b/>
          <w:bCs/>
        </w:rPr>
        <w:t xml:space="preserve">Service:</w:t>
      </w:r>
      <w:r>
        <w:t xml:space="preserve"> </w:t>
      </w:r>
      <w:r>
        <w:t xml:space="preserve">by email, with productions via secure file transfer.</w:t>
      </w:r>
    </w:p>
    <w:bookmarkEnd w:id="39"/>
    <w:bookmarkEnd w:id="40"/>
    <w:bookmarkStart w:id="46" w:name="X92e9afbedc6664e0f519cb979f3fde3cba13cdc"/>
    <w:p>
      <w:pPr>
        <w:pStyle w:val="Heading1"/>
      </w:pPr>
      <w:r>
        <w:t xml:space="preserve">IX. Hartwell-Specific Risk Items Requiring Partner Decision</w:t>
      </w:r>
    </w:p>
    <w:bookmarkStart w:id="41" w:name="a.-amending-the-answer-by-april-30-2025"/>
    <w:p>
      <w:pPr>
        <w:pStyle w:val="Heading2"/>
      </w:pPr>
      <w:r>
        <w:t xml:space="preserve">A. Amending the Answer by April 30, 2025</w:t>
      </w:r>
    </w:p>
    <w:p>
      <w:pPr>
        <w:pStyle w:val="FirstParagraph"/>
      </w:pPr>
      <w:r>
        <w:t xml:space="preserve">Several positions in the Answer need review against the documents, both for Rule 11 compliance and to protect credibility:</w:t>
      </w:r>
    </w:p>
    <w:p>
      <w:pPr>
        <w:pStyle w:val="Compact"/>
        <w:numPr>
          <w:ilvl w:val="0"/>
          <w:numId w:val="1025"/>
        </w:numPr>
      </w:pPr>
      <w:r>
        <w:rPr>
          <w:b/>
          <w:bCs/>
        </w:rPr>
        <w:t xml:space="preserve">¶¶19 and 47</w:t>
      </w:r>
      <w:r>
        <w:t xml:space="preserve"> </w:t>
      </w:r>
      <w:r>
        <w:t xml:space="preserve">state that QA confirmed all valves met specifications and deny knowledge. That needs to be squared with the Ostrowski chain and with whatever the Exhibit D.3 NDE and hardness records show.</w:t>
      </w:r>
    </w:p>
    <w:p>
      <w:pPr>
        <w:pStyle w:val="Compact"/>
        <w:numPr>
          <w:ilvl w:val="0"/>
          <w:numId w:val="1025"/>
        </w:numPr>
      </w:pPr>
      <w:r>
        <w:rPr>
          <w:b/>
          <w:bCs/>
        </w:rPr>
        <w:t xml:space="preserve">¶¶14, 36, 39, 43, 51, 52 and the First Affirmative Defense</w:t>
      </w:r>
      <w:r>
        <w:t xml:space="preserve"> </w:t>
      </w:r>
      <w:r>
        <w:t xml:space="preserve">misdescribe § 12 as a</w:t>
      </w:r>
      <w:r>
        <w:t xml:space="preserve"> </w:t>
      </w:r>
      <w:r>
        <w:t xml:space="preserve">“</w:t>
      </w:r>
      <w:r>
        <w:t xml:space="preserve">consequential damages cap.</w:t>
      </w:r>
      <w:r>
        <w:t xml:space="preserve">”</w:t>
      </w:r>
      <w:r>
        <w:t xml:space="preserve"> </w:t>
      </w:r>
      <w:r>
        <w:t xml:space="preserve">Replead § 12.1 and § 12.2 accurately.</w:t>
      </w:r>
    </w:p>
    <w:p>
      <w:pPr>
        <w:pStyle w:val="Compact"/>
        <w:numPr>
          <w:ilvl w:val="0"/>
          <w:numId w:val="1025"/>
        </w:numPr>
      </w:pPr>
      <w:r>
        <w:rPr>
          <w:b/>
          <w:bCs/>
        </w:rPr>
        <w:t xml:space="preserve">Add defenses:</w:t>
      </w:r>
      <w:r>
        <w:t xml:space="preserve"> </w:t>
      </w:r>
      <w:r>
        <w:t xml:space="preserve">§ 8.5 exclusive remedy; § 8.6 disclaimer (Answer ¶41 only alludes to it); § 19.1 non-reliance (as to Brecker’s pre-contract statements); § 12.4 contractual limitations period; and possibly failure to satisfy the §§ 14.1–14.2 negotiation and mediation conditions (likely moot, but preserve it).</w:t>
      </w:r>
    </w:p>
    <w:p>
      <w:pPr>
        <w:pStyle w:val="Compact"/>
        <w:numPr>
          <w:ilvl w:val="0"/>
          <w:numId w:val="1025"/>
        </w:numPr>
      </w:pPr>
      <w:r>
        <w:rPr>
          <w:b/>
          <w:bCs/>
        </w:rPr>
        <w:t xml:space="preserve">Eighth Affirmative Defense (acceptance/waiver):</w:t>
      </w:r>
      <w:r>
        <w:t xml:space="preserve"> </w:t>
      </w:r>
      <w:r>
        <w:t xml:space="preserve">narrow or withdraw in light of § 9.2.</w:t>
      </w:r>
    </w:p>
    <w:p>
      <w:pPr>
        <w:pStyle w:val="Compact"/>
        <w:numPr>
          <w:ilvl w:val="0"/>
          <w:numId w:val="1025"/>
        </w:numPr>
      </w:pPr>
      <w:r>
        <w:rPr>
          <w:b/>
          <w:bCs/>
        </w:rPr>
        <w:t xml:space="preserve">Sixth Affirmative Defense (statute of limitations):</w:t>
      </w:r>
      <w:r>
        <w:t xml:space="preserve"> </w:t>
      </w:r>
      <w:r>
        <w:t xml:space="preserve">weak on these facts. The fraud claim concerns 2023 conduct and was filed in 2024.</w:t>
      </w:r>
    </w:p>
    <w:p>
      <w:pPr>
        <w:pStyle w:val="Compact"/>
        <w:numPr>
          <w:ilvl w:val="0"/>
          <w:numId w:val="1025"/>
        </w:numPr>
      </w:pPr>
      <w:r>
        <w:rPr>
          <w:b/>
          <w:bCs/>
        </w:rPr>
        <w:t xml:space="preserve">Counterclaim:</w:t>
      </w:r>
      <w:r>
        <w:t xml:space="preserve"> </w:t>
      </w:r>
      <w:r>
        <w:t xml:space="preserve">add contractual interest at 1.5%/month (§ 4.3). Reconcile the PO list. Address the § 6.1 retention of title.</w:t>
      </w:r>
    </w:p>
    <w:p>
      <w:pPr>
        <w:pStyle w:val="Compact"/>
        <w:numPr>
          <w:ilvl w:val="0"/>
          <w:numId w:val="1025"/>
        </w:numPr>
      </w:pPr>
      <w:r>
        <w:rPr>
          <w:b/>
          <w:bCs/>
        </w:rPr>
        <w:t xml:space="preserve">Forum:</w:t>
      </w:r>
      <w:r>
        <w:t xml:space="preserve"> </w:t>
      </w:r>
      <w:r>
        <w:t xml:space="preserve">MSA § 14.4 designates the</w:t>
      </w:r>
      <w:r>
        <w:t xml:space="preserve"> </w:t>
      </w:r>
      <w:r>
        <w:rPr>
          <w:b/>
          <w:bCs/>
        </w:rPr>
        <w:t xml:space="preserve">Western Division</w:t>
      </w:r>
      <w:r>
        <w:t xml:space="preserve"> </w:t>
      </w:r>
      <w:r>
        <w:t xml:space="preserve">(Toledo), but the case sits in the Eastern Division. Hartwell admitted venue (Answer ¶5). An intra-district transfer under 28 U.S.C. § 1404(b) is still possible and would move the case closer to Hartwell’s witnesses and documents. Weigh the benefit against the risk of irritating the Court. (Separately, Belmont County is in the Southern District of Ohio, not the Northern District as the Complaint alleges. Venue remains proper because Hartwell resides in N.D. Ohio.)</w:t>
      </w:r>
    </w:p>
    <w:bookmarkEnd w:id="41"/>
    <w:bookmarkStart w:id="42" w:name="X41b8aef58ae9db68a0192978a5e05bb100adaf3"/>
    <w:p>
      <w:pPr>
        <w:pStyle w:val="Heading2"/>
      </w:pPr>
      <w:r>
        <w:t xml:space="preserve">B. Third-Party Claim Against Great Lakes Foundry Partners</w:t>
      </w:r>
    </w:p>
    <w:p>
      <w:pPr>
        <w:pStyle w:val="FirstParagraph"/>
      </w:pPr>
      <w:r>
        <w:t xml:space="preserve">Whitmore attributes both failure modes to the foundry, and every failed casting carries the GLF mark. Evaluate a Rule 14 third-party complaint for:</w:t>
      </w:r>
    </w:p>
    <w:p>
      <w:pPr>
        <w:pStyle w:val="Compact"/>
        <w:numPr>
          <w:ilvl w:val="0"/>
          <w:numId w:val="1026"/>
        </w:numPr>
      </w:pPr>
      <w:r>
        <w:t xml:space="preserve">breach of warranty and contract under the Hartwell–Great Lakes purchase terms (</w:t>
      </w:r>
      <w:r>
        <w:rPr>
          <w:b/>
          <w:bCs/>
        </w:rPr>
        <w:t xml:space="preserve">obtain the supply agreement, POs, and T&amp;Cs now</w:t>
      </w:r>
      <w:r>
        <w:t xml:space="preserve">);</w:t>
      </w:r>
    </w:p>
    <w:p>
      <w:pPr>
        <w:pStyle w:val="Compact"/>
        <w:numPr>
          <w:ilvl w:val="0"/>
          <w:numId w:val="1026"/>
        </w:numPr>
      </w:pPr>
      <w:r>
        <w:t xml:space="preserve">indemnity; and</w:t>
      </w:r>
    </w:p>
    <w:p>
      <w:pPr>
        <w:pStyle w:val="Compact"/>
        <w:numPr>
          <w:ilvl w:val="0"/>
          <w:numId w:val="1026"/>
        </w:numPr>
      </w:pPr>
      <w:r>
        <w:t xml:space="preserve">contribution.</w:t>
      </w:r>
    </w:p>
    <w:p>
      <w:pPr>
        <w:pStyle w:val="FirstParagraph"/>
      </w:pPr>
      <w:r>
        <w:t xml:space="preserve">The deadline is April 30, 2025. Considerations:</w:t>
      </w:r>
    </w:p>
    <w:p>
      <w:pPr>
        <w:pStyle w:val="Compact"/>
        <w:numPr>
          <w:ilvl w:val="0"/>
          <w:numId w:val="1027"/>
        </w:numPr>
      </w:pPr>
      <w:r>
        <w:rPr>
          <w:b/>
          <w:bCs/>
        </w:rPr>
        <w:t xml:space="preserve">For:</w:t>
      </w:r>
      <w:r>
        <w:t xml:space="preserve"> </w:t>
      </w:r>
      <w:r>
        <w:t xml:space="preserve">recovery, and an aligned co-target at trial.</w:t>
      </w:r>
    </w:p>
    <w:p>
      <w:pPr>
        <w:pStyle w:val="Compact"/>
        <w:numPr>
          <w:ilvl w:val="0"/>
          <w:numId w:val="1027"/>
        </w:numPr>
      </w:pPr>
      <w:r>
        <w:rPr>
          <w:b/>
          <w:bCs/>
        </w:rPr>
        <w:t xml:space="preserve">Against:</w:t>
      </w:r>
    </w:p>
    <w:p>
      <w:pPr>
        <w:pStyle w:val="Compact"/>
        <w:numPr>
          <w:ilvl w:val="1"/>
          <w:numId w:val="1028"/>
        </w:numPr>
      </w:pPr>
      <w:r>
        <w:t xml:space="preserve">Great Lakes will argue that Hartwell’s own incoming inspection and Exhibit D.3 NDE should have caught the defects.</w:t>
      </w:r>
    </w:p>
    <w:p>
      <w:pPr>
        <w:pStyle w:val="Compact"/>
        <w:numPr>
          <w:ilvl w:val="1"/>
          <w:numId w:val="1028"/>
        </w:numPr>
      </w:pPr>
      <w:r>
        <w:t xml:space="preserve">Great Lakes will seek the Ostrowski emails to show Hartwell knew.</w:t>
      </w:r>
    </w:p>
    <w:p>
      <w:pPr>
        <w:pStyle w:val="Compact"/>
        <w:numPr>
          <w:ilvl w:val="1"/>
          <w:numId w:val="1028"/>
        </w:numPr>
      </w:pPr>
      <w:r>
        <w:t xml:space="preserve">Joinder may complicate the schedule.</w:t>
      </w:r>
    </w:p>
    <w:p>
      <w:pPr>
        <w:pStyle w:val="FirstParagraph"/>
      </w:pPr>
      <w:r>
        <w:t xml:space="preserve">Tolling or standstill agreement as an alternative: pursue it now as a fallback.</w:t>
      </w:r>
    </w:p>
    <w:bookmarkEnd w:id="42"/>
    <w:bookmarkStart w:id="43" w:name="X183e8ff50947e5834cce00ccaa725af7b388241"/>
    <w:p>
      <w:pPr>
        <w:pStyle w:val="Heading2"/>
      </w:pPr>
      <w:r>
        <w:t xml:space="preserve">C. Margaret Liu — Privilege and Witness Issues</w:t>
      </w:r>
    </w:p>
    <w:p>
      <w:pPr>
        <w:pStyle w:val="FirstParagraph"/>
      </w:pPr>
      <w:r>
        <w:t xml:space="preserve">Ms. Liu wrote the April 22, 2024 letter. That letter relays the results of her consultation with the Director of Quality and asserts that Hartwell’s quality records show every valve passed. She also coordinated the joint inspection and issued the hold. Pinnacle may argue she is a fact witness and may seek discovery into the basis for the letter’s statements (at-issue waiver if Hartwell relies on her investigation).</w:t>
      </w:r>
    </w:p>
    <w:p>
      <w:pPr>
        <w:pStyle w:val="BodyText"/>
      </w:pPr>
      <w:r>
        <w:t xml:space="preserve">Recommendations:</w:t>
      </w:r>
    </w:p>
    <w:p>
      <w:pPr>
        <w:pStyle w:val="Compact"/>
        <w:numPr>
          <w:ilvl w:val="0"/>
          <w:numId w:val="1029"/>
        </w:numPr>
      </w:pPr>
    </w:p>
    <w:p>
      <w:pPr>
        <w:pStyle w:val="Compact"/>
        <w:numPr>
          <w:ilvl w:val="1"/>
          <w:numId w:val="1030"/>
        </w:numPr>
      </w:pPr>
      <w:r>
        <w:t xml:space="preserve">Don’t rely on the April 2024</w:t>
      </w:r>
      <w:r>
        <w:t xml:space="preserve"> </w:t>
      </w:r>
      <w:r>
        <w:t xml:space="preserve">“</w:t>
      </w:r>
      <w:r>
        <w:t xml:space="preserve">internal review</w:t>
      </w:r>
      <w:r>
        <w:t xml:space="preserve">”</w:t>
      </w:r>
      <w:r>
        <w:t xml:space="preserve"> </w:t>
      </w:r>
      <w:r>
        <w:t xml:space="preserve">as evidence of good faith.</w:t>
      </w:r>
    </w:p>
    <w:p>
      <w:pPr>
        <w:pStyle w:val="Compact"/>
        <w:numPr>
          <w:ilvl w:val="0"/>
          <w:numId w:val="1029"/>
        </w:numPr>
      </w:pPr>
    </w:p>
    <w:p>
      <w:pPr>
        <w:pStyle w:val="Compact"/>
        <w:numPr>
          <w:ilvl w:val="1"/>
          <w:numId w:val="1031"/>
        </w:numPr>
      </w:pPr>
      <w:r>
        <w:t xml:space="preserve">Log her communications carefully, separating business from legal roles.</w:t>
      </w:r>
    </w:p>
    <w:p>
      <w:pPr>
        <w:pStyle w:val="Compact"/>
        <w:numPr>
          <w:ilvl w:val="0"/>
          <w:numId w:val="1029"/>
        </w:numPr>
      </w:pPr>
    </w:p>
    <w:p>
      <w:pPr>
        <w:pStyle w:val="Compact"/>
        <w:numPr>
          <w:ilvl w:val="1"/>
          <w:numId w:val="1032"/>
        </w:numPr>
      </w:pPr>
      <w:r>
        <w:t xml:space="preserve">Plan to resist her deposition under the</w:t>
      </w:r>
      <w:r>
        <w:t xml:space="preserve"> </w:t>
      </w:r>
      <w:r>
        <w:rPr>
          <w:i/>
          <w:iCs/>
        </w:rPr>
        <w:t xml:space="preserve">Shelton</w:t>
      </w:r>
      <w:r>
        <w:t xml:space="preserve">-type standard for deposing opposing counsel. The Sixth Circuit applies it in</w:t>
      </w:r>
      <w:r>
        <w:t xml:space="preserve"> </w:t>
      </w:r>
      <w:r>
        <w:rPr>
          <w:i/>
          <w:iCs/>
        </w:rPr>
        <w:t xml:space="preserve">Nationwide Mut. Ins. Co. v. Home Ins. Co.</w:t>
      </w:r>
      <w:r>
        <w:t xml:space="preserve">, 278 F.3d 621 (6th Cir. 2002).</w:t>
      </w:r>
    </w:p>
    <w:p>
      <w:pPr>
        <w:pStyle w:val="Compact"/>
        <w:numPr>
          <w:ilvl w:val="0"/>
          <w:numId w:val="1029"/>
        </w:numPr>
      </w:pPr>
    </w:p>
    <w:p>
      <w:pPr>
        <w:pStyle w:val="Compact"/>
        <w:numPr>
          <w:ilvl w:val="1"/>
          <w:numId w:val="1033"/>
        </w:numPr>
      </w:pPr>
      <w:r>
        <w:t xml:space="preserve">Route all future preservation and collection communications through outside counsel.</w:t>
      </w:r>
    </w:p>
    <w:p>
      <w:pPr>
        <w:pStyle w:val="Compact"/>
        <w:numPr>
          <w:ilvl w:val="0"/>
          <w:numId w:val="1029"/>
        </w:numPr>
      </w:pPr>
    </w:p>
    <w:p>
      <w:pPr>
        <w:pStyle w:val="Compact"/>
        <w:numPr>
          <w:ilvl w:val="1"/>
          <w:numId w:val="1034"/>
        </w:numPr>
      </w:pPr>
      <w:r>
        <w:t xml:space="preserve">Consider whether Ms. Liu should stay on the cc line for strategy memoranda.</w:t>
      </w:r>
    </w:p>
    <w:bookmarkEnd w:id="43"/>
    <w:bookmarkStart w:id="44" w:name="d.-ostrowski"/>
    <w:p>
      <w:pPr>
        <w:pStyle w:val="Heading2"/>
      </w:pPr>
      <w:r>
        <w:t xml:space="preserve">D. Ostrowski</w:t>
      </w:r>
    </w:p>
    <w:p>
      <w:pPr>
        <w:pStyle w:val="FirstParagraph"/>
      </w:pPr>
      <w:r>
        <w:t xml:space="preserve">He is a current employee, a key fact witness, and his contemporaneous emails help Pinnacle.</w:t>
      </w:r>
    </w:p>
    <w:p>
      <w:pPr>
        <w:pStyle w:val="Compact"/>
        <w:numPr>
          <w:ilvl w:val="0"/>
          <w:numId w:val="1035"/>
        </w:numPr>
      </w:pPr>
      <w:r>
        <w:t xml:space="preserve">Interview him promptly, with Upjohn warnings.</w:t>
      </w:r>
    </w:p>
    <w:p>
      <w:pPr>
        <w:pStyle w:val="Compact"/>
        <w:numPr>
          <w:ilvl w:val="0"/>
          <w:numId w:val="1035"/>
        </w:numPr>
      </w:pPr>
      <w:r>
        <w:t xml:space="preserve">Collect his mailbox, any texts, and his photos.</w:t>
      </w:r>
    </w:p>
    <w:p>
      <w:pPr>
        <w:pStyle w:val="Compact"/>
        <w:numPr>
          <w:ilvl w:val="0"/>
          <w:numId w:val="1035"/>
        </w:numPr>
      </w:pPr>
      <w:r>
        <w:t xml:space="preserve">Make sure he suffers no adverse employment action. Any appearance of retaliation or witness influence would be very damaging.</w:t>
      </w:r>
    </w:p>
    <w:p>
      <w:pPr>
        <w:pStyle w:val="Compact"/>
        <w:numPr>
          <w:ilvl w:val="0"/>
          <w:numId w:val="1035"/>
        </w:numPr>
      </w:pPr>
      <w:r>
        <w:t xml:space="preserve">Find out whether he has spoken with Pinnacle or anyone outside Hartwell.</w:t>
      </w:r>
    </w:p>
    <w:p>
      <w:pPr>
        <w:pStyle w:val="Compact"/>
        <w:numPr>
          <w:ilvl w:val="0"/>
          <w:numId w:val="1035"/>
        </w:numPr>
      </w:pPr>
      <w:r>
        <w:t xml:space="preserve">Consider whether separate counsel for him is warranted.</w:t>
      </w:r>
    </w:p>
    <w:bookmarkEnd w:id="44"/>
    <w:bookmarkStart w:id="45" w:name="e.-initial-disclosures-due-feb.-24-2025"/>
    <w:p>
      <w:pPr>
        <w:pStyle w:val="Heading2"/>
      </w:pPr>
      <w:r>
        <w:t xml:space="preserve">E. Initial Disclosures (Due Feb. 24, 2025)</w:t>
      </w:r>
    </w:p>
    <w:p>
      <w:pPr>
        <w:pStyle w:val="Compact"/>
        <w:numPr>
          <w:ilvl w:val="0"/>
          <w:numId w:val="1036"/>
        </w:numPr>
      </w:pPr>
      <w:r>
        <w:rPr>
          <w:b/>
          <w:bCs/>
        </w:rPr>
        <w:t xml:space="preserve">Individuals likely to have discoverable information:</w:t>
      </w:r>
      <w:r>
        <w:t xml:space="preserve"> </w:t>
      </w:r>
      <w:r>
        <w:t xml:space="preserve">Brecker, Kowalski, Fenton, Ostrowski, the QA engineers, QA inspectors, the A/R lead, and G.T. Hartwell. Great Lakes personnel should also be listed, by category.</w:t>
      </w:r>
    </w:p>
    <w:p>
      <w:pPr>
        <w:pStyle w:val="Compact"/>
        <w:numPr>
          <w:ilvl w:val="0"/>
          <w:numId w:val="1036"/>
        </w:numPr>
      </w:pPr>
      <w:r>
        <w:rPr>
          <w:b/>
          <w:bCs/>
        </w:rPr>
        <w:t xml:space="preserve">Documents by category and location:</w:t>
      </w:r>
      <w:r>
        <w:t xml:space="preserve"> </w:t>
      </w:r>
      <w:r>
        <w:t xml:space="preserve">MSA/POs/invoices; SAP; QualTrack; QA binders; Microsoft 365; Great Lakes MTRs.</w:t>
      </w:r>
    </w:p>
    <w:p>
      <w:pPr>
        <w:pStyle w:val="Compact"/>
        <w:numPr>
          <w:ilvl w:val="0"/>
          <w:numId w:val="1036"/>
        </w:numPr>
      </w:pPr>
      <w:r>
        <w:rPr>
          <w:b/>
          <w:bCs/>
        </w:rPr>
        <w:t xml:space="preserve">Counterclaim damages computation:</w:t>
      </w:r>
      <w:r>
        <w:t xml:space="preserve"> </w:t>
      </w:r>
      <w:r>
        <w:t xml:space="preserve">$612,400 plus 1.5%/month interest from each due date.</w:t>
      </w:r>
    </w:p>
    <w:p>
      <w:pPr>
        <w:pStyle w:val="Compact"/>
        <w:numPr>
          <w:ilvl w:val="0"/>
          <w:numId w:val="1036"/>
        </w:numPr>
      </w:pPr>
      <w:r>
        <w:rPr>
          <w:b/>
          <w:bCs/>
        </w:rPr>
        <w:t xml:space="preserve">Insurance agreements:</w:t>
      </w:r>
      <w:r>
        <w:t xml:space="preserve"> </w:t>
      </w:r>
      <w:r>
        <w:t xml:space="preserve">the CGL and product liability policies under MSA § 18 must be disclosed under Rule 26(a)(1)(A)(iv). Confirm notice has been given.</w:t>
      </w:r>
    </w:p>
    <w:bookmarkEnd w:id="45"/>
    <w:bookmarkEnd w:id="46"/>
    <w:bookmarkStart w:id="47" w:name="X1946c41b48e8d3066753cad3c173615c32e5f5a"/>
    <w:p>
      <w:pPr>
        <w:pStyle w:val="Heading1"/>
      </w:pPr>
      <w:r>
        <w:t xml:space="preserve">X. Rule 26(f) Conference Agenda and Talking Points</w:t>
      </w:r>
    </w:p>
    <w:p>
      <w:pPr>
        <w:pStyle w:val="Compact"/>
        <w:numPr>
          <w:ilvl w:val="0"/>
          <w:numId w:val="1037"/>
        </w:numPr>
      </w:pPr>
      <w:r>
        <w:rPr>
          <w:b/>
          <w:bCs/>
        </w:rPr>
        <w:t xml:space="preserve">Nature of claims and defenses; settlement / ADR (Rule 26(f)(2); CMO § X):</w:t>
      </w:r>
    </w:p>
    <w:p>
      <w:pPr>
        <w:pStyle w:val="Compact"/>
        <w:numPr>
          <w:ilvl w:val="1"/>
          <w:numId w:val="1038"/>
        </w:numPr>
      </w:pPr>
      <w:r>
        <w:t xml:space="preserve">Propose early mediation after the core document exchange and joint specimen testing, around June–July 2025.</w:t>
      </w:r>
    </w:p>
    <w:p>
      <w:pPr>
        <w:pStyle w:val="Compact"/>
        <w:numPr>
          <w:ilvl w:val="1"/>
          <w:numId w:val="1038"/>
        </w:numPr>
      </w:pPr>
      <w:r>
        <w:t xml:space="preserve">Given the Ostrowski emails and the MSA terms, a realistic valuation should be prepared for the client before mediation.</w:t>
      </w:r>
    </w:p>
    <w:p>
      <w:pPr>
        <w:pStyle w:val="Compact"/>
        <w:numPr>
          <w:ilvl w:val="0"/>
          <w:numId w:val="1037"/>
        </w:numPr>
      </w:pPr>
      <w:r>
        <w:rPr>
          <w:b/>
          <w:bCs/>
        </w:rPr>
        <w:t xml:space="preserve">Hold confirmations and ESI source lists:</w:t>
      </w:r>
      <w:r>
        <w:t xml:space="preserve"> </w:t>
      </w:r>
      <w:r>
        <w:t xml:space="preserve">exchange them. Ask for Pinnacle’s own hold date and scope, including Marsh’s phone, SCADA data, and the physical specimens.</w:t>
      </w:r>
    </w:p>
    <w:p>
      <w:pPr>
        <w:pStyle w:val="Compact"/>
        <w:numPr>
          <w:ilvl w:val="0"/>
          <w:numId w:val="1037"/>
        </w:numPr>
      </w:pPr>
      <w:r>
        <w:rPr>
          <w:b/>
          <w:bCs/>
        </w:rPr>
        <w:t xml:space="preserve">Initial disclosures:</w:t>
      </w:r>
      <w:r>
        <w:t xml:space="preserve"> </w:t>
      </w:r>
      <w:r>
        <w:t xml:space="preserve">confirm February 24, and confirm Rule 26(a)(1)(A)(iii) damages computations with documents.</w:t>
      </w:r>
    </w:p>
    <w:p>
      <w:pPr>
        <w:pStyle w:val="Compact"/>
        <w:numPr>
          <w:ilvl w:val="0"/>
          <w:numId w:val="1037"/>
        </w:numPr>
      </w:pPr>
      <w:r>
        <w:rPr>
          <w:b/>
          <w:bCs/>
        </w:rPr>
        <w:t xml:space="preserve">Phasing:</w:t>
      </w:r>
      <w:r>
        <w:t xml:space="preserve"> </w:t>
      </w:r>
      <w:r>
        <w:t xml:space="preserve">present the Part IV alternative.</w:t>
      </w:r>
    </w:p>
    <w:p>
      <w:pPr>
        <w:pStyle w:val="Compact"/>
        <w:numPr>
          <w:ilvl w:val="0"/>
          <w:numId w:val="1037"/>
        </w:numPr>
      </w:pPr>
      <w:r>
        <w:rPr>
          <w:b/>
          <w:bCs/>
        </w:rPr>
        <w:t xml:space="preserve">ESI protocol:</w:t>
      </w:r>
      <w:r>
        <w:t xml:space="preserve"> </w:t>
      </w:r>
      <w:r>
        <w:t xml:space="preserve">go through the Part VIII terms and flag QualTrack openly. Offer a data dictionary and demonstration.</w:t>
      </w:r>
    </w:p>
    <w:p>
      <w:pPr>
        <w:pStyle w:val="Compact"/>
        <w:numPr>
          <w:ilvl w:val="0"/>
          <w:numId w:val="1037"/>
        </w:numPr>
      </w:pPr>
      <w:r>
        <w:rPr>
          <w:b/>
          <w:bCs/>
        </w:rPr>
        <w:t xml:space="preserve">Physical evidence protocol:</w:t>
      </w:r>
      <w:r>
        <w:t xml:space="preserve"> </w:t>
      </w:r>
      <w:r>
        <w:t xml:space="preserve">a top priority. Get agreement on the status quo for all 48 valves and the specimens.</w:t>
      </w:r>
    </w:p>
    <w:p>
      <w:pPr>
        <w:pStyle w:val="Compact"/>
        <w:numPr>
          <w:ilvl w:val="0"/>
          <w:numId w:val="1037"/>
        </w:numPr>
      </w:pPr>
      <w:r>
        <w:rPr>
          <w:b/>
          <w:bCs/>
        </w:rPr>
        <w:t xml:space="preserve">Limits:</w:t>
      </w:r>
      <w:r>
        <w:t xml:space="preserve"> </w:t>
      </w:r>
      <w:r>
        <w:t xml:space="preserve">25 interrogatories; 10 depositions (experts excluded; 30(b)(6) counting). No limit on requests for production, subject to proportionality. Consider proposing 30 requests for admission per side.</w:t>
      </w:r>
    </w:p>
    <w:p>
      <w:pPr>
        <w:pStyle w:val="Compact"/>
        <w:numPr>
          <w:ilvl w:val="0"/>
          <w:numId w:val="1037"/>
        </w:numPr>
      </w:pPr>
      <w:r>
        <w:rPr>
          <w:b/>
          <w:bCs/>
        </w:rPr>
        <w:t xml:space="preserve">Privilege, Rule 502(d), protective order:</w:t>
      </w:r>
      <w:r>
        <w:t xml:space="preserve"> </w:t>
      </w:r>
      <w:r>
        <w:t xml:space="preserve">exchange drafts no later than February 14.</w:t>
      </w:r>
    </w:p>
    <w:p>
      <w:pPr>
        <w:pStyle w:val="Compact"/>
        <w:numPr>
          <w:ilvl w:val="0"/>
          <w:numId w:val="1037"/>
        </w:numPr>
      </w:pPr>
      <w:r>
        <w:rPr>
          <w:b/>
          <w:bCs/>
        </w:rPr>
        <w:t xml:space="preserve">Third-party discovery and joinder:</w:t>
      </w:r>
      <w:r>
        <w:t xml:space="preserve"> </w:t>
      </w:r>
      <w:r>
        <w:t xml:space="preserve">notify Pinnacle of the planned Great Lakes subpoena and reserve the right to bring a Rule 14 claim.</w:t>
      </w:r>
    </w:p>
    <w:p>
      <w:pPr>
        <w:pStyle w:val="Compact"/>
        <w:numPr>
          <w:ilvl w:val="0"/>
          <w:numId w:val="1037"/>
        </w:numPr>
      </w:pPr>
      <w:r>
        <w:rPr>
          <w:b/>
          <w:bCs/>
        </w:rPr>
        <w:t xml:space="preserve">Expert discovery:</w:t>
      </w:r>
      <w:r>
        <w:t xml:space="preserve"> </w:t>
      </w:r>
      <w:r>
        <w:t xml:space="preserve">confirm draft-report and communication protections under Rule 26(b)(4). Confirm that testing data underlying reports will be produced.</w:t>
      </w:r>
    </w:p>
    <w:p>
      <w:pPr>
        <w:pStyle w:val="Compact"/>
        <w:numPr>
          <w:ilvl w:val="0"/>
          <w:numId w:val="1037"/>
        </w:numPr>
      </w:pPr>
      <w:r>
        <w:rPr>
          <w:b/>
          <w:bCs/>
        </w:rPr>
        <w:t xml:space="preserve">Disputes:</w:t>
      </w:r>
      <w:r>
        <w:t xml:space="preserve"> </w:t>
      </w:r>
      <w:r>
        <w:t xml:space="preserve">agree to use the Court’s informal telephonic conference procedure (CMO § XII) before motions.</w:t>
      </w:r>
    </w:p>
    <w:p>
      <w:pPr>
        <w:pStyle w:val="FirstParagraph"/>
      </w:pPr>
      <w:r>
        <w:rPr>
          <w:b/>
          <w:bCs/>
        </w:rPr>
        <w:t xml:space="preserve">Things we should not agree to:</w:t>
      </w:r>
    </w:p>
    <w:p>
      <w:pPr>
        <w:pStyle w:val="Compact"/>
        <w:numPr>
          <w:ilvl w:val="0"/>
          <w:numId w:val="1039"/>
        </w:numPr>
      </w:pPr>
      <w:r>
        <w:t xml:space="preserve">a stipulation that the 19 UT-indicated valves are</w:t>
      </w:r>
      <w:r>
        <w:t xml:space="preserve"> </w:t>
      </w:r>
      <w:r>
        <w:t xml:space="preserve">“</w:t>
      </w:r>
      <w:r>
        <w:t xml:space="preserve">defective</w:t>
      </w:r>
      <w:r>
        <w:t xml:space="preserve">”</w:t>
      </w:r>
      <w:r>
        <w:t xml:space="preserve">;</w:t>
      </w:r>
    </w:p>
    <w:p>
      <w:pPr>
        <w:pStyle w:val="Compact"/>
        <w:numPr>
          <w:ilvl w:val="0"/>
          <w:numId w:val="1039"/>
        </w:numPr>
      </w:pPr>
      <w:r>
        <w:t xml:space="preserve">any concession on the date the preservation duty arose;</w:t>
      </w:r>
    </w:p>
    <w:p>
      <w:pPr>
        <w:pStyle w:val="Compact"/>
        <w:numPr>
          <w:ilvl w:val="0"/>
          <w:numId w:val="1039"/>
        </w:numPr>
      </w:pPr>
      <w:r>
        <w:t xml:space="preserve">open-ended</w:t>
      </w:r>
      <w:r>
        <w:t xml:space="preserve"> </w:t>
      </w:r>
      <w:r>
        <w:t xml:space="preserve">“</w:t>
      </w:r>
      <w:r>
        <w:t xml:space="preserve">all HV-4400 customers</w:t>
      </w:r>
      <w:r>
        <w:t xml:space="preserve">”</w:t>
      </w:r>
      <w:r>
        <w:t xml:space="preserve"> </w:t>
      </w:r>
      <w:r>
        <w:t xml:space="preserve">discovery;</w:t>
      </w:r>
    </w:p>
    <w:p>
      <w:pPr>
        <w:pStyle w:val="Compact"/>
        <w:numPr>
          <w:ilvl w:val="0"/>
          <w:numId w:val="1039"/>
        </w:numPr>
      </w:pPr>
      <w:r>
        <w:t xml:space="preserve">Pinnacle’s reading of § 12 as limited to consequential damages. Reserve our position that § 12.2 is an aggregate cap.</w:t>
      </w:r>
    </w:p>
    <w:bookmarkEnd w:id="47"/>
    <w:bookmarkStart w:id="48" w:name="xi.-immediate-next-steps-owner-date"/>
    <w:p>
      <w:pPr>
        <w:pStyle w:val="Heading1"/>
      </w:pPr>
      <w:r>
        <w:t xml:space="preserve">XI. Immediate Next Steps (Owner / Date)</w:t>
      </w:r>
    </w:p>
    <w:p>
      <w:pPr>
        <w:pStyle w:val="Compact"/>
        <w:numPr>
          <w:ilvl w:val="0"/>
          <w:numId w:val="1040"/>
        </w:numPr>
      </w:pPr>
      <w:r>
        <w:t xml:space="preserve">Confirm completion of Part III.C items 1–10 — R. Tsai / vendor —</w:t>
      </w:r>
      <w:r>
        <w:t xml:space="preserve"> </w:t>
      </w:r>
      <w:r>
        <w:rPr>
          <w:b/>
          <w:bCs/>
        </w:rPr>
        <w:t xml:space="preserve">Feb. 3</w:t>
      </w:r>
      <w:r>
        <w:t xml:space="preserve">.</w:t>
      </w:r>
    </w:p>
    <w:p>
      <w:pPr>
        <w:pStyle w:val="Compact"/>
        <w:numPr>
          <w:ilvl w:val="0"/>
          <w:numId w:val="1040"/>
        </w:numPr>
      </w:pPr>
      <w:r>
        <w:t xml:space="preserve">Pull all 14 POs, order acknowledgments, and Exhibit D.3 NDE and hardness records for the 48 serials; brief the partner on the WCB versus WC6/WC9 question — R. Tsai —</w:t>
      </w:r>
      <w:r>
        <w:t xml:space="preserve"> </w:t>
      </w:r>
      <w:r>
        <w:rPr>
          <w:b/>
          <w:bCs/>
        </w:rPr>
        <w:t xml:space="preserve">Feb. 3</w:t>
      </w:r>
      <w:r>
        <w:t xml:space="preserve">.</w:t>
      </w:r>
    </w:p>
    <w:p>
      <w:pPr>
        <w:pStyle w:val="Compact"/>
        <w:numPr>
          <w:ilvl w:val="0"/>
          <w:numId w:val="1040"/>
        </w:numPr>
      </w:pPr>
      <w:r>
        <w:t xml:space="preserve">Interview Ostrowski, Kowalski, Fenton, and Brecker (Upjohn) — N. Calloway / R. Tsai —</w:t>
      </w:r>
      <w:r>
        <w:t xml:space="preserve"> </w:t>
      </w:r>
      <w:r>
        <w:rPr>
          <w:b/>
          <w:bCs/>
        </w:rPr>
        <w:t xml:space="preserve">by Feb. 7</w:t>
      </w:r>
      <w:r>
        <w:t xml:space="preserve">.</w:t>
      </w:r>
    </w:p>
    <w:p>
      <w:pPr>
        <w:pStyle w:val="Compact"/>
        <w:numPr>
          <w:ilvl w:val="0"/>
          <w:numId w:val="1040"/>
        </w:numPr>
      </w:pPr>
      <w:r>
        <w:t xml:space="preserve">Draft the CMO § IV hold letter and § V.B ESI source list — R. Tsai —</w:t>
      </w:r>
      <w:r>
        <w:t xml:space="preserve"> </w:t>
      </w:r>
      <w:r>
        <w:rPr>
          <w:b/>
          <w:bCs/>
        </w:rPr>
        <w:t xml:space="preserve">Feb. 5</w:t>
      </w:r>
      <w:r>
        <w:t xml:space="preserve">.</w:t>
      </w:r>
    </w:p>
    <w:p>
      <w:pPr>
        <w:pStyle w:val="Compact"/>
        <w:numPr>
          <w:ilvl w:val="0"/>
          <w:numId w:val="1040"/>
        </w:numPr>
      </w:pPr>
      <w:r>
        <w:t xml:space="preserve">Circulate drafts of the protective order, Rule 502(d) order, and ESI protocol to Pinnacle —</w:t>
      </w:r>
      <w:r>
        <w:t xml:space="preserve"> </w:t>
      </w:r>
      <w:r>
        <w:rPr>
          <w:b/>
          <w:bCs/>
        </w:rPr>
        <w:t xml:space="preserve">Feb. 7</w:t>
      </w:r>
      <w:r>
        <w:t xml:space="preserve">.</w:t>
      </w:r>
    </w:p>
    <w:p>
      <w:pPr>
        <w:pStyle w:val="Compact"/>
        <w:numPr>
          <w:ilvl w:val="0"/>
          <w:numId w:val="1040"/>
        </w:numPr>
      </w:pPr>
      <w:r>
        <w:t xml:space="preserve">Run internal search-term hit reports — vendor —</w:t>
      </w:r>
      <w:r>
        <w:t xml:space="preserve"> </w:t>
      </w:r>
      <w:r>
        <w:rPr>
          <w:b/>
          <w:bCs/>
        </w:rPr>
        <w:t xml:space="preserve">Feb. 7</w:t>
      </w:r>
      <w:r>
        <w:t xml:space="preserve">.</w:t>
      </w:r>
    </w:p>
    <w:p>
      <w:pPr>
        <w:pStyle w:val="Compact"/>
        <w:numPr>
          <w:ilvl w:val="0"/>
          <w:numId w:val="1040"/>
        </w:numPr>
      </w:pPr>
      <w:r>
        <w:t xml:space="preserve">Retain metallurgy, NDE, and damages experts — N. Calloway —</w:t>
      </w:r>
      <w:r>
        <w:t xml:space="preserve"> </w:t>
      </w:r>
      <w:r>
        <w:rPr>
          <w:b/>
          <w:bCs/>
        </w:rPr>
        <w:t xml:space="preserve">Feb. 14</w:t>
      </w:r>
      <w:r>
        <w:t xml:space="preserve">.</w:t>
      </w:r>
    </w:p>
    <w:p>
      <w:pPr>
        <w:pStyle w:val="Compact"/>
        <w:numPr>
          <w:ilvl w:val="0"/>
          <w:numId w:val="1040"/>
        </w:numPr>
      </w:pPr>
      <w:r>
        <w:t xml:space="preserve">Obtain the Great Lakes supply agreement; send notice and a tolling proposal — M. Liu / CSV —</w:t>
      </w:r>
      <w:r>
        <w:t xml:space="preserve"> </w:t>
      </w:r>
      <w:r>
        <w:rPr>
          <w:b/>
          <w:bCs/>
        </w:rPr>
        <w:t xml:space="preserve">Feb. 14</w:t>
      </w:r>
      <w:r>
        <w:t xml:space="preserve">.</w:t>
      </w:r>
    </w:p>
    <w:p>
      <w:pPr>
        <w:pStyle w:val="Compact"/>
        <w:numPr>
          <w:ilvl w:val="0"/>
          <w:numId w:val="1040"/>
        </w:numPr>
      </w:pPr>
      <w:r>
        <w:t xml:space="preserve">Decide on Answer amendments, the Great Lakes third-party claim, and § 1404(b) — partner decision —</w:t>
      </w:r>
      <w:r>
        <w:t xml:space="preserve"> </w:t>
      </w:r>
      <w:r>
        <w:rPr>
          <w:b/>
          <w:bCs/>
        </w:rPr>
        <w:t xml:space="preserve">by Mar. 31</w:t>
      </w:r>
      <w:r>
        <w:t xml:space="preserve"> </w:t>
      </w:r>
      <w:r>
        <w:t xml:space="preserve">(filing by Apr. 30).</w:t>
      </w:r>
    </w:p>
    <w:p>
      <w:pPr>
        <w:pStyle w:val="Compact"/>
        <w:numPr>
          <w:ilvl w:val="0"/>
          <w:numId w:val="1040"/>
        </w:numPr>
      </w:pPr>
      <w:r>
        <w:t xml:space="preserve">Prepare the joint Rule 26(f) report, initial disclosures, and final ESI protocol —</w:t>
      </w:r>
      <w:r>
        <w:t xml:space="preserve"> </w:t>
      </w:r>
      <w:r>
        <w:rPr>
          <w:b/>
          <w:bCs/>
        </w:rPr>
        <w:t xml:space="preserve">Feb. 24</w:t>
      </w:r>
      <w:r>
        <w:t xml:space="preserve">.</w:t>
      </w:r>
    </w:p>
    <w:p>
      <w:pPr>
        <w:pStyle w:val="FirstParagraph"/>
      </w:pPr>
      <w:r>
        <w:rPr>
          <w:i/>
          <w:iCs/>
        </w:rPr>
        <w:t xml:space="preserve">This memorandum reflects counsel’s mental impressions and is prepared in anticipation of litigation. Do not forward outside the litigation team and the client’s legal department. Legal standards cited here, including Ohio case law on fraud exceptions to limitation clauses, the economic loss doctrine as applied to negligent misrepresentation, and punitive damages caps, should be confirmed before any filing.</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2026-09-27T00:46:25Z</dcterms:created>
  <dcterms:modified xsi:type="dcterms:W3CDTF">2026-09-27T00:46:25Z</dcterms:modified>
</cp:coreProperties>
</file>

<file path=docProps/custom.xml><?xml version="1.0" encoding="utf-8"?>
<Properties xmlns="http://schemas.openxmlformats.org/officeDocument/2006/custom-properties" xmlns:vt="http://schemas.openxmlformats.org/officeDocument/2006/docPropsVTypes"/>
</file>