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6"/>
        </w:rPr>
        <w:t>ATTORNEY WORK PRODUCT</w:t>
      </w:r>
    </w:p>
    <w:p>
      <w:pPr>
        <w:spacing w:after="160"/>
        <w:jc w:val="center"/>
      </w:pPr>
      <w:r>
        <w:rPr>
          <w:rFonts w:ascii="Times New Roman" w:hAnsi="Times New Roman"/>
          <w:b/>
          <w:i w:val="0"/>
          <w:sz w:val="22"/>
        </w:rPr>
        <w:t>PRIVILEGED AND CONFIDENTIAL</w:t>
      </w:r>
    </w:p>
    <w:p>
      <w:pPr>
        <w:spacing w:after="160"/>
        <w:jc w:val="center"/>
      </w:pPr>
      <w:r>
        <w:rPr>
          <w:rFonts w:ascii="Times New Roman" w:hAnsi="Times New Roman"/>
          <w:b/>
          <w:i w:val="0"/>
          <w:sz w:val="30"/>
        </w:rPr>
        <w:t>FILING-ISSUES MEMORANDUM</w:t>
      </w:r>
    </w:p>
    <w:tbl>
      <w:tblPr>
        <w:tblW w:type="auto" w:w="0"/>
        <w:jc w:val="left"/>
        <w:tblLayout w:type="fixed"/>
        <w:tblLook w:firstColumn="1" w:firstRow="1" w:lastColumn="0" w:lastRow="0" w:noHBand="0" w:noVBand="1" w:val="04A0"/>
      </w:tblPr>
      <w:tblGrid>
        <w:gridCol w:w="1152"/>
        <w:gridCol w:w="8496"/>
      </w:tblGrid>
      <w:tr>
        <w:tc>
          <w:tcPr>
            <w:tcW w:type="dxa" w:w="4680"/>
            <w:tcBorders>
              <w:top w:val="nil"/>
              <w:left w:val="nil"/>
              <w:bottom w:val="nil"/>
              <w:right w:val="nil"/>
              <w:insideH w:val="nil"/>
              <w:insideV w:val="nil"/>
            </w:tcBorders>
            <w:tcMar>
              <w:top w:w="20" w:type="dxa"/>
              <w:start w:w="40" w:type="dxa"/>
              <w:bottom w:w="20" w:type="dxa"/>
              <w:end w:w="40" w:type="dxa"/>
            </w:tcMar>
          </w:tcPr>
          <w:p>
            <w:pPr>
              <w:spacing w:line="240" w:lineRule="auto" w:after="0"/>
            </w:pPr>
            <w:r/>
            <w:r>
              <w:rPr>
                <w:rFonts w:ascii="Times New Roman" w:hAnsi="Times New Roman"/>
                <w:b/>
                <w:sz w:val="21"/>
              </w:rPr>
              <w:t>TO:</w:t>
            </w:r>
          </w:p>
        </w:tc>
        <w:tc>
          <w:tcPr>
            <w:tcW w:type="dxa" w:w="4680"/>
            <w:tcBorders>
              <w:top w:val="nil"/>
              <w:left w:val="nil"/>
              <w:bottom w:val="nil"/>
              <w:right w:val="nil"/>
              <w:insideH w:val="nil"/>
              <w:insideV w:val="nil"/>
            </w:tcBorders>
            <w:tcMar>
              <w:top w:w="20" w:type="dxa"/>
              <w:start w:w="40" w:type="dxa"/>
              <w:bottom w:w="20" w:type="dxa"/>
              <w:end w:w="40" w:type="dxa"/>
            </w:tcMar>
          </w:tcPr>
          <w:p>
            <w:pPr>
              <w:spacing w:line="240" w:lineRule="auto" w:after="0"/>
            </w:pPr>
            <w:r/>
            <w:r>
              <w:rPr>
                <w:rFonts w:ascii="Times New Roman" w:hAnsi="Times New Roman"/>
                <w:sz w:val="21"/>
              </w:rPr>
              <w:t>Catherine M. Aldridge, Partner</w:t>
            </w:r>
          </w:p>
        </w:tc>
      </w:tr>
      <w:tr>
        <w:tc>
          <w:tcPr>
            <w:tcW w:type="dxa" w:w="4680"/>
            <w:tcBorders>
              <w:top w:val="nil"/>
              <w:left w:val="nil"/>
              <w:bottom w:val="nil"/>
              <w:right w:val="nil"/>
              <w:insideH w:val="nil"/>
              <w:insideV w:val="nil"/>
            </w:tcBorders>
            <w:tcMar>
              <w:top w:w="20" w:type="dxa"/>
              <w:start w:w="40" w:type="dxa"/>
              <w:bottom w:w="20" w:type="dxa"/>
              <w:end w:w="40" w:type="dxa"/>
            </w:tcMar>
          </w:tcPr>
          <w:p>
            <w:pPr>
              <w:spacing w:line="240" w:lineRule="auto" w:after="0"/>
            </w:pPr>
            <w:r/>
            <w:r>
              <w:rPr>
                <w:rFonts w:ascii="Times New Roman" w:hAnsi="Times New Roman"/>
                <w:b/>
                <w:sz w:val="21"/>
              </w:rPr>
              <w:t>FROM:</w:t>
            </w:r>
          </w:p>
        </w:tc>
        <w:tc>
          <w:tcPr>
            <w:tcW w:type="dxa" w:w="4680"/>
            <w:tcBorders>
              <w:top w:val="nil"/>
              <w:left w:val="nil"/>
              <w:bottom w:val="nil"/>
              <w:right w:val="nil"/>
              <w:insideH w:val="nil"/>
              <w:insideV w:val="nil"/>
            </w:tcBorders>
            <w:tcMar>
              <w:top w:w="20" w:type="dxa"/>
              <w:start w:w="40" w:type="dxa"/>
              <w:bottom w:w="20" w:type="dxa"/>
              <w:end w:w="40" w:type="dxa"/>
            </w:tcMar>
          </w:tcPr>
          <w:p>
            <w:pPr>
              <w:spacing w:line="240" w:lineRule="auto" w:after="0"/>
            </w:pPr>
            <w:r/>
            <w:r>
              <w:rPr>
                <w:rFonts w:ascii="Times New Roman" w:hAnsi="Times New Roman"/>
                <w:sz w:val="21"/>
              </w:rPr>
              <w:t>Jordan T. Nakamura, Associate</w:t>
            </w:r>
          </w:p>
        </w:tc>
      </w:tr>
      <w:tr>
        <w:tc>
          <w:tcPr>
            <w:tcW w:type="dxa" w:w="4680"/>
            <w:tcBorders>
              <w:top w:val="nil"/>
              <w:left w:val="nil"/>
              <w:bottom w:val="nil"/>
              <w:right w:val="nil"/>
              <w:insideH w:val="nil"/>
              <w:insideV w:val="nil"/>
            </w:tcBorders>
            <w:tcMar>
              <w:top w:w="20" w:type="dxa"/>
              <w:start w:w="40" w:type="dxa"/>
              <w:bottom w:w="20" w:type="dxa"/>
              <w:end w:w="40" w:type="dxa"/>
            </w:tcMar>
          </w:tcPr>
          <w:p>
            <w:pPr>
              <w:spacing w:line="240" w:lineRule="auto" w:after="0"/>
            </w:pPr>
            <w:r/>
            <w:r>
              <w:rPr>
                <w:rFonts w:ascii="Times New Roman" w:hAnsi="Times New Roman"/>
                <w:b/>
                <w:sz w:val="21"/>
              </w:rPr>
              <w:t>DATE:</w:t>
            </w:r>
          </w:p>
        </w:tc>
        <w:tc>
          <w:tcPr>
            <w:tcW w:type="dxa" w:w="4680"/>
            <w:tcBorders>
              <w:top w:val="nil"/>
              <w:left w:val="nil"/>
              <w:bottom w:val="nil"/>
              <w:right w:val="nil"/>
              <w:insideH w:val="nil"/>
              <w:insideV w:val="nil"/>
            </w:tcBorders>
            <w:tcMar>
              <w:top w:w="20" w:type="dxa"/>
              <w:start w:w="40" w:type="dxa"/>
              <w:bottom w:w="20" w:type="dxa"/>
              <w:end w:w="40" w:type="dxa"/>
            </w:tcMar>
          </w:tcPr>
          <w:p>
            <w:pPr>
              <w:spacing w:line="240" w:lineRule="auto" w:after="0"/>
            </w:pPr>
            <w:r/>
            <w:r>
              <w:rPr>
                <w:rFonts w:ascii="Times New Roman" w:hAnsi="Times New Roman"/>
                <w:sz w:val="21"/>
              </w:rPr>
              <w:t>August 6, 2024</w:t>
            </w:r>
          </w:p>
        </w:tc>
      </w:tr>
      <w:tr>
        <w:tc>
          <w:tcPr>
            <w:tcW w:type="dxa" w:w="4680"/>
            <w:tcBorders>
              <w:top w:val="nil"/>
              <w:left w:val="nil"/>
              <w:bottom w:val="nil"/>
              <w:right w:val="nil"/>
              <w:insideH w:val="nil"/>
              <w:insideV w:val="nil"/>
            </w:tcBorders>
            <w:tcMar>
              <w:top w:w="20" w:type="dxa"/>
              <w:start w:w="40" w:type="dxa"/>
              <w:bottom w:w="20" w:type="dxa"/>
              <w:end w:w="40" w:type="dxa"/>
            </w:tcMar>
          </w:tcPr>
          <w:p>
            <w:pPr>
              <w:spacing w:line="240" w:lineRule="auto" w:after="0"/>
            </w:pPr>
            <w:r/>
            <w:r>
              <w:rPr>
                <w:rFonts w:ascii="Times New Roman" w:hAnsi="Times New Roman"/>
                <w:b/>
                <w:sz w:val="21"/>
              </w:rPr>
              <w:t>RE:</w:t>
            </w:r>
          </w:p>
        </w:tc>
        <w:tc>
          <w:tcPr>
            <w:tcW w:type="dxa" w:w="4680"/>
            <w:tcBorders>
              <w:top w:val="nil"/>
              <w:left w:val="nil"/>
              <w:bottom w:val="nil"/>
              <w:right w:val="nil"/>
              <w:insideH w:val="nil"/>
              <w:insideV w:val="nil"/>
            </w:tcBorders>
            <w:tcMar>
              <w:top w:w="20" w:type="dxa"/>
              <w:start w:w="40" w:type="dxa"/>
              <w:bottom w:w="20" w:type="dxa"/>
              <w:end w:w="40" w:type="dxa"/>
            </w:tcMar>
          </w:tcPr>
          <w:p>
            <w:pPr>
              <w:spacing w:line="240" w:lineRule="auto" w:after="0"/>
            </w:pPr>
            <w:r/>
            <w:r>
              <w:rPr>
                <w:rFonts w:ascii="Times New Roman" w:hAnsi="Times New Roman"/>
                <w:sz w:val="21"/>
              </w:rPr>
              <w:t>Proposed federal complaint — Westlake Capital Partners LLC v. Graydon Strategic Advisors Inc., et al.</w:t>
            </w:r>
          </w:p>
        </w:tc>
      </w:tr>
    </w:tbl>
    <w:p>
      <w:pPr>
        <w:spacing w:after="20"/>
      </w:pPr>
      <w:r>
        <w:rPr>
          <w:rFonts w:ascii="Times New Roman" w:hAnsi="Times New Roman"/>
          <w:b w:val="0"/>
          <w:i w:val="0"/>
        </w:rPr>
      </w:r>
    </w:p>
    <w:p>
      <w:pPr>
        <w:pStyle w:val="Heading1"/>
        <w:ind w:firstLine="0"/>
      </w:pPr>
      <w:r>
        <w:t>BOTTOM LINE</w:t>
      </w:r>
    </w:p>
    <w:p>
      <w:r>
        <w:rPr>
          <w:rFonts w:ascii="Times New Roman" w:hAnsi="Times New Roman"/>
          <w:b w:val="0"/>
          <w:i w:val="0"/>
        </w:rPr>
        <w:t>The proposed complaint pleads four state-law theories arising from the PAA, the undisclosed GCS–Ridgecrest fee arrangement, three investor diversions, and three milestone certifications. The strongest present case is against Graydon Strategic for breach of the PAA and fraud based on the specific written certifications and $750,000 in payments. Trevor’s documented personal acts support a carefully limited personal fraud/participation theory. GCS is a possible restitution defendant, but it is not a PAA party and its receipt of the estimated fee has not been verified.</w:t>
      </w:r>
    </w:p>
    <w:p>
      <w:r>
        <w:rPr>
          <w:rFonts w:ascii="Times New Roman" w:hAnsi="Times New Roman"/>
          <w:b w:val="0"/>
          <w:i w:val="0"/>
        </w:rPr>
        <w:t>The draft is intentionally marked NOT FILE-READY. The largest gate is diversity: the source materials do not provide the citizenship of every member of Westlake, the domicile of Trevor, or a complete confirmation of GCS’s members. An LLC’s formation state and principal office do not establish its diversity citizenship. Personal jurisdiction over the non-signatory defendants and standing to claim Fund III management fees/carry also need to be confirmed. If those matters cannot be supported, narrow the defendants and/or damages theories or file in an appropriate Texas state court; the PAA’s forum clause cannot create federal subject-matter jurisdiction.</w:t>
      </w:r>
    </w:p>
    <w:p>
      <w:pPr>
        <w:pStyle w:val="Heading1"/>
        <w:ind w:firstLine="0"/>
      </w:pPr>
      <w:r>
        <w:t>1. JURISDICTION, CITIZENSHIP, AND VENUE — HARD FILING GATES</w:t>
      </w:r>
    </w:p>
    <w:p>
      <w:pPr>
        <w:pStyle w:val="Heading2"/>
        <w:ind w:firstLine="0"/>
      </w:pPr>
      <w:r>
        <w:t>A. Diversity citizenship must be established for every party</w:t>
      </w:r>
    </w:p>
    <w:p>
      <w:pPr>
        <w:pStyle w:val="ListBullet"/>
        <w:keepLines/>
        <w:ind w:left="504" w:hanging="259"/>
      </w:pPr>
      <w:r>
        <w:t>Westlake is a Delaware LLC with a Dallas principal office. Under 28 U.S.C. § 1332, it is a citizen of every state of citizenship of each member, tracing citizenship through any entity members. The intake memorandum’s statement that Westlake is a citizen of Delaware and Texas based on formation and principal place of business is not a sufficient LLC citizenship allegation. Obtain the full membership ledger/operating agreement, identify every member as of filing, and trace each upstream entity until all citizenship is known. Confirm whether Harwell and Rosario-Vega are the only members; “two managing members” does not establish that they are the only members or their domicile.</w:t>
      </w:r>
    </w:p>
    <w:p>
      <w:pPr>
        <w:pStyle w:val="ListBullet"/>
        <w:keepLines/>
        <w:ind w:left="504" w:hanging="259"/>
      </w:pPr>
      <w:r>
        <w:t>Graydon Strategic’s corporate citizenship is New York (incorporation and principal place of business) based on the supplied facts. Confirm the principal place of business/current corporate status for the filing date.</w:t>
      </w:r>
    </w:p>
    <w:p>
      <w:pPr>
        <w:pStyle w:val="ListBullet"/>
        <w:keepLines/>
        <w:ind w:left="504" w:hanging="259"/>
      </w:pPr>
      <w:r>
        <w:t>GCS is a Delaware LLC; its citizenship is the citizenship of each member. Millhaven reports Trevor is its sole member and manager, but obtain the operating agreement, current member schedule, and any indirect ownership facts. If Trevor is the sole member, GCS shares Trevor’s state citizenship.</w:t>
      </w:r>
    </w:p>
    <w:p>
      <w:pPr>
        <w:pStyle w:val="ListBullet"/>
        <w:keepLines/>
        <w:ind w:left="504" w:hanging="259"/>
      </w:pPr>
      <w:r>
        <w:t>Trevor’s state of citizenship is his domicile, not merely residence or work location. The supplied materials give his age and New York business address, not his domicile. Confirm domicile (home, intent to remain, tax/voter/driver records as appropriate) before naming him in a diversity case.</w:t>
      </w:r>
    </w:p>
    <w:p>
      <w:pPr>
        <w:pStyle w:val="ListBullet"/>
        <w:keepLines/>
        <w:ind w:left="504" w:hanging="259"/>
      </w:pPr>
      <w:r>
        <w:t>Complete diversity requires that no state of citizenship overlap between Westlake and any named defendant. Put each LLC’s ownership-chain facts into the complaint and comply with Rule 7.1(a)(2) diversity disclosures. A placeholder cannot remain in a filed pleading. There is no pleaded federal-question claim; FINRA status or securities-law references do not independently confer federal jurisdiction.</w:t>
      </w:r>
    </w:p>
    <w:p>
      <w:pPr>
        <w:pStyle w:val="ListBullet"/>
        <w:keepLines/>
        <w:ind w:left="504" w:hanging="259"/>
      </w:pPr>
      <w:r>
        <w:t>The amount in controversy is comfortably above $75,000 even without carry or GCS disgorgement if Westlake owns the $750,000 milestone-payment claim. This does not cure incomplete or non-diverse citizenship.</w:t>
      </w:r>
    </w:p>
    <w:p>
      <w:r>
        <w:rPr>
          <w:rFonts w:ascii="Times New Roman" w:hAnsi="Times New Roman"/>
          <w:b w:val="0"/>
          <w:i w:val="0"/>
        </w:rPr>
        <w:t>Recommended action: treat verified citizenship as a pre-filing condition. If a named individual or LLC destroys diversity, evaluate whether to omit that party consistent with Rule 19 and available relief, or proceed in state court. Do not rely on supplemental jurisdiction to cure a lack of complete diversity in a § 1332 action.</w:t>
      </w:r>
    </w:p>
    <w:p>
      <w:pPr>
        <w:pStyle w:val="Heading2"/>
        <w:ind w:firstLine="0"/>
      </w:pPr>
      <w:r>
        <w:t>B. Personal jurisdiction and venue</w:t>
      </w:r>
    </w:p>
    <w:p>
      <w:pPr>
        <w:pStyle w:val="ListBullet"/>
        <w:keepLines/>
        <w:ind w:left="504" w:hanging="259"/>
      </w:pPr>
      <w:r>
        <w:t>Graydon Strategic signed PAA § 12.2, selecting state or federal courts in Dallas County for disputes under or connected with the PAA. The clause is a strong basis for personal jurisdiction and contractual venue as to Graydon Strategic. The Northern District of Texas, Dallas Division, is consistent with the designated county.</w:t>
      </w:r>
    </w:p>
    <w:p>
      <w:pPr>
        <w:pStyle w:val="ListBullet"/>
        <w:keepLines/>
        <w:ind w:left="504" w:hanging="259"/>
      </w:pPr>
      <w:r>
        <w:t>Trevor and GCS did not sign the PAA. Do not assert that its forum clause automatically binds them. The proposed complaint alleges their own Texas-directed participation: Trevor approved reports intended for Westlake in Dallas, and the GCS/Graydon network allegedly used the Westlake engagement. Confirm the actual communications, their destinations, Trevor’s approval/transmission role, any Texas visits, and whether GCS purposefully availed itself of Texas. Effects on a Texas plaintiff, standing alone, may be insufficient. An “closely related”/agency theory is fact- and law-dependent and should not substitute for defendant-specific contacts.</w:t>
      </w:r>
    </w:p>
    <w:p>
      <w:pPr>
        <w:pStyle w:val="ListBullet"/>
        <w:keepLines/>
        <w:ind w:left="504" w:hanging="259"/>
      </w:pPr>
      <w:r>
        <w:t>Venue under 28 U.S.C. § 1391(b)(2) is supported by Dallas receipt and reliance on reports, payment from Westlake’s Dallas accounts, and PAA performance from Dallas; retain records showing where the reports were received, where the PAA was negotiated/performed, and payment origins. The forum clause is not a jurisdictional or venue shortcut for non-signatories.</w:t>
      </w:r>
    </w:p>
    <w:p>
      <w:pPr>
        <w:pStyle w:val="ListBullet"/>
        <w:keepLines/>
        <w:ind w:left="504" w:hanging="259"/>
      </w:pPr>
      <w:r>
        <w:t>GCS’s agreement with Ridgecrest selects New York law and AAA arbitration in New York for disputes between those parties. Westlake is not a signatory, but research any nonsignatory-arbitration or choice-of-law argument if the GCS count is included. This is distinct from PAA-based claims against Graydon Strategic.</w:t>
      </w:r>
    </w:p>
    <w:p>
      <w:pPr>
        <w:pStyle w:val="Heading1"/>
        <w:ind w:firstLine="0"/>
      </w:pPr>
      <w:r>
        <w:t>2. DEFENDANTS, STANDING, AND CLAIMS</w:t>
      </w:r>
    </w:p>
    <w:p>
      <w:pPr>
        <w:pStyle w:val="Heading2"/>
        <w:ind w:firstLine="0"/>
      </w:pPr>
      <w:r>
        <w:t>A. Graydon Strategic — primary defendant</w:t>
      </w:r>
    </w:p>
    <w:p>
      <w:r>
        <w:rPr>
          <w:rFonts w:ascii="Times New Roman" w:hAnsi="Times New Roman"/>
          <w:b w:val="0"/>
          <w:i w:val="0"/>
        </w:rPr>
        <w:t>Plead contract claims against the entity that executed the PAA. Use the actual provisions: §§ 5.1 (services), 5.2 (monthly reports), 5.3 (milestone certifications), 7.2 (conflicts), 7.4 (non-solicitation), 8.1 (fiduciary acknowledgment), 10.3 (damages limitation/carve-outs), 12.2 (forum), and 12.3 (fees). Section 2.1 appoints Graydon as exclusive agent, while § 2.2 primarily restricts Westlake from retaining another agent; do not present § 2.1 alone as a clear covenant by Graydon not to represent other funds. The more direct contractual restrictions are §§ 7.2 and 7.4, together with §§ 5.1–5.3 and 8.1.</w:t>
      </w:r>
    </w:p>
    <w:p>
      <w:r>
        <w:rPr>
          <w:rFonts w:ascii="Times New Roman" w:hAnsi="Times New Roman"/>
          <w:b w:val="0"/>
          <w:i w:val="0"/>
        </w:rPr>
        <w:t>Section 7.4 is broader than Graydon’s June 18 response suggests: it expressly covers acts by Graydon’s officers, directors, employees, and agents even when taken on behalf of an affiliate. GCS is an “Affiliate” under the PAA definition on the reported ownership/control facts. Still, GCS is not itself a signatory; distinguish Graydon’s contractual responsibility for covered conduct from a direct contractual claim against GCS.</w:t>
      </w:r>
    </w:p>
    <w:p>
      <w:pPr>
        <w:pStyle w:val="Heading2"/>
        <w:ind w:firstLine="0"/>
      </w:pPr>
      <w:r>
        <w:t>B. Trevor Graydon — direct participation, not status alone</w:t>
      </w:r>
    </w:p>
    <w:p>
      <w:r>
        <w:rPr>
          <w:rFonts w:ascii="Times New Roman" w:hAnsi="Times New Roman"/>
          <w:b w:val="0"/>
          <w:i w:val="0"/>
        </w:rPr>
        <w:t>Trevor signed the Ridgecrest agreement for GCS, approved each activity report, attended at least one GPPERS meeting at which Cascadia was presented, and personally called Northshore’s principal to recommend Cascadia. These facts support naming him for his own alleged fraud and actionable participation, subject to personal-jurisdiction and citizenship verification. Do not allege that his office alone makes him personally liable for Graydon Strategic’s contract. A direct fiduciary duty to Westlake, as distinct from his company’s contractual duty and his own participation in a tort, is less certain; plead alternatives and research Texas law before finalizing.</w:t>
      </w:r>
    </w:p>
    <w:p>
      <w:r>
        <w:rPr>
          <w:rFonts w:ascii="Times New Roman" w:hAnsi="Times New Roman"/>
          <w:b w:val="0"/>
          <w:i w:val="0"/>
        </w:rPr>
        <w:t>The intake memo refers to a “personal guaranty” in PAA § 15.3. The supplied PAA ends at § 13.10 and contains no § 15.3 or personal guaranty. The complaint properly omits it. Confirm no separate guaranty exists before relying on one.</w:t>
      </w:r>
    </w:p>
    <w:p>
      <w:pPr>
        <w:pStyle w:val="Heading2"/>
        <w:ind w:firstLine="0"/>
      </w:pPr>
      <w:r>
        <w:t>C. GCS — possible equitable defendant, but proof and legal fit are incomplete</w:t>
      </w:r>
    </w:p>
    <w:p>
      <w:r>
        <w:rPr>
          <w:rFonts w:ascii="Times New Roman" w:hAnsi="Times New Roman"/>
          <w:b w:val="0"/>
          <w:i w:val="0"/>
        </w:rPr>
        <w:t>GCS was not a party to the PAA. Its direct role is the Ridgecrest agreement and potential receipt/entitlement to fees. The investigation estimates $750,000 (1.5% × $50 million), but the agreement alone does not prove fee payment, investor identification/approval under its § 3 process, how each introduction was credited, or whether fees remain contingent/receivable. Obtain Ridgecrest and GCS ledgers, closing statements, notices, invoices, bank records, and the required Introduction Notices.</w:t>
      </w:r>
    </w:p>
    <w:p>
      <w:r>
        <w:rPr>
          <w:rFonts w:ascii="Times New Roman" w:hAnsi="Times New Roman"/>
          <w:b w:val="0"/>
          <w:i w:val="0"/>
        </w:rPr>
        <w:t>Texas unjust-enrichment/quasi-contract law may be difficult because the fee was allegedly paid by Ridgecrest, not directly by Westlake, and GCS’s fee agreement is an express contract with Ridgecrest. Westlake must show a restitutionary basis tied to its injury and the alleged wrong, not merely that GCS received money from a third party. Plead only in the alternative; investigate whether a fiduciary-disgorgement remedy runs against Graydon Strategic and whether GCS knowingly received identifiable proceeds. A constructive trust and accounting are remedies, not standalone causes of action. Avoid an alter-ego claim absent evidence satisfying the applicable standard.</w:t>
      </w:r>
    </w:p>
    <w:p>
      <w:r>
        <w:rPr>
          <w:rFonts w:ascii="Times New Roman" w:hAnsi="Times New Roman"/>
          <w:b w:val="0"/>
          <w:i w:val="0"/>
        </w:rPr>
        <w:t>The evidence about separateness is disputed. Millhaven reports common address, personnel, and sole control, but its own scope notes it lacked access to GCS’s internal records and bank accounts. Graydon’s response letter asserts a separate EIN, operating agreement, bank accounts, revenue, and operations. Do not plead commingling or sham facts as established without substantiation; obtain organizational, accounting, employment, and bank records.</w:t>
      </w:r>
    </w:p>
    <w:p>
      <w:pPr>
        <w:pStyle w:val="Heading2"/>
        <w:ind w:firstLine="0"/>
      </w:pPr>
      <w:r>
        <w:t>D. Proper plaintiff and Rule 17 real-party-in-interest</w:t>
      </w:r>
    </w:p>
    <w:p>
      <w:r>
        <w:rPr>
          <w:rFonts w:ascii="Times New Roman" w:hAnsi="Times New Roman"/>
          <w:b w:val="0"/>
          <w:i w:val="0"/>
        </w:rPr>
        <w:t>Westlake is plainly the PAA party and direct payor of the challenged milestone payments, and can pursue its own contract and payment-loss claims. The claimed $5 million management fees and $7.5 million carried interest may belong to Fund III, its general partner, a management company, or another affiliate rather than Westlake LLC. The source documents do not identify the legal recipient under the Fund III LPA/management agreement or carry vehicle. Confirm the fee recipient, carry recipient, and loss-bearer; if a separate entity owns those claims, add it if jurisdiction permits, obtain a valid assignment, or omit those damages. Do not plead another entity’s injury as Westlake’s without a standing/real-party basis.</w:t>
      </w:r>
    </w:p>
    <w:p>
      <w:pPr>
        <w:pStyle w:val="Heading2"/>
        <w:ind w:firstLine="0"/>
      </w:pPr>
      <w:r>
        <w:t>E. Tort overlap, economic-loss defense, and causation</w:t>
      </w:r>
    </w:p>
    <w:p>
      <w:r>
        <w:rPr>
          <w:rFonts w:ascii="Times New Roman" w:hAnsi="Times New Roman"/>
          <w:b w:val="0"/>
          <w:i w:val="0"/>
        </w:rPr>
        <w:t>Graydon’s response denies that it improperly influenced investors and argues that sophisticated institutions independently chose Cascadia, while describing pipeline figures as good-faith forecasts. Investor choice is relevant to causation, but does not by itself answer whether Graydon’s personnel made competing introductions in breach of the PAA, concealed a fee conflict, or knowingly reported a diverted investor as a continuing Fund III prospect. Obtain investor evidence about who initiated each Ridgecrest contact, what Graydon said, timing, and whether the diversion caused an otherwise probable Fund III commitment; distinguish a target or interest from a firm commitment.</w:t>
      </w:r>
    </w:p>
    <w:p>
      <w:r>
        <w:rPr>
          <w:rFonts w:ascii="Times New Roman" w:hAnsi="Times New Roman"/>
          <w:b w:val="0"/>
          <w:i w:val="0"/>
        </w:rPr>
        <w:t>Expect a Texas economic-loss-rule challenge because the milestone statements and reporting duties arise in a contract. The best response is to plead the specific affirmative certifications as knowing/reckless false statements intended to induce separate $750,000 payments, and to distinguish intentional self-dealing/concealment and the agent’s independent duty of loyalty from mere failure to perform. The fiduciary claim has a stronger independent-duty rationale than a fraud claim based only on contractual reporting. Do not simply relabel the same contract damages as tort damages: identify the statements, reliance, injury, and damages independently; plead in the alternative and preclude double recovery. Research the applicable Texas authorities and choice-of-law analysis before filing.</w:t>
      </w:r>
    </w:p>
    <w:p>
      <w:pPr>
        <w:pStyle w:val="Heading1"/>
        <w:ind w:firstLine="0"/>
      </w:pPr>
      <w:r>
        <w:t>3. RULE 9(b), REPORTING FACTS, AND EVIDENTIARY SUPPORT</w:t>
      </w:r>
    </w:p>
    <w:p>
      <w:r>
        <w:rPr>
          <w:rFonts w:ascii="Times New Roman" w:hAnsi="Times New Roman"/>
          <w:b w:val="0"/>
          <w:i w:val="0"/>
        </w:rPr>
        <w:t>The complaint identifies the who/what/when/how for each certificate, but the final draft should be checked against the original report files and payment ledger. The existing reports identify Pruitt as preparer/signatory, Trevor as approver, report dates, recipients, and certifications; they do not establish where each report was prepared or the precise means/time of delivery. Confirm delivery emails and that Westlake received/relied in Dallas. Avoid alleging Trevor personally transmitted each report unless there is evidence of transmission.</w:t>
      </w:r>
    </w:p>
    <w:tbl>
      <w:tblPr>
        <w:tblW w:type="auto" w:w="0"/>
        <w:jc w:val="center"/>
        <w:tblLayout w:type="fixed"/>
        <w:tblLook w:firstColumn="1" w:firstRow="1" w:lastColumn="0" w:lastRow="0" w:noHBand="0" w:noVBand="1" w:val="04A0"/>
      </w:tblPr>
      <w:tblGrid>
        <w:gridCol w:w="1512"/>
        <w:gridCol w:w="2088"/>
        <w:gridCol w:w="3240"/>
        <w:gridCol w:w="2520"/>
      </w:tblGrid>
      <w:tr>
        <w:tc>
          <w:tcPr>
            <w:tcW w:type="dxa" w:w="2340"/>
            <w:tcMar>
              <w:top w:w="45" w:type="dxa"/>
              <w:start w:w="60" w:type="dxa"/>
              <w:bottom w:w="45" w:type="dxa"/>
              <w:end w:w="60" w:type="dxa"/>
            </w:tcMar>
            <w:vAlign w:val="center"/>
            <w:shd w:fill="D9E2F3"/>
          </w:tcPr>
          <w:p>
            <w:r/>
            <w:r>
              <w:rPr>
                <w:rFonts w:ascii="Times New Roman" w:hAnsi="Times New Roman"/>
                <w:b/>
                <w:sz w:val="18"/>
              </w:rPr>
              <w:t>Report / payment</w:t>
            </w:r>
          </w:p>
        </w:tc>
        <w:tc>
          <w:tcPr>
            <w:tcW w:type="dxa" w:w="2340"/>
            <w:tcMar>
              <w:top w:w="45" w:type="dxa"/>
              <w:start w:w="60" w:type="dxa"/>
              <w:bottom w:w="45" w:type="dxa"/>
              <w:end w:w="60" w:type="dxa"/>
            </w:tcMar>
            <w:vAlign w:val="center"/>
            <w:shd w:fill="D9E2F3"/>
          </w:tcPr>
          <w:p>
            <w:r/>
            <w:r>
              <w:rPr>
                <w:rFonts w:ascii="Times New Roman" w:hAnsi="Times New Roman"/>
                <w:b/>
                <w:sz w:val="18"/>
              </w:rPr>
              <w:t>Reported certification</w:t>
            </w:r>
          </w:p>
        </w:tc>
        <w:tc>
          <w:tcPr>
            <w:tcW w:type="dxa" w:w="2340"/>
            <w:tcMar>
              <w:top w:w="45" w:type="dxa"/>
              <w:start w:w="60" w:type="dxa"/>
              <w:bottom w:w="45" w:type="dxa"/>
              <w:end w:w="60" w:type="dxa"/>
            </w:tcMar>
            <w:vAlign w:val="center"/>
            <w:shd w:fill="D9E2F3"/>
          </w:tcPr>
          <w:p>
            <w:r/>
            <w:r>
              <w:rPr>
                <w:rFonts w:ascii="Times New Roman" w:hAnsi="Times New Roman"/>
                <w:b/>
                <w:sz w:val="18"/>
              </w:rPr>
              <w:t>Core falsity / caveat</w:t>
            </w:r>
          </w:p>
        </w:tc>
        <w:tc>
          <w:tcPr>
            <w:tcW w:type="dxa" w:w="2340"/>
            <w:tcMar>
              <w:top w:w="45" w:type="dxa"/>
              <w:start w:w="60" w:type="dxa"/>
              <w:bottom w:w="45" w:type="dxa"/>
              <w:end w:w="60" w:type="dxa"/>
            </w:tcMar>
            <w:vAlign w:val="center"/>
            <w:shd w:fill="D9E2F3"/>
          </w:tcPr>
          <w:p>
            <w:r/>
            <w:r>
              <w:rPr>
                <w:rFonts w:ascii="Times New Roman" w:hAnsi="Times New Roman"/>
                <w:b/>
                <w:sz w:val="18"/>
              </w:rPr>
              <w:t>Proof / issue</w:t>
            </w:r>
          </w:p>
        </w:tc>
      </w:tr>
      <w:tr>
        <w:trPr>
          <w:cantSplit/>
        </w:trPr>
        <w:tc>
          <w:tcPr>
            <w:tcW w:type="dxa" w:w="1512"/>
            <w:tcMar>
              <w:top w:w="45" w:type="dxa"/>
              <w:start w:w="60" w:type="dxa"/>
              <w:bottom w:w="45" w:type="dxa"/>
              <w:end w:w="60" w:type="dxa"/>
            </w:tcMar>
            <w:vAlign w:val="top"/>
          </w:tcPr>
          <w:p>
            <w:pPr>
              <w:spacing w:line="240" w:lineRule="auto" w:after="0"/>
            </w:pPr>
            <w:r/>
            <w:r>
              <w:rPr>
                <w:rFonts w:ascii="Times New Roman" w:hAnsi="Times New Roman"/>
                <w:sz w:val="17"/>
              </w:rPr>
              <w:t>May 8, 2023; $250,000 paid May 15</w:t>
            </w:r>
          </w:p>
        </w:tc>
        <w:tc>
          <w:tcPr>
            <w:tcW w:type="dxa" w:w="2088"/>
            <w:tcMar>
              <w:top w:w="45" w:type="dxa"/>
              <w:start w:w="60" w:type="dxa"/>
              <w:bottom w:w="45" w:type="dxa"/>
              <w:end w:w="60" w:type="dxa"/>
            </w:tcMar>
            <w:vAlign w:val="top"/>
          </w:tcPr>
          <w:p>
            <w:pPr>
              <w:spacing w:line="240" w:lineRule="auto" w:after="0"/>
            </w:pPr>
            <w:r/>
            <w:r>
              <w:rPr>
                <w:rFonts w:ascii="Times New Roman" w:hAnsi="Times New Roman"/>
                <w:sz w:val="17"/>
              </w:rPr>
              <w:t>$50.5M, including $35M closed, $7.5M soft/verbal, and $8M GPPERS indication.</w:t>
            </w:r>
          </w:p>
        </w:tc>
        <w:tc>
          <w:tcPr>
            <w:tcW w:type="dxa" w:w="3240"/>
            <w:tcMar>
              <w:top w:w="45" w:type="dxa"/>
              <w:start w:w="60" w:type="dxa"/>
              <w:bottom w:w="45" w:type="dxa"/>
              <w:end w:w="60" w:type="dxa"/>
            </w:tcMar>
            <w:vAlign w:val="top"/>
          </w:tcPr>
          <w:p>
            <w:pPr>
              <w:spacing w:line="240" w:lineRule="auto" w:after="0"/>
            </w:pPr>
            <w:r/>
            <w:r>
              <w:rPr>
                <w:rFonts w:ascii="Times New Roman" w:hAnsi="Times New Roman"/>
                <w:sz w:val="17"/>
              </w:rPr>
              <w:t>PAA requires accepted, binding subscriptions. Report’s own breakdown shows at least $15.5M was not closed/accepted. GPPERS report itself says $8M indicative allocation; do not say no dollar was ever discussed without resolving conflict.</w:t>
            </w:r>
          </w:p>
        </w:tc>
        <w:tc>
          <w:tcPr>
            <w:tcW w:type="dxa" w:w="2520"/>
            <w:tcMar>
              <w:top w:w="45" w:type="dxa"/>
              <w:start w:w="60" w:type="dxa"/>
              <w:bottom w:w="45" w:type="dxa"/>
              <w:end w:w="60" w:type="dxa"/>
            </w:tcMar>
            <w:vAlign w:val="top"/>
          </w:tcPr>
          <w:p>
            <w:pPr>
              <w:spacing w:line="240" w:lineRule="auto" w:after="0"/>
            </w:pPr>
            <w:r/>
            <w:r>
              <w:rPr>
                <w:rFonts w:ascii="Times New Roman" w:hAnsi="Times New Roman"/>
                <w:sz w:val="17"/>
              </w:rPr>
              <w:t>Original tracker; signed subs/closing ledger; GPPERS confirmation; report delivery/payment proof.</w:t>
            </w:r>
          </w:p>
        </w:tc>
      </w:tr>
      <w:tr>
        <w:trPr>
          <w:cantSplit/>
        </w:trPr>
        <w:tc>
          <w:tcPr>
            <w:tcW w:type="dxa" w:w="1512"/>
            <w:tcMar>
              <w:top w:w="45" w:type="dxa"/>
              <w:start w:w="60" w:type="dxa"/>
              <w:bottom w:w="45" w:type="dxa"/>
              <w:end w:w="60" w:type="dxa"/>
            </w:tcMar>
            <w:vAlign w:val="top"/>
          </w:tcPr>
          <w:p>
            <w:pPr>
              <w:spacing w:line="240" w:lineRule="auto" w:after="0"/>
            </w:pPr>
            <w:r/>
            <w:r>
              <w:rPr>
                <w:rFonts w:ascii="Times New Roman" w:hAnsi="Times New Roman"/>
                <w:sz w:val="17"/>
              </w:rPr>
              <w:t>Sept. 9, 2023; $250,000 paid Sept. 20</w:t>
            </w:r>
          </w:p>
        </w:tc>
        <w:tc>
          <w:tcPr>
            <w:tcW w:type="dxa" w:w="2088"/>
            <w:tcMar>
              <w:top w:w="45" w:type="dxa"/>
              <w:start w:w="60" w:type="dxa"/>
              <w:bottom w:w="45" w:type="dxa"/>
              <w:end w:w="60" w:type="dxa"/>
            </w:tcMar>
            <w:vAlign w:val="top"/>
          </w:tcPr>
          <w:p>
            <w:pPr>
              <w:spacing w:line="240" w:lineRule="auto" w:after="0"/>
            </w:pPr>
            <w:r/>
            <w:r>
              <w:rPr>
                <w:rFonts w:ascii="Times New Roman" w:hAnsi="Times New Roman"/>
                <w:sz w:val="17"/>
              </w:rPr>
              <w:t>$101.5M; $35M closed, $22.5M final documentation, $44M soft/verbal tier.</w:t>
            </w:r>
          </w:p>
        </w:tc>
        <w:tc>
          <w:tcPr>
            <w:tcW w:type="dxa" w:w="3240"/>
            <w:tcMar>
              <w:top w:w="45" w:type="dxa"/>
              <w:start w:w="60" w:type="dxa"/>
              <w:bottom w:w="45" w:type="dxa"/>
              <w:end w:w="60" w:type="dxa"/>
            </w:tcMar>
            <w:vAlign w:val="top"/>
          </w:tcPr>
          <w:p>
            <w:pPr>
              <w:spacing w:line="240" w:lineRule="auto" w:after="0"/>
            </w:pPr>
            <w:r/>
            <w:r>
              <w:rPr>
                <w:rFonts w:ascii="Times New Roman" w:hAnsi="Times New Roman"/>
                <w:sz w:val="17"/>
              </w:rPr>
              <w:t>Nonbinding pipeline treated as Capital Commitments. Report contains internal tier/reconciliation inconsistencies; the only completed Fund III close at that point appears to be $35M. Verify exact subs accepted through Aug. 31.</w:t>
            </w:r>
          </w:p>
        </w:tc>
        <w:tc>
          <w:tcPr>
            <w:tcW w:type="dxa" w:w="2520"/>
            <w:tcMar>
              <w:top w:w="45" w:type="dxa"/>
              <w:start w:w="60" w:type="dxa"/>
              <w:bottom w:w="45" w:type="dxa"/>
              <w:end w:w="60" w:type="dxa"/>
            </w:tcMar>
            <w:vAlign w:val="top"/>
          </w:tcPr>
          <w:p>
            <w:pPr>
              <w:spacing w:line="240" w:lineRule="auto" w:after="0"/>
            </w:pPr>
            <w:r/>
            <w:r>
              <w:rPr>
                <w:rFonts w:ascii="Times New Roman" w:hAnsi="Times New Roman"/>
                <w:sz w:val="17"/>
              </w:rPr>
              <w:t>Full investor-by-investor schedule, dates of signed subscriptions, pipeline tracker, communications, payment proof.</w:t>
            </w:r>
          </w:p>
        </w:tc>
      </w:tr>
      <w:tr>
        <w:trPr>
          <w:cantSplit/>
        </w:trPr>
        <w:tc>
          <w:tcPr>
            <w:tcW w:type="dxa" w:w="1512"/>
            <w:tcMar>
              <w:top w:w="45" w:type="dxa"/>
              <w:start w:w="60" w:type="dxa"/>
              <w:bottom w:w="45" w:type="dxa"/>
              <w:end w:w="60" w:type="dxa"/>
            </w:tcMar>
            <w:vAlign w:val="top"/>
          </w:tcPr>
          <w:p>
            <w:pPr>
              <w:spacing w:line="240" w:lineRule="auto" w:after="0"/>
            </w:pPr>
            <w:r/>
            <w:r>
              <w:rPr>
                <w:rFonts w:ascii="Times New Roman" w:hAnsi="Times New Roman"/>
                <w:sz w:val="17"/>
              </w:rPr>
              <w:t>Mar. 8, 2024; $250,000 paid Mar. 12</w:t>
            </w:r>
          </w:p>
        </w:tc>
        <w:tc>
          <w:tcPr>
            <w:tcW w:type="dxa" w:w="2088"/>
            <w:tcMar>
              <w:top w:w="45" w:type="dxa"/>
              <w:start w:w="60" w:type="dxa"/>
              <w:bottom w:w="45" w:type="dxa"/>
              <w:end w:w="60" w:type="dxa"/>
            </w:tcMar>
            <w:vAlign w:val="top"/>
          </w:tcPr>
          <w:p>
            <w:pPr>
              <w:spacing w:line="240" w:lineRule="auto" w:after="0"/>
            </w:pPr>
            <w:r/>
            <w:r>
              <w:rPr>
                <w:rFonts w:ascii="Times New Roman" w:hAnsi="Times New Roman"/>
                <w:sz w:val="17"/>
              </w:rPr>
              <w:t>$152M; $87.5M closed, $14.5M documentation, $40M soft/advanced, $10M active prospects.</w:t>
            </w:r>
          </w:p>
        </w:tc>
        <w:tc>
          <w:tcPr>
            <w:tcW w:type="dxa" w:w="3240"/>
            <w:tcMar>
              <w:top w:w="45" w:type="dxa"/>
              <w:start w:w="60" w:type="dxa"/>
              <w:bottom w:w="45" w:type="dxa"/>
              <w:end w:w="60" w:type="dxa"/>
            </w:tcMar>
            <w:vAlign w:val="top"/>
          </w:tcPr>
          <w:p>
            <w:pPr>
              <w:spacing w:line="240" w:lineRule="auto" w:after="0"/>
            </w:pPr>
            <w:r/>
            <w:r>
              <w:rPr>
                <w:rFonts w:ascii="Times New Roman" w:hAnsi="Times New Roman"/>
                <w:sz w:val="17"/>
              </w:rPr>
              <w:t>GPPERS and Harborview remained in pipeline after commitments to Cascadia; Northshore was omitted. Best theory is that only $87.5M was accepted/closed and the rest was not contractual Capital Commitments. Do not plead a precise $112M “actual pipeline” or a $38M gap absent reconciliation; report certifies $152M, not $150M.</w:t>
            </w:r>
          </w:p>
        </w:tc>
        <w:tc>
          <w:tcPr>
            <w:tcW w:type="dxa" w:w="2520"/>
            <w:tcMar>
              <w:top w:w="45" w:type="dxa"/>
              <w:start w:w="60" w:type="dxa"/>
              <w:bottom w:w="45" w:type="dxa"/>
              <w:end w:w="60" w:type="dxa"/>
            </w:tcMar>
            <w:vAlign w:val="top"/>
          </w:tcPr>
          <w:p>
            <w:pPr>
              <w:spacing w:line="240" w:lineRule="auto" w:after="0"/>
            </w:pPr>
            <w:r/>
            <w:r>
              <w:rPr>
                <w:rFonts w:ascii="Times New Roman" w:hAnsi="Times New Roman"/>
                <w:sz w:val="17"/>
              </w:rPr>
              <w:t>Fund III closing ledger through Feb. 28; GPPERS/Harborview/Northshore actual closing dates; payment proof; named/unnamed prospects in the $10M tier.</w:t>
            </w:r>
          </w:p>
        </w:tc>
      </w:tr>
    </w:tbl>
    <w:p>
      <w:pPr>
        <w:spacing w:before="100"/>
      </w:pPr>
      <w:r>
        <w:rPr>
          <w:rFonts w:ascii="Times New Roman" w:hAnsi="Times New Roman"/>
          <w:b w:val="0"/>
          <w:i w:val="0"/>
        </w:rPr>
        <w:t>Key distinction: the PAA’s written definition of “Capital Commitment” is substantially stronger than the reports’ looser “pipeline” methodology. Plead that the certification asserted achievement of contractual commitment thresholds while the report schedules themselves included unaccepted and nonbinding categories. The reports’ descriptions, rather than a disputed exact estimate of “actual pipeline,” are the safest source for the core falsity.</w:t>
      </w:r>
    </w:p>
    <w:p>
      <w:r>
        <w:rPr>
          <w:rFonts w:ascii="Times New Roman" w:hAnsi="Times New Roman"/>
          <w:b w:val="0"/>
          <w:i w:val="0"/>
        </w:rPr>
        <w:t>Scienter for the first two reports needs particular care. The fact that a pipeline estimate was inaccurate is not by itself fraud. Support intent/recklessness with the contractual definition, absence of executed subscriptions, Graydon’s own underlying pipeline records, Pruitt’s preparation role, Trevor’s approvals, and the direct competing introductions/undisclosed fee arrangement. For March, the conflict and already-made Cascadia commitments provide a stronger inference. Verify exactly when each defendant learned of each commitment.</w:t>
      </w:r>
    </w:p>
    <w:p>
      <w:pPr>
        <w:pStyle w:val="Heading1"/>
        <w:ind w:firstLine="0"/>
      </w:pPr>
      <w:r>
        <w:t>4. FACTUAL CONTRADICTIONS AND DRAFTING CORRECTIONS</w:t>
      </w:r>
    </w:p>
    <w:p>
      <w:pPr>
        <w:pStyle w:val="ListBullet"/>
        <w:keepLines/>
        <w:ind w:left="504" w:hanging="259"/>
      </w:pPr>
      <w:r>
        <w:t>Investor name: The correct name in source records is Great Plains Public Employees’ Retirement System (“GPPERS”). The intake damages section once says “Greater Pittsburgh”; do not repeat that error.</w:t>
      </w:r>
    </w:p>
    <w:p>
      <w:pPr>
        <w:pStyle w:val="ListBullet"/>
        <w:keepLines/>
        <w:ind w:left="504" w:hanging="259"/>
      </w:pPr>
      <w:r>
        <w:t>Milestone amounts: The reports certified $50.5 million, $101.5 million, and $152 million—not exactly $50 million, $100 million, and $150 million. The threshold amounts are $50 million/$100 million/$150 million. Use the actual reported number and separately identify the threshold.</w:t>
      </w:r>
    </w:p>
    <w:p>
      <w:pPr>
        <w:pStyle w:val="ListBullet"/>
        <w:keepLines/>
        <w:ind w:left="504" w:hanging="259"/>
      </w:pPr>
      <w:r>
        <w:t>March “actual” pipeline: Millhaven’s summary describes approximately $112 million and a $38 million shortfall against $150 million; the underlying March report states $152 million, while the investor categories and Northshore omission do not reconcile neatly to a $112 million actual pipeline. The complaint therefore pleads the strict contract definition and the $87.5 million closed amount, not the $112 million estimate.</w:t>
      </w:r>
    </w:p>
    <w:p>
      <w:pPr>
        <w:pStyle w:val="ListBullet"/>
        <w:keepLines/>
        <w:ind w:left="504" w:hanging="259"/>
      </w:pPr>
      <w:r>
        <w:t>September report: The report’s tier 3 narrative and footnote contain arithmetic/reconciliation inconsistencies, including a partial Northshore amount. Obtain the source workbook and avoid an overly precise allocation unless reconciled.</w:t>
      </w:r>
    </w:p>
    <w:p>
      <w:pPr>
        <w:pStyle w:val="ListBullet"/>
        <w:keepLines/>
        <w:ind w:left="504" w:hanging="259"/>
      </w:pPr>
      <w:r>
        <w:t>Northshore timing: The sources place Northshore’s Cascadia commitment in February 2024, but the exact date is missing. Verify it predates the March 8 certification (as opposed to merely the February 28 reporting cutoff). The report omits Northshore beginning November 2023; the allegation that its $10 million remained embedded in later aggregate totals is inferential and should not be stated as certain.</w:t>
      </w:r>
    </w:p>
    <w:p>
      <w:pPr>
        <w:pStyle w:val="ListBullet"/>
        <w:keepLines/>
        <w:ind w:left="504" w:hanging="259"/>
      </w:pPr>
      <w:r>
        <w:t>Harborview: The evidence supports Pruitt introducing Cascadia and reports continuing to treat Harborview as a Fund III prospect. Do not allege Trevor personally approached Harborview absent evidence.</w:t>
      </w:r>
    </w:p>
    <w:p>
      <w:pPr>
        <w:pStyle w:val="ListBullet"/>
        <w:keepLines/>
        <w:ind w:left="504" w:hanging="259"/>
      </w:pPr>
      <w:r>
        <w:t>Damages “directly quantifiable” subtotal: Millhaven calls $6.03 million directly quantifiable, but $750,000 milestone + $280,000 retainers + $1.2 million consequential + $5 million management fees totals $7.23 million. $6.03 million is the sum excluding the $1.2 million consequential category. Correct any use of that subtotal.</w:t>
      </w:r>
    </w:p>
    <w:p>
      <w:pPr>
        <w:pStyle w:val="ListBullet"/>
        <w:keepLines/>
        <w:ind w:left="504" w:hanging="259"/>
      </w:pPr>
      <w:r>
        <w:t>PAA sections: The intake/demand narrative sometimes mislabels reporting provisions and compensation. The source PAA provides reporting at § 5.2, certifications at § 5.3, compensation at § 4, and exclusivity appointment/scope at §§ 2.1–2.2. Use the agreement itself, not the demand-letter paraphrase.</w:t>
      </w:r>
    </w:p>
    <w:p>
      <w:pPr>
        <w:pStyle w:val="ListBullet"/>
        <w:keepLines/>
        <w:ind w:left="504" w:hanging="259"/>
      </w:pPr>
      <w:r>
        <w:t>No individual guaranty: There is no § 15.3 in the supplied PAA. Do not allege a personal guaranty unless a separate signed writing is located.</w:t>
      </w:r>
    </w:p>
    <w:p>
      <w:pPr>
        <w:pStyle w:val="Heading1"/>
        <w:ind w:firstLine="0"/>
      </w:pPr>
      <w:r>
        <w:t>5. DAMAGES, LIMITATIONS, AND REMEDIES</w:t>
      </w:r>
    </w:p>
    <w:p>
      <w:pPr>
        <w:pStyle w:val="Heading2"/>
        <w:ind w:firstLine="0"/>
      </w:pPr>
      <w:r>
        <w:t>A. Damages should be reconciled and tied to the correct claimant</w:t>
      </w:r>
    </w:p>
    <w:p>
      <w:pPr>
        <w:pStyle w:val="ListBullet"/>
        <w:keepLines/>
        <w:ind w:left="504" w:hanging="259"/>
      </w:pPr>
      <w:r>
        <w:t>Milestone payments ($750,000): Strongest direct monetary claim. Confirm wire evidence, and address the PAA’s position that payments were due on certifications and Graydon’s argument that pipeline judgment was reasonable. Plead that § 1.2 and §§ 4.2/5.3 required accepted binding subscriptions, not the broader classifications used in reports.</w:t>
      </w:r>
    </w:p>
    <w:p>
      <w:pPr>
        <w:pStyle w:val="ListBullet"/>
        <w:keepLines/>
        <w:ind w:left="504" w:hanging="259"/>
      </w:pPr>
      <w:r>
        <w:t>Management fees ($5 million): Formula is $50 million × 2% × five years. Verify the LPA/management agreement, fee basis and step-downs, fee-sharing/waivers, investment-period duration, and that Westlake itself owned the lost fee stream. The assumption that all three investors would otherwise commit to Fund III and pay full fees for five years is a causation/certainty issue.</w:t>
      </w:r>
    </w:p>
    <w:p>
      <w:pPr>
        <w:pStyle w:val="ListBullet"/>
        <w:keepLines/>
        <w:ind w:left="504" w:hanging="259"/>
      </w:pPr>
      <w:r>
        <w:t>Carried interest ($7.5 million): Most vulnerable category. Millhaven’s narrative references a full projection of about $16.9 million and a discounted $7.5 million but does not provide the calculation/workpapers in the source set. Obtain model inputs, actual carry waterfall, hurdle calculation, gross/net IRR assumptions, investment timing, realizations, risk adjustments, and expert report. Separate carry recipient from Westlake. Consider pleading only “according to proof” until expert support exists; avoid presenting an estimate as an earned or certain amount.</w:t>
      </w:r>
    </w:p>
    <w:p>
      <w:pPr>
        <w:pStyle w:val="ListBullet"/>
        <w:keepLines/>
        <w:ind w:left="504" w:hanging="259"/>
      </w:pPr>
      <w:r>
        <w:t>Retainers ($280,000): PAA § 4.3 describes monthly retainers as non-refundable and fully earned if no placement fees in that quarter, but also credits retainers against placement fees earned in the same quarter. Reconcile credits and the $1.75 million placement-fee payment. Restitution/forfeiture for Nov. 2023–June 2024 is a fiduciary remedy requiring proof of disloyalty and may not equal automatic contract repayment.</w:t>
      </w:r>
    </w:p>
    <w:p>
      <w:pPr>
        <w:pStyle w:val="ListBullet"/>
        <w:keepLines/>
        <w:ind w:left="504" w:hanging="259"/>
      </w:pPr>
      <w:r>
        <w:t>Consequential costs ($1.2 million): Demand letter identifies fundraising extension, replacement-agent costs, relationship repair, internal staff time, and internal legal costs. Collect invoices, contracts, allocation records, and proof of causation/mitigation. Internal legal costs risk duplicating attorneys’ fees or being unrecoverable; segregate them. Replacement placement fees and re-approach costs need an offset/duplication review.</w:t>
      </w:r>
    </w:p>
    <w:p>
      <w:pPr>
        <w:pStyle w:val="ListBullet"/>
        <w:keepLines/>
        <w:ind w:left="504" w:hanging="259"/>
      </w:pPr>
      <w:r>
        <w:t>GCS fees ($750,000): Treat as a separate equitable estimate, not established payment. Verify actual receipt, remaining receivable, and fee calculations. Do not add the same fee as both disgorgement and compensatory damages or assert Trevor personally received a distribution without proof.</w:t>
      </w:r>
    </w:p>
    <w:p>
      <w:r>
        <w:rPr>
          <w:rFonts w:ascii="Times New Roman" w:hAnsi="Times New Roman"/>
          <w:b w:val="0"/>
          <w:i w:val="0"/>
        </w:rPr>
        <w:t>The $14.73 million total is arithmetically the sum of $0.75M + $5.0M + $7.5M + $0.28M + $1.2M. The separate $0.75 million estimated GCS fee makes a nominal $15.48 million potential total, but restitution is uncertain and potentially overlapping. The complaint accordingly labels all estimates preliminary, subject to proof, standing, offsets, and no double recovery.</w:t>
      </w:r>
    </w:p>
    <w:p>
      <w:pPr>
        <w:pStyle w:val="Heading2"/>
        <w:ind w:firstLine="0"/>
      </w:pPr>
      <w:r>
        <w:t>B. Contractual damages limitation and fees</w:t>
      </w:r>
    </w:p>
    <w:p>
      <w:r>
        <w:rPr>
          <w:rFonts w:ascii="Times New Roman" w:hAnsi="Times New Roman"/>
          <w:b w:val="0"/>
          <w:i w:val="0"/>
        </w:rPr>
        <w:t>PAA § 10.3 excludes consequential, incidental, special, indirect, and punitive damages except in cases of fraud, willful misconduct, or breach of §§ 7.2, 7.3, 7.4, or 8. Plead the relevant carve-out facts and preserve alternative direct-damages theories. Analyze each claimed lost-profit/remediation category under Texas law and the contract; do not assume that calling a loss “consequential” resolves the contractual or legal classification. PAA §§ 10.1 and 12.3 may support indemnity/fees, but ensure no duplication and plead fee-shifting separately from damages.</w:t>
      </w:r>
    </w:p>
    <w:p>
      <w:pPr>
        <w:pStyle w:val="Heading2"/>
        <w:ind w:firstLine="0"/>
      </w:pPr>
      <w:r>
        <w:t>C. Exemplary damages, limitations, discovery rule, and injunction</w:t>
      </w:r>
    </w:p>
    <w:p>
      <w:pPr>
        <w:pStyle w:val="ListBullet"/>
        <w:keepLines/>
        <w:ind w:left="504" w:hanging="259"/>
      </w:pPr>
      <w:r>
        <w:t>Texas exemplary damages require the applicable statutory elements and clear-and-convincing proof; the intake statement that Texas imposes no cap for this case is not safe. Texas Civil Practice &amp; Remedies Code Chapter 41 generally provides caps subject to statutory exceptions. Review the defendant-specific standards for organizational liability/authorization or ratification. Request exemplary damages only “to the extent allowed by law,” without a numerical demand.</w:t>
      </w:r>
    </w:p>
    <w:p>
      <w:pPr>
        <w:pStyle w:val="ListBullet"/>
        <w:keepLines/>
        <w:ind w:left="504" w:hanging="259"/>
      </w:pPr>
      <w:r>
        <w:t>The four-year limitations periods for contract and fraud claims appear to leave the 2023–2024 conduct timely as of August 2024, but confirm governing law/accrual for each count. Plead concealment/discovery facts without suggesting the June demand tolled limitations absent a tolling agreement.</w:t>
      </w:r>
    </w:p>
    <w:p>
      <w:pPr>
        <w:pStyle w:val="ListBullet"/>
        <w:keepLines/>
        <w:ind w:left="504" w:hanging="259"/>
      </w:pPr>
      <w:r>
        <w:t>The § 7.4 tail runs through July 18, 2025 if the PAA expired on schedule and was not extended. By the proposed August 2024 filing, it remained in effect. A preliminary injunction/TRO requires evidence of a present or imminent violation and irreparable injury; past diversions alone may not establish that. Obtain current prospect lists and communications. The complaint seeks only tailored final relief; decide on a motion for preliminary relief after verifying ongoing conduct and the four-factor standard. Section 12.4’s no-bond wording does not bind non-signatories and cannot displace Rule 65.</w:t>
      </w:r>
    </w:p>
    <w:p>
      <w:pPr>
        <w:pStyle w:val="Heading1"/>
        <w:ind w:firstLine="0"/>
      </w:pPr>
      <w:r>
        <w:t>6. PRIVILEGE, CONFIDENTIALITY, AND PLEADING HYGIENE</w:t>
      </w:r>
    </w:p>
    <w:p>
      <w:r>
        <w:rPr>
          <w:rFonts w:ascii="Times New Roman" w:hAnsi="Times New Roman"/>
          <w:b w:val="0"/>
          <w:i w:val="0"/>
        </w:rPr>
        <w:t>The Millhaven report is expressly labeled privileged/work product, was prepared at counsel’s direction, and notes that its investigation was limited because it lacked Graydon/GCS/Ridgecrest internal books and records. Do not attach or quote the report, workpapers, counsel interview summaries, or privileged appendices to a public complaint. Plead independently supportable underlying facts from the PAA, source activity reports, wire records, public filings, and properly usable investor evidence. Consider privilege/work-product and confidentiality implications before relying on counsel-directed witness communications or quoting the April Rosario-Vega email; obtain direct investor evidence through nonprivileged means where possible.</w:t>
      </w:r>
    </w:p>
    <w:p>
      <w:r>
        <w:rPr>
          <w:rFonts w:ascii="Times New Roman" w:hAnsi="Times New Roman"/>
          <w:b w:val="0"/>
          <w:i w:val="0"/>
        </w:rPr>
        <w:t>The PAA and investor materials carry confidentiality restrictions. Filing the full reports or investor schedules is not necessary to plead the claims. If an exhibit is later needed, redact nonessential investor details and follow the Court’s sealing rules; confidentiality alone does not justify sealing. Avoid attaching the Ridgecrest agreement or investor confirmations until privilege, authenticity, and sealing questions are assessed.</w:t>
      </w:r>
    </w:p>
    <w:p>
      <w:pPr>
        <w:pStyle w:val="Heading1"/>
        <w:ind w:firstLine="0"/>
      </w:pPr>
      <w:r>
        <w:t>7. PRE-FILING CHECKLIST</w:t>
      </w:r>
    </w:p>
    <w:p>
      <w:pPr>
        <w:pStyle w:val="ListBullet"/>
        <w:keepLines/>
        <w:ind w:left="504" w:hanging="259"/>
      </w:pPr>
      <w:r>
        <w:t>Obtain complete LLC membership/citizenship information for Westlake and GCS; verify Trevor’s domicile; confirm Graydon Strategic’s corporate citizenship; determine whether complete diversity exists.</w:t>
      </w:r>
    </w:p>
    <w:p>
      <w:pPr>
        <w:pStyle w:val="ListBullet"/>
        <w:keepLines/>
        <w:ind w:left="504" w:hanging="259"/>
      </w:pPr>
      <w:r>
        <w:t>Confirm personal jurisdiction over Trevor and GCS based on their own contacts and assess whether they should be named now or after targeted discovery. Confirm whether Westlake can sue them in the chosen forum.</w:t>
      </w:r>
    </w:p>
    <w:p>
      <w:pPr>
        <w:pStyle w:val="ListBullet"/>
        <w:keepLines/>
        <w:ind w:left="504" w:hanging="259"/>
      </w:pPr>
      <w:r>
        <w:t>Identify the legal owner of Fund III management fees and carried interest; confirm Rule 17 standing and whether another entity must be joined or claims assigned.</w:t>
      </w:r>
    </w:p>
    <w:p>
      <w:pPr>
        <w:pStyle w:val="ListBullet"/>
        <w:keepLines/>
        <w:ind w:left="504" w:hanging="259"/>
      </w:pPr>
      <w:r>
        <w:t>Reconcile each milestone report to actual executed/accepted Fund III subscriptions as of the precise certification date; source the investor tracker and wire statements; correct the March $150/$152 and $112 discrepancies.</w:t>
      </w:r>
    </w:p>
    <w:p>
      <w:pPr>
        <w:pStyle w:val="ListBullet"/>
        <w:keepLines/>
        <w:ind w:left="504" w:hanging="259"/>
      </w:pPr>
      <w:r>
        <w:t>Verify the exact Cascadia commitment dates and all introductions/contacts; document who at Graydon knew each commitment date and who prepared, approved, and delivered each certification.</w:t>
      </w:r>
    </w:p>
    <w:p>
      <w:pPr>
        <w:pStyle w:val="ListBullet"/>
        <w:keepLines/>
        <w:ind w:left="504" w:hanging="259"/>
      </w:pPr>
      <w:r>
        <w:t>Obtain GCS–Ridgecrest accounting: Introduction Notices, investor approvals, fee invoices, closing calculations, payment records, fee-tail/receivable status, and any distributions to Trevor.</w:t>
      </w:r>
    </w:p>
    <w:p>
      <w:pPr>
        <w:pStyle w:val="ListBullet"/>
        <w:keepLines/>
        <w:ind w:left="504" w:hanging="259"/>
      </w:pPr>
      <w:r>
        <w:t>Reconcile the $3.13 million payment total against PAA § 4.3 quarterly retainer credits and placement fees; confirm the $280,000 active-breach retainer category and avoid double counting.</w:t>
      </w:r>
    </w:p>
    <w:p>
      <w:pPr>
        <w:pStyle w:val="ListBullet"/>
        <w:keepLines/>
        <w:ind w:left="504" w:hanging="259"/>
      </w:pPr>
      <w:r>
        <w:t>Engage/confirm damages expert for carry and lost management fee claims; obtain Fund III LPA/management agreements; substantiate and segregate the $1.2 million consequential-cost claim.</w:t>
      </w:r>
    </w:p>
    <w:p>
      <w:pPr>
        <w:pStyle w:val="ListBullet"/>
        <w:keepLines/>
        <w:ind w:left="504" w:hanging="259"/>
      </w:pPr>
      <w:r>
        <w:t>Confirm no PAA extension, termination notice, amendment, separate guaranty, or additional fee arrangement; do not rely on the nonexistent § 15.3 guaranty.</w:t>
      </w:r>
    </w:p>
    <w:p>
      <w:pPr>
        <w:pStyle w:val="ListBullet"/>
        <w:keepLines/>
        <w:ind w:left="504" w:hanging="259"/>
      </w:pPr>
      <w:r>
        <w:t>Assess current solicitation risk before seeking emergency injunctive relief; obtain current evidence and evaluate Rule 65 and the remaining § 7.4 tail.</w:t>
      </w:r>
    </w:p>
    <w:p>
      <w:pPr>
        <w:pStyle w:val="ListBullet"/>
        <w:keepLines/>
        <w:ind w:left="504" w:hanging="259"/>
      </w:pPr>
      <w:r>
        <w:t>Complete counsel signature/bar information; prepare civil cover sheet, summons for each defendant, Rule 7.1 disclosures, and the Northern District of Texas certificate of interested persons/local filing requirements; confirm assigned division and service addresses.</w:t>
      </w:r>
    </w:p>
    <w:p>
      <w:pPr>
        <w:pStyle w:val="ListBullet"/>
        <w:keepLines/>
        <w:ind w:left="504" w:hanging="259"/>
      </w:pPr>
      <w:r>
        <w:t>Review every factual allegation under Rule 11; remove any assertion based solely on privileged work product or unsupported inference; preserve investor confidentiality and use protective/redaction procedures as needed.</w:t>
      </w:r>
    </w:p>
    <w:p>
      <w:pPr>
        <w:pStyle w:val="Heading1"/>
        <w:ind w:firstLine="0"/>
      </w:pPr>
      <w:r>
        <w:t>RECOMMENDATION</w:t>
      </w:r>
    </w:p>
    <w:p>
      <w:r>
        <w:rPr>
          <w:rFonts w:ascii="Times New Roman" w:hAnsi="Times New Roman"/>
          <w:b w:val="0"/>
          <w:i w:val="0"/>
        </w:rPr>
        <w:t>Proceed with finalizing the Graydon Strategic contract and fraud claims once the subscription ledger, report-delivery evidence, and citizenship/standing questions are resolved. Keep the Trevor claims tied to his personal approvals and investor contacts, subject to domicile and personal-jurisdiction confirmation. Include GCS only if there is a supportable diversity and jurisdiction basis and a verified restitutionary benefit theory. Do not characterize the $750,000 GCS fee as paid until payment records establish receipt. If the diversity or forum requirements cannot be established for the chosen party set, use the PAA’s Dallas County state-court forum rather than filing an unsupported federal diversity complaint.</w:t>
      </w:r>
    </w:p>
    <w:p>
      <w:r>
        <w:rPr>
          <w:rFonts w:ascii="Times New Roman" w:hAnsi="Times New Roman"/>
          <w:b w:val="0"/>
          <w:i w:val="0"/>
        </w:rPr>
      </w:r>
    </w:p>
    <w:p>
      <w:r>
        <w:rPr>
          <w:rFonts w:ascii="Times New Roman" w:hAnsi="Times New Roman"/>
          <w:b w:val="0"/>
          <w:i/>
          <w:color w:val="5A5A5A"/>
          <w:sz w:val="18"/>
        </w:rPr>
        <w:t>Prepared for counsel review; not a final filing instruction.</w:t>
      </w:r>
    </w:p>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Filing-Issues Memorandum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5A5A5A"/>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line="252"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line="252" w:lineRule="auto"/>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80" w:after="80" w:line="252" w:lineRule="auto"/>
      <w:outlineLvl w:val="2"/>
    </w:pPr>
    <w:rPr>
      <w:rFonts w:asciiTheme="majorHAnsi" w:eastAsiaTheme="majorEastAsia" w:hAnsiTheme="majorHAnsi" w:cstheme="majorBidi" w:ascii="Times New Roman" w:hAnsi="Times New Roman" w:eastAsia="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