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4"/>
            <w:shd w:fill="1F4E79"/>
            <w:tcMar>
              <w:top w:w="95" w:type="dxa"/>
              <w:start w:w="150" w:type="dxa"/>
              <w:bottom w:w="95" w:type="dxa"/>
              <w:end w:w="150" w:type="dxa"/>
            </w:tcMar>
          </w:tcPr>
          <w:p>
            <w:pPr>
              <w:spacing w:after="0"/>
              <w:jc w:val="center"/>
            </w:pPr>
            <w:r>
              <w:rPr>
                <w:rFonts w:ascii="Aptos" w:hAnsi="Aptos"/>
                <w:b/>
                <w:color w:val="FFFFFF"/>
                <w:sz w:val="18"/>
              </w:rPr>
              <w:t>CONFIDENTIAL — LITIGATION HOLD DIRECTIVE  |  NOT A REQUEST FOR ROUTINE RECORDS CLEANUP</w:t>
            </w:r>
          </w:p>
        </w:tc>
      </w:tr>
    </w:tbl>
    <w:p>
      <w:pPr>
        <w:spacing w:after="0"/>
      </w:pPr>
    </w:p>
    <w:p>
      <w:pPr>
        <w:spacing w:after="40"/>
      </w:pPr>
      <w:r>
        <w:rPr>
          <w:b/>
          <w:color w:val="0F6B78"/>
          <w:sz w:val="18"/>
        </w:rPr>
        <w:t>PRESERVATION OF DOCUMENTS, ELECTRONICALLY STORED INFORMATION, AND TANGIBLE EVIDENCE</w:t>
      </w:r>
    </w:p>
    <w:p>
      <w:pPr>
        <w:pStyle w:val="Title"/>
        <w:keepNext/>
      </w:pPr>
      <w:r>
        <w:t>LITIGATION HOLD NOTICE</w:t>
      </w:r>
    </w:p>
    <w:p>
      <w:pPr>
        <w:spacing w:after="180"/>
      </w:pPr>
      <w:r>
        <w:rPr>
          <w:rFonts w:ascii="Aptos" w:hAnsi="Aptos"/>
          <w:color w:val="5B6573"/>
          <w:sz w:val="22"/>
        </w:rPr>
        <w:t>Kessler et al. v. Vantage Medical Devices, Inc.</w:t>
      </w:r>
    </w:p>
    <w:tbl>
      <w:tblPr>
        <w:tblW w:type="auto" w:w="0"/>
        <w:jc w:val="center"/>
        <w:tblLayout w:type="fixed"/>
        <w:tblLook w:firstColumn="1" w:firstRow="1" w:lastColumn="0" w:lastRow="0" w:noHBand="0" w:noVBand="1" w:val="04A0"/>
      </w:tblPr>
      <w:tblGrid>
        <w:gridCol w:w="4997"/>
        <w:gridCol w:w="4997"/>
      </w:tblGrid>
      <w:tr>
        <w:trPr>
          <w:cantSplit/>
        </w:trPr>
        <w:tc>
          <w:tcPr>
            <w:tcW w:type="dxa" w:w="1800"/>
            <w:tcMar>
              <w:top w:w="55" w:type="dxa"/>
              <w:start w:w="110" w:type="dxa"/>
              <w:bottom w:w="55" w:type="dxa"/>
              <w:end w:w="110" w:type="dxa"/>
            </w:tcMar>
            <w:shd w:fill="EEF4F8"/>
          </w:tcPr>
          <w:p>
            <w:pPr>
              <w:spacing w:after="0"/>
            </w:pPr>
            <w:r>
              <w:rPr>
                <w:b/>
                <w:color w:val="1F4E79"/>
                <w:sz w:val="16"/>
              </w:rPr>
              <w:t>DATE</w:t>
            </w:r>
          </w:p>
        </w:tc>
        <w:tc>
          <w:tcPr>
            <w:tcW w:type="dxa" w:w="8568"/>
            <w:tcMar>
              <w:top w:w="55" w:type="dxa"/>
              <w:start w:w="110" w:type="dxa"/>
              <w:bottom w:w="55" w:type="dxa"/>
              <w:end w:w="110" w:type="dxa"/>
            </w:tcMar>
          </w:tcPr>
          <w:p>
            <w:pPr>
              <w:spacing w:after="0"/>
            </w:pPr>
            <w:r>
              <w:t>May 30, 2025 (prepared for distribution June 2, 2025)</w:t>
            </w:r>
          </w:p>
        </w:tc>
      </w:tr>
      <w:tr>
        <w:trPr>
          <w:cantSplit/>
        </w:trPr>
        <w:tc>
          <w:tcPr>
            <w:tcW w:type="dxa" w:w="1800"/>
            <w:tcMar>
              <w:top w:w="55" w:type="dxa"/>
              <w:start w:w="110" w:type="dxa"/>
              <w:bottom w:w="55" w:type="dxa"/>
              <w:end w:w="110" w:type="dxa"/>
            </w:tcMar>
            <w:shd w:fill="EEF4F8"/>
          </w:tcPr>
          <w:p>
            <w:pPr>
              <w:spacing w:after="0"/>
            </w:pPr>
            <w:r>
              <w:rPr>
                <w:b/>
                <w:color w:val="1F4E79"/>
                <w:sz w:val="16"/>
              </w:rPr>
              <w:t>MATTER</w:t>
            </w:r>
          </w:p>
        </w:tc>
        <w:tc>
          <w:tcPr>
            <w:tcW w:type="dxa" w:w="8568"/>
            <w:tcMar>
              <w:top w:w="55" w:type="dxa"/>
              <w:start w:w="110" w:type="dxa"/>
              <w:bottom w:w="55" w:type="dxa"/>
              <w:end w:w="110" w:type="dxa"/>
            </w:tcMar>
          </w:tcPr>
          <w:p>
            <w:pPr>
              <w:spacing w:after="0"/>
            </w:pPr>
            <w:r>
              <w:t>Dorothy M. Kessler and Raymond A. Dufresne, individually and on behalf of all others similarly situated v. Vantage Medical Devices, Inc.</w:t>
            </w:r>
          </w:p>
        </w:tc>
      </w:tr>
      <w:tr>
        <w:trPr>
          <w:cantSplit/>
        </w:trPr>
        <w:tc>
          <w:tcPr>
            <w:tcW w:type="dxa" w:w="1800"/>
            <w:tcMar>
              <w:top w:w="55" w:type="dxa"/>
              <w:start w:w="110" w:type="dxa"/>
              <w:bottom w:w="55" w:type="dxa"/>
              <w:end w:w="110" w:type="dxa"/>
            </w:tcMar>
            <w:shd w:fill="EEF4F8"/>
          </w:tcPr>
          <w:p>
            <w:pPr>
              <w:spacing w:after="0"/>
            </w:pPr>
            <w:r>
              <w:rPr>
                <w:b/>
                <w:color w:val="1F4E79"/>
                <w:sz w:val="16"/>
              </w:rPr>
              <w:t>COURT / CASE</w:t>
            </w:r>
          </w:p>
        </w:tc>
        <w:tc>
          <w:tcPr>
            <w:tcW w:type="dxa" w:w="8568"/>
            <w:tcMar>
              <w:top w:w="55" w:type="dxa"/>
              <w:start w:w="110" w:type="dxa"/>
              <w:bottom w:w="55" w:type="dxa"/>
              <w:end w:w="110" w:type="dxa"/>
            </w:tcMar>
          </w:tcPr>
          <w:p>
            <w:pPr>
              <w:spacing w:after="0"/>
            </w:pPr>
            <w:r>
              <w:t>United States District Court, Southern District of Indiana, Indianapolis Division | Case No. 1:25-cv-04387-RLM</w:t>
            </w:r>
          </w:p>
        </w:tc>
      </w:tr>
      <w:tr>
        <w:trPr>
          <w:cantSplit/>
        </w:trPr>
        <w:tc>
          <w:tcPr>
            <w:tcW w:type="dxa" w:w="1800"/>
            <w:tcMar>
              <w:top w:w="55" w:type="dxa"/>
              <w:start w:w="110" w:type="dxa"/>
              <w:bottom w:w="55" w:type="dxa"/>
              <w:end w:w="110" w:type="dxa"/>
            </w:tcMar>
            <w:shd w:fill="EEF4F8"/>
          </w:tcPr>
          <w:p>
            <w:pPr>
              <w:spacing w:after="0"/>
            </w:pPr>
            <w:r>
              <w:rPr>
                <w:b/>
                <w:color w:val="1F4E79"/>
                <w:sz w:val="16"/>
              </w:rPr>
              <w:t>TO</w:t>
            </w:r>
          </w:p>
        </w:tc>
        <w:tc>
          <w:tcPr>
            <w:tcW w:type="dxa" w:w="8568"/>
            <w:tcMar>
              <w:top w:w="55" w:type="dxa"/>
              <w:start w:w="110" w:type="dxa"/>
              <w:bottom w:w="55" w:type="dxa"/>
              <w:end w:w="110" w:type="dxa"/>
            </w:tcMar>
          </w:tcPr>
          <w:p>
            <w:pPr>
              <w:spacing w:after="0"/>
            </w:pPr>
            <w:r>
              <w:t>All identified custodians, relevant department heads and personnel, IT administrators, and each of the 85 field sales representatives receiving this notice</w:t>
            </w:r>
          </w:p>
        </w:tc>
      </w:tr>
      <w:tr>
        <w:trPr>
          <w:cantSplit/>
        </w:trPr>
        <w:tc>
          <w:tcPr>
            <w:tcW w:type="dxa" w:w="1800"/>
            <w:tcMar>
              <w:top w:w="55" w:type="dxa"/>
              <w:start w:w="110" w:type="dxa"/>
              <w:bottom w:w="55" w:type="dxa"/>
              <w:end w:w="110" w:type="dxa"/>
            </w:tcMar>
            <w:shd w:fill="EEF4F8"/>
          </w:tcPr>
          <w:p>
            <w:pPr>
              <w:spacing w:after="0"/>
            </w:pPr>
            <w:r>
              <w:rPr>
                <w:b/>
                <w:color w:val="1F4E79"/>
                <w:sz w:val="16"/>
              </w:rPr>
              <w:t>ISSUED BY</w:t>
            </w:r>
          </w:p>
        </w:tc>
        <w:tc>
          <w:tcPr>
            <w:tcW w:type="dxa" w:w="8568"/>
            <w:tcMar>
              <w:top w:w="55" w:type="dxa"/>
              <w:start w:w="110" w:type="dxa"/>
              <w:bottom w:w="55" w:type="dxa"/>
              <w:end w:w="110" w:type="dxa"/>
            </w:tcMar>
          </w:tcPr>
          <w:p>
            <w:pPr>
              <w:spacing w:after="0"/>
            </w:pPr>
            <w:r>
              <w:t>Priya Chandrasekaran, General Counsel, on behalf of Vantage Medical Devices, Inc.</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FF2CC"/>
            <w:tcMar>
              <w:top w:w="115" w:type="dxa"/>
              <w:start w:w="150" w:type="dxa"/>
              <w:bottom w:w="115" w:type="dxa"/>
              <w:end w:w="150" w:type="dxa"/>
            </w:tcMar>
            <w:tcBorders>
              <w:left w:val="single" w:sz="22" w:color="C99700"/>
            </w:tcBorders>
          </w:tcPr>
          <w:p>
            <w:pPr>
              <w:spacing w:after="0"/>
            </w:pPr>
            <w:r>
              <w:rPr>
                <w:b/>
                <w:color w:val="17365D"/>
              </w:rPr>
              <w:t xml:space="preserve">ACTION REQUIRED: </w:t>
            </w:r>
            <w:r>
              <w:t>Preserve all potentially relevant information immediately. Suspend routine deletion, disposal, device wiping, and data migration affecting covered material. Read this notice in full and return the signed acknowledgment by June 9, 2025.</w:t>
            </w:r>
          </w:p>
        </w:tc>
      </w:tr>
    </w:tbl>
    <w:p>
      <w:pPr>
        <w:spacing w:after="0"/>
      </w:pPr>
    </w:p>
    <w:p>
      <w:pPr>
        <w:pStyle w:val="Heading1"/>
      </w:pPr>
      <w:r>
        <w:t>1. Why you are receiving this notice</w:t>
      </w:r>
    </w:p>
    <w:p>
      <w:r>
        <w:t>Vantage was served on May 28, 2025 with a putative class action concerning the ProFlex KR-3000 Total Knee Replacement System. The complaint alleges design and manufacturing defects, premature wear and metal debris, inadequate testing and disclosure, post-market complaint and adverse-event handling failures, and fraudulent concealment. These are allegations, not findings. The action is pending as Kessler et al. v. Vantage Medical Devices, Inc., Case No. 1:25-cv-04387-RLM.</w:t>
      </w:r>
    </w:p>
    <w:p>
      <w:r>
        <w:t>Because litigation is pending, Vantage must preserve potentially relevant evidence. This notice applies to information in your possession, custody, or control, including information stored on company systems, devices, paper files, and personal accounts or devices used for Vantage business. The duty continues until the General Counsel gives you written notice that the hold has been lifted.</w:t>
      </w:r>
    </w:p>
    <w:p>
      <w:pPr>
        <w:pStyle w:val="Heading1"/>
      </w:pPr>
      <w:r>
        <w:t>2. What must be preserved</w:t>
      </w:r>
    </w:p>
    <w:p>
      <w:r>
        <w:t>Preserve all documents and information, from January 1, 2017 through the present and on a continuing, forward-looking basis, that relate to the KR-3000, its predicate ProFlex KR-2500, or the subjects below. Preserve items regardless of whether they support or undermine any allegation, are final or draft, or appear duplicative. When uncertain, preserve and ask Legal.</w:t>
      </w:r>
    </w:p>
    <w:p>
      <w:pPr>
        <w:pStyle w:val="CompactBullet"/>
        <w:ind w:left="331" w:hanging="230"/>
      </w:pPr>
      <w:r>
        <w:rPr>
          <w:b/>
          <w:color w:val="0F6B78"/>
        </w:rPr>
        <w:t xml:space="preserve">• </w:t>
      </w:r>
      <w:r>
        <w:t>Product design and development; design history files; engineering notebooks; CAD/SolidWorks files; FEA models; design reviews and change orders; materials, specifications, risk analyses, and design verification and validation.</w:t>
      </w:r>
    </w:p>
    <w:p>
      <w:pPr>
        <w:pStyle w:val="CompactBullet"/>
        <w:ind w:left="331" w:hanging="230"/>
      </w:pPr>
      <w:r>
        <w:rPr>
          <w:b/>
          <w:color w:val="0F6B78"/>
        </w:rPr>
        <w:t xml:space="preserve">• </w:t>
      </w:r>
      <w:r>
        <w:t>Pre-market and post-market testing, including bench and wear testing; cyclical loading; surface finish, roughening, metallurgical, materials-science, retrieval, and failure analyses, especially work from 2017–2019 and the Q3 2022 metallurgical analysis.</w:t>
      </w:r>
    </w:p>
    <w:p>
      <w:pPr>
        <w:pStyle w:val="CompactBullet"/>
        <w:ind w:left="331" w:hanging="230"/>
      </w:pPr>
      <w:r>
        <w:rPr>
          <w:b/>
          <w:color w:val="0F6B78"/>
        </w:rPr>
        <w:t xml:space="preserve">• </w:t>
      </w:r>
      <w:r>
        <w:t>Manufacturing and quality: batch/device-history records; production orders; bills of material and routings; CoCrMo, UHMWPE, and titanium materials; incoming inspection; process validation; surface-finish measurements; deviations, nonconformances, supplier quality, and Ashford Precision Components records and communications.</w:t>
      </w:r>
    </w:p>
    <w:p>
      <w:pPr>
        <w:pStyle w:val="CompactBullet"/>
        <w:ind w:left="331" w:hanging="230"/>
      </w:pPr>
      <w:r>
        <w:rPr>
          <w:b/>
          <w:color w:val="0F6B78"/>
        </w:rPr>
        <w:t xml:space="preserve">• </w:t>
      </w:r>
      <w:r>
        <w:t>Regulatory and quality-system records: 510(k) submission K192847 and ProFlex KR-2500 predicate materials; FDA submissions and correspondence; labeling/IFUs; complaints; complaint trending; CAPAs; MDRs; adverse-event assessments; audits; field safety, recall, correction/removal, or other corrective-action evaluations.</w:t>
      </w:r>
    </w:p>
    <w:p>
      <w:pPr>
        <w:pStyle w:val="CompactBullet"/>
        <w:ind w:left="331" w:hanging="230"/>
      </w:pPr>
      <w:r>
        <w:rPr>
          <w:b/>
          <w:color w:val="0F6B78"/>
        </w:rPr>
        <w:t xml:space="preserve">• </w:t>
      </w:r>
      <w:r>
        <w:t>Clinical and post-market information: clinical studies, post-market surveillance and follow-up, clinical evaluations, revision/failure-rate analyses, metal-ion data, surgeon advisory board and KOL materials, and communications about KR-3000 performance or patient outcomes.</w:t>
      </w:r>
    </w:p>
    <w:p>
      <w:pPr>
        <w:pStyle w:val="CompactBullet"/>
        <w:ind w:left="331" w:hanging="230"/>
      </w:pPr>
      <w:r>
        <w:rPr>
          <w:b/>
          <w:color w:val="0F6B78"/>
        </w:rPr>
        <w:t xml:space="preserve">• </w:t>
      </w:r>
      <w:r>
        <w:t>Sales, marketing, training, and field activity: promotional claims and presentations; surgeon training; sales-force communications; CRM records; complaint escalations; surgeon/hospital interactions; product demonstrations; warranty reserves, product-liability accruals, and business decisions concerning the KR-3000.</w:t>
      </w:r>
    </w:p>
    <w:p>
      <w:pPr>
        <w:pStyle w:val="CompactBullet"/>
        <w:ind w:left="331" w:hanging="230"/>
      </w:pPr>
      <w:r>
        <w:rPr>
          <w:b/>
          <w:color w:val="0F6B78"/>
        </w:rPr>
        <w:t xml:space="preserve">• </w:t>
      </w:r>
      <w:r>
        <w:t>Information concerning Dorothy M. Kessler, Raymond A. Dufresne, their implants, treating/implanting providers, and the facilities identified in the complaint, to the extent in Vantage’s possession, custody, or control.</w:t>
      </w:r>
    </w:p>
    <w:p>
      <w:pPr>
        <w:pStyle w:val="CompactBullet"/>
        <w:ind w:left="331" w:hanging="230"/>
      </w:pPr>
      <w:r>
        <w:rPr>
          <w:b/>
          <w:color w:val="0F6B78"/>
        </w:rPr>
        <w:t xml:space="preserve">• </w:t>
      </w:r>
      <w:r>
        <w:t>Related communications and attachments, including email, Teams, text/iMessage/SMS, WhatsApp, Signal, VantagePulse, voicemail, call logs, photographs, videos, calendar items, notes, and social or other messaging used for Vantage business.</w:t>
      </w:r>
    </w:p>
    <w:p>
      <w:pPr>
        <w:pStyle w:val="Heading1"/>
      </w:pPr>
      <w:r>
        <w:t>3. Sources and formats covered</w:t>
      </w:r>
    </w:p>
    <w:p>
      <w:r>
        <w:t>This is a preservation instruction, not a collection request. Do not delete, export over, or reorganize source data to “clean it up.” Preserve information in its original location and format, including metadata, audit trails, version history, attachments, links, and context.</w:t>
      </w:r>
    </w:p>
    <w:p>
      <w:pPr>
        <w:pStyle w:val="CompactBullet"/>
        <w:ind w:left="331" w:hanging="230"/>
      </w:pPr>
      <w:r>
        <w:rPr>
          <w:b/>
          <w:color w:val="0F6B78"/>
        </w:rPr>
        <w:t xml:space="preserve">• </w:t>
      </w:r>
      <w:r>
        <w:t>Microsoft 365: Exchange email and archives, calendars, Teams chats/channels, SharePoint, OneDrive, shared mailboxes, and attachments.</w:t>
      </w:r>
    </w:p>
    <w:p>
      <w:pPr>
        <w:pStyle w:val="CompactBullet"/>
        <w:ind w:left="331" w:hanging="230"/>
      </w:pPr>
      <w:r>
        <w:rPr>
          <w:b/>
          <w:color w:val="0F6B78"/>
        </w:rPr>
        <w:t xml:space="preserve">• </w:t>
      </w:r>
      <w:r>
        <w:t>SAP ECC 6.0 and SAP S/4HANA, including KR-3000 manufacturing, quality, supplier, inspection, change-history/audit, financial, and linked records.</w:t>
      </w:r>
    </w:p>
    <w:p>
      <w:pPr>
        <w:pStyle w:val="CompactBullet"/>
        <w:ind w:left="331" w:hanging="230"/>
      </w:pPr>
      <w:r>
        <w:rPr>
          <w:b/>
          <w:color w:val="0F6B78"/>
        </w:rPr>
        <w:t xml:space="preserve">• </w:t>
      </w:r>
      <w:r>
        <w:t>Veeva Vault QMS and Submissions: all relevant controlled records, including drafts, prior/superseded versions, audit trails, electronic signatures, relationships, and lifecycle metadata.</w:t>
      </w:r>
    </w:p>
    <w:p>
      <w:pPr>
        <w:pStyle w:val="CompactBullet"/>
        <w:ind w:left="331" w:hanging="230"/>
      </w:pPr>
      <w:r>
        <w:rPr>
          <w:b/>
          <w:color w:val="0F6B78"/>
        </w:rPr>
        <w:t xml:space="preserve">• </w:t>
      </w:r>
      <w:r>
        <w:t>Salesforce and associated exports/attachments; VantagePulse cloud and on-device data, including locally stored messages, photographs, notes, feedback, and offline activity.</w:t>
      </w:r>
    </w:p>
    <w:p>
      <w:pPr>
        <w:pStyle w:val="CompactBullet"/>
        <w:ind w:left="331" w:hanging="230"/>
      </w:pPr>
      <w:r>
        <w:rPr>
          <w:b/>
          <w:color w:val="0F6B78"/>
        </w:rPr>
        <w:t xml:space="preserve">• </w:t>
      </w:r>
      <w:r>
        <w:t>Company-issued computers, phones, removable media, local folders, home/network drives, departmental shares (including \VNTG-ENG01\RnD\KR3000), SolidWorks PDM, databases, and paper files/notebooks.</w:t>
      </w:r>
    </w:p>
    <w:p>
      <w:pPr>
        <w:pStyle w:val="CompactBullet"/>
        <w:ind w:left="331" w:hanging="230"/>
      </w:pPr>
      <w:r>
        <w:rPr>
          <w:b/>
          <w:color w:val="0F6B78"/>
        </w:rPr>
        <w:t xml:space="preserve">• </w:t>
      </w:r>
      <w:r>
        <w:t>Personal phones, email, messaging applications, and cloud storage only to the extent used for Vantage business or containing potentially relevant Vantage information. This includes personal Gmail, iCloud, Google Drive, Dropbox, WhatsApp, Signal, and iMessage/SMS.</w:t>
      </w:r>
    </w:p>
    <w:p>
      <w:pPr>
        <w:pStyle w:val="Heading1"/>
      </w:pPr>
      <w:r>
        <w:t>4. Immediate instructions — do not delete, alter, or destroy</w:t>
      </w:r>
    </w:p>
    <w:p>
      <w:pPr>
        <w:pStyle w:val="CompactBullet"/>
        <w:ind w:left="331" w:hanging="230"/>
      </w:pPr>
      <w:r>
        <w:rPr>
          <w:b/>
          <w:color w:val="0F6B78"/>
        </w:rPr>
        <w:t xml:space="preserve">• </w:t>
      </w:r>
      <w:r>
        <w:t>Stop any manual deletion, editing, overwriting, shredding, disposal, or alteration of covered information. Do not delete messages, empty trash/recycle folders, purge drafts, change retention settings, or remove files from devices or accounts.</w:t>
      </w:r>
    </w:p>
    <w:p>
      <w:pPr>
        <w:pStyle w:val="CompactBullet"/>
        <w:ind w:left="331" w:hanging="230"/>
      </w:pPr>
      <w:r>
        <w:rPr>
          <w:b/>
          <w:color w:val="0F6B78"/>
        </w:rPr>
        <w:t xml:space="preserve">• </w:t>
      </w:r>
      <w:r>
        <w:t>Do not use normal retention or offboarding procedures to delete or archive covered information. Do not permit an auto-purge, Veeva draft purge, mailbox or Teams deletion, shared-drive cleanup, SAP migration/archive/decommissioning, device refresh, factory reset, remote wipe, or backup-tape overwrite to affect covered information.</w:t>
      </w:r>
    </w:p>
    <w:p>
      <w:pPr>
        <w:pStyle w:val="CompactBullet"/>
        <w:ind w:left="331" w:hanging="230"/>
      </w:pPr>
      <w:r>
        <w:rPr>
          <w:b/>
          <w:color w:val="0F6B78"/>
        </w:rPr>
        <w:t xml:space="preserve">• </w:t>
      </w:r>
      <w:r>
        <w:t>Do not wipe, reset, trade in, return for reimaging, recycle, or replace a company device that may contain relevant information unless Legal has provided written authorization after preservation. Do not uninstall VantagePulse, WhatsApp, or other messaging apps, or change device settings to remove data.</w:t>
      </w:r>
    </w:p>
    <w:p>
      <w:pPr>
        <w:pStyle w:val="CompactBullet"/>
        <w:ind w:left="331" w:hanging="230"/>
      </w:pPr>
      <w:r>
        <w:rPr>
          <w:b/>
          <w:color w:val="0F6B78"/>
        </w:rPr>
        <w:t xml:space="preserve">• </w:t>
      </w:r>
      <w:r>
        <w:t>Do not move, rename, reformat, annotate, or modify potentially relevant files, messages, records, or paper originals. Keep physical records and notebooks secure and in their current condition; tell Legal if records are scheduled to be moved, transferred, or destroyed.</w:t>
      </w:r>
    </w:p>
    <w:p>
      <w:pPr>
        <w:pStyle w:val="CompactBullet"/>
        <w:ind w:left="331" w:hanging="230"/>
      </w:pPr>
      <w:r>
        <w:rPr>
          <w:b/>
          <w:color w:val="0F6B78"/>
        </w:rPr>
        <w:t xml:space="preserve">• </w:t>
      </w:r>
      <w:r>
        <w:t>Do not ask a third party to delete or alter records. Route questions about Ashford, VantagePulse, vendors, or any outside system to Legal; preserve Vantage copies and communications in the meantime.</w:t>
      </w:r>
    </w:p>
    <w:p>
      <w:pPr>
        <w:pStyle w:val="CompactBullet"/>
        <w:ind w:left="331" w:hanging="230"/>
      </w:pPr>
      <w:r>
        <w:rPr>
          <w:b/>
          <w:color w:val="0F6B78"/>
        </w:rPr>
        <w:t xml:space="preserve">• </w:t>
      </w:r>
      <w:r>
        <w:t>If information has already been deleted, lost, changed, wiped, or is scheduled for destruction—or if you discover a source not covered here—notify the General Counsel immediately. Do not attempt recovery or remediation without IT/Legal direction.</w:t>
      </w:r>
    </w:p>
    <w:p>
      <w:pPr>
        <w:pStyle w:val="Heading1"/>
      </w:pPr>
      <w:r>
        <w:t>5. Additional instructions for field sales representatives and mobile-device users</w:t>
      </w:r>
    </w:p>
    <w:p>
      <w:r>
        <w:t>This section applies to all 85 field sales representatives, including the 30 whose company-issued iPhones are scheduled for replacement beginning June 23, 2025, and to any other employee with potentially relevant mobile data.</w:t>
      </w:r>
    </w:p>
    <w:p>
      <w:pPr>
        <w:pStyle w:val="CompactBullet"/>
        <w:ind w:left="331" w:hanging="230"/>
      </w:pPr>
      <w:r>
        <w:rPr>
          <w:b/>
          <w:color w:val="0F6B78"/>
        </w:rPr>
        <w:t xml:space="preserve">• </w:t>
      </w:r>
      <w:r>
        <w:t>Preserve KR-3000-related text/iMessage/SMS, WhatsApp messages and media, VantagePulse content (including offline/local data), call logs, voicemail, photographs/videos, notes, and surgeon or hospital communications on company and personal devices/accounts.</w:t>
      </w:r>
    </w:p>
    <w:p>
      <w:pPr>
        <w:pStyle w:val="CompactBullet"/>
        <w:ind w:left="331" w:hanging="230"/>
      </w:pPr>
      <w:r>
        <w:rPr>
          <w:b/>
          <w:color w:val="0F6B78"/>
        </w:rPr>
        <w:t xml:space="preserve">• </w:t>
      </w:r>
      <w:r>
        <w:t>Do not delete conversations or attachments, clear app data, uninstall apps, change phones, transfer or reset a device, or accept or initiate a remote wipe. Keep the device available, charged, and protected; follow additional collection instructions from IT or Legal.</w:t>
      </w:r>
    </w:p>
    <w:p>
      <w:pPr>
        <w:pStyle w:val="CompactBullet"/>
        <w:ind w:left="331" w:hanging="230"/>
      </w:pPr>
      <w:r>
        <w:rPr>
          <w:b/>
          <w:color w:val="0F6B78"/>
        </w:rPr>
        <w:t xml:space="preserve">• </w:t>
      </w:r>
      <w:r>
        <w:t>Do not assume that email or Salesforce synchronization preserves text, WhatsApp, call-log, or VantagePulse data. Locally stored information may not be backed up centrally.</w:t>
      </w:r>
    </w:p>
    <w:p>
      <w:pPr>
        <w:pStyle w:val="CompactBullet"/>
        <w:ind w:left="331" w:hanging="230"/>
      </w:pPr>
      <w:r>
        <w:rPr>
          <w:b/>
          <w:color w:val="0F6B78"/>
        </w:rPr>
        <w:t xml:space="preserve">• </w:t>
      </w:r>
      <w:r>
        <w:t>The June 23 refresh and wipe is suspended for affected devices. All 85 representatives must preserve; Legal will coordinate targeted collection, prioritizing the 30 at-risk phones and other representatives based on relevant surgeon, complaint, and territory information.</w:t>
      </w:r>
    </w:p>
    <w:p>
      <w:pPr>
        <w:pStyle w:val="Heading1"/>
      </w:pPr>
      <w:r>
        <w:t>6. Personal devices and accounts; privacy-sensitive information</w:t>
      </w:r>
    </w:p>
    <w:p>
      <w:r>
        <w:t>If you used a personal device, personal email, messaging application, or personal cloud account for Vantage business, preserve the work-related information there and identify the device/account and applications in your acknowledgment or a confidential response to Legal. Do not delete, reset, or overwrite it. Do not provide your entire personal device or unrelated personal content to coworkers. Legal will coordinate any targeted preservation or collection protocol, taking account of privacy interests. If you are unsure whether a communication is business-related, preserve it and ask Legal.</w:t>
      </w:r>
    </w:p>
    <w:p>
      <w:pPr>
        <w:pStyle w:val="Heading1"/>
      </w:pPr>
      <w:r>
        <w:t>7. Special instructions for departing custodian Sandra K. Petrosian</w:t>
      </w:r>
    </w:p>
    <w:p>
      <w:r>
        <w:t>Ms. Petrosian’s last day is June 20, 2025. This hold overrides routine offboarding and device-return procedures for potentially relevant material. Do not reimage, wipe, redeploy, or recycle her laptop, iPhone, storage media, or data; do not purge her H: drive, mailbox, Teams, OneDrive, or Veeva records; and do not delete her accounts or records. IT, HR, and Legal will coordinate collection and account continuity. Forensic imaging must be completed by June 13, 2025, before departure; coordinate with HR, IT, and Legal. Ms. Petrosian should preserve any relevant work information on personal devices/accounts and cooperate with a preservation-focused exit interview.</w:t>
      </w:r>
    </w:p>
    <w:p>
      <w:pPr>
        <w:pStyle w:val="Heading1"/>
      </w:pPr>
      <w:r>
        <w:t>8. Privileged and confidential information</w:t>
      </w:r>
    </w:p>
    <w:p>
      <w:r>
        <w:t>Preserve potentially relevant communications with Legal and outside counsel, legal advice, and attorney work product; do not delete them. Do not forward, disclose, or place those materials in a general business review or production folder. Legal will handle privilege-sensitive collection and review separately. This instruction does not authorize disclosure to anyone outside Vantage.</w:t>
      </w:r>
    </w:p>
    <w:p>
      <w:pPr>
        <w:pStyle w:val="Heading1"/>
      </w:pPr>
      <w:r>
        <w:t>9. Acknowledgment, questions, and ongoing compliance</w:t>
      </w:r>
    </w:p>
    <w:p>
      <w:r>
        <w:t>Sign and return the acknowledgment below to the General Counsel’s Office by June 9, 2025 (five business days after the planned June 2 distribution). Identify any additional source or personal-device use and report any known loss or destruction. Your acknowledgment is not a substitute for preserving the information. Continue to comply, cooperate with reasonable collection and verification, and promptly report changes in devices, accounts, work role, or relevant data locations. Vantage Legal will issue periodic reminders and may conduct compliance checks.</w:t>
      </w:r>
    </w:p>
    <w:p>
      <w:r>
        <w:t>Questions or urgent preservation concerns: contact Priya Chandrasekaran, General Counsel, by replying to the email transmitting this notice or by contacting the Vantage Legal Department at extension 4200. For technical coordination, contact Marcus Tilden, Director of IT, at 260-555-0184; do not delay a preservation step while awaiting a response.</w:t>
      </w:r>
    </w:p>
    <w:tbl>
      <w:tblPr>
        <w:tblW w:type="auto" w:w="0"/>
        <w:jc w:val="center"/>
        <w:tblLayout w:type="fixed"/>
        <w:tblLook w:firstColumn="1" w:firstRow="1" w:lastColumn="0" w:lastRow="0" w:noHBand="0" w:noVBand="1" w:val="04A0"/>
      </w:tblPr>
      <w:tblGrid>
        <w:gridCol w:w="9994"/>
      </w:tblGrid>
      <w:tr>
        <w:tc>
          <w:tcPr>
            <w:tcW w:type="dxa" w:w="9994"/>
            <w:shd w:fill="E2F0D9"/>
            <w:tcMar>
              <w:top w:w="115" w:type="dxa"/>
              <w:start w:w="150" w:type="dxa"/>
              <w:bottom w:w="115" w:type="dxa"/>
              <w:end w:w="150" w:type="dxa"/>
            </w:tcMar>
            <w:tcBorders>
              <w:left w:val="single" w:sz="22" w:color="0F6B78"/>
            </w:tcBorders>
          </w:tcPr>
          <w:p>
            <w:pPr>
              <w:spacing w:after="0"/>
            </w:pPr>
            <w:r>
              <w:rPr>
                <w:b/>
                <w:color w:val="17365D"/>
              </w:rPr>
              <w:t xml:space="preserve">IMPORTANT: </w:t>
            </w:r>
            <w:r>
              <w:t>This hold remains in effect unless and until you receive written notice from the General Counsel that it has been lifted. Normal retention schedules do not apply to covered material while the hold is active.</w:t>
            </w:r>
          </w:p>
        </w:tc>
      </w:tr>
    </w:tbl>
    <w:p>
      <w:pPr>
        <w:spacing w:after="0"/>
      </w:pPr>
    </w:p>
    <w:p>
      <w:r>
        <w:br w:type="page"/>
      </w:r>
    </w:p>
    <w:p>
      <w:pPr>
        <w:pStyle w:val="Heading1"/>
      </w:pPr>
      <w:r>
        <w:t>LITIGATION HOLD ACKNOWLEDGMENT</w:t>
      </w:r>
    </w:p>
    <w:p>
      <w:r>
        <w:t>Please complete and return this page to the General Counsel’s Office by June 9, 2025. If you need additional room, attach a separate page. Do not include unrelated personal information.</w:t>
      </w:r>
    </w:p>
    <w:tbl>
      <w:tblPr>
        <w:tblW w:type="auto" w:w="0"/>
        <w:jc w:val="center"/>
        <w:tblLayout w:type="fixed"/>
        <w:tblLook w:firstColumn="1" w:firstRow="1" w:lastColumn="0" w:lastRow="0" w:noHBand="0" w:noVBand="1" w:val="04A0"/>
      </w:tblPr>
      <w:tblGrid>
        <w:gridCol w:w="4997"/>
        <w:gridCol w:w="4997"/>
      </w:tblGrid>
      <w:tr>
        <w:trPr>
          <w:cantSplit/>
        </w:trPr>
        <w:tc>
          <w:tcPr>
            <w:tcW w:type="dxa" w:w="1800"/>
            <w:tcMar>
              <w:top w:w="55" w:type="dxa"/>
              <w:start w:w="110" w:type="dxa"/>
              <w:bottom w:w="55" w:type="dxa"/>
              <w:end w:w="110" w:type="dxa"/>
            </w:tcMar>
            <w:shd w:fill="EEF4F8"/>
          </w:tcPr>
          <w:p>
            <w:pPr>
              <w:spacing w:after="0"/>
            </w:pPr>
            <w:r>
              <w:rPr>
                <w:b/>
                <w:color w:val="1F4E79"/>
                <w:sz w:val="16"/>
              </w:rPr>
              <w:t>NAME / TITLE</w:t>
            </w:r>
          </w:p>
        </w:tc>
        <w:tc>
          <w:tcPr>
            <w:tcW w:type="dxa" w:w="8568"/>
            <w:tcMar>
              <w:top w:w="55" w:type="dxa"/>
              <w:start w:w="110" w:type="dxa"/>
              <w:bottom w:w="55" w:type="dxa"/>
              <w:end w:w="110" w:type="dxa"/>
            </w:tcMar>
          </w:tcPr>
          <w:p>
            <w:pPr>
              <w:spacing w:after="0"/>
            </w:pPr>
            <w:r>
              <w:t>________________________________________________________________________________</w:t>
            </w:r>
          </w:p>
        </w:tc>
      </w:tr>
      <w:tr>
        <w:trPr>
          <w:cantSplit/>
        </w:trPr>
        <w:tc>
          <w:tcPr>
            <w:tcW w:type="dxa" w:w="1800"/>
            <w:tcMar>
              <w:top w:w="55" w:type="dxa"/>
              <w:start w:w="110" w:type="dxa"/>
              <w:bottom w:w="55" w:type="dxa"/>
              <w:end w:w="110" w:type="dxa"/>
            </w:tcMar>
            <w:shd w:fill="EEF4F8"/>
          </w:tcPr>
          <w:p>
            <w:pPr>
              <w:spacing w:after="0"/>
            </w:pPr>
            <w:r>
              <w:rPr>
                <w:b/>
                <w:color w:val="1F4E79"/>
                <w:sz w:val="16"/>
              </w:rPr>
              <w:t>DEPARTMENT / LOCATION</w:t>
            </w:r>
          </w:p>
        </w:tc>
        <w:tc>
          <w:tcPr>
            <w:tcW w:type="dxa" w:w="8568"/>
            <w:tcMar>
              <w:top w:w="55" w:type="dxa"/>
              <w:start w:w="110" w:type="dxa"/>
              <w:bottom w:w="55" w:type="dxa"/>
              <w:end w:w="110" w:type="dxa"/>
            </w:tcMar>
          </w:tcPr>
          <w:p>
            <w:pPr>
              <w:spacing w:after="0"/>
            </w:pPr>
            <w:r>
              <w:t>________________________________________________________________________________</w:t>
            </w:r>
          </w:p>
        </w:tc>
      </w:tr>
      <w:tr>
        <w:trPr>
          <w:cantSplit/>
        </w:trPr>
        <w:tc>
          <w:tcPr>
            <w:tcW w:type="dxa" w:w="1800"/>
            <w:tcMar>
              <w:top w:w="55" w:type="dxa"/>
              <w:start w:w="110" w:type="dxa"/>
              <w:bottom w:w="55" w:type="dxa"/>
              <w:end w:w="110" w:type="dxa"/>
            </w:tcMar>
            <w:shd w:fill="EEF4F8"/>
          </w:tcPr>
          <w:p>
            <w:pPr>
              <w:spacing w:after="0"/>
            </w:pPr>
            <w:r>
              <w:rPr>
                <w:b/>
                <w:color w:val="1F4E79"/>
                <w:sz w:val="16"/>
              </w:rPr>
              <w:t>DATE NOTICE RECEIVED</w:t>
            </w:r>
          </w:p>
        </w:tc>
        <w:tc>
          <w:tcPr>
            <w:tcW w:type="dxa" w:w="8568"/>
            <w:tcMar>
              <w:top w:w="55" w:type="dxa"/>
              <w:start w:w="110" w:type="dxa"/>
              <w:bottom w:w="55" w:type="dxa"/>
              <w:end w:w="110" w:type="dxa"/>
            </w:tcMar>
          </w:tcPr>
          <w:p>
            <w:pPr>
              <w:spacing w:after="0"/>
            </w:pPr>
            <w:r>
              <w:t>________________________________________________________________________________</w:t>
            </w:r>
          </w:p>
        </w:tc>
      </w:tr>
    </w:tbl>
    <w:p>
      <w:pPr>
        <w:spacing w:after="0"/>
      </w:pPr>
    </w:p>
    <w:p>
      <w:pPr>
        <w:spacing w:after="100"/>
      </w:pPr>
      <w:r>
        <w:rPr>
          <w:b/>
        </w:rPr>
        <w:t xml:space="preserve">☐  </w:t>
      </w:r>
      <w:r>
        <w:t>I received, read, and understand the Litigation Hold Notice for Kessler et al. v. Vantage Medical Devices, Inc., Case No. 1:25-cv-04387-RLM.</w:t>
      </w:r>
    </w:p>
    <w:p>
      <w:pPr>
        <w:spacing w:after="100"/>
      </w:pPr>
      <w:r>
        <w:rPr>
          <w:b/>
        </w:rPr>
        <w:t xml:space="preserve">☐  </w:t>
      </w:r>
      <w:r>
        <w:t>I understand that I must preserve potentially relevant information from January 1, 2017 through the present and going forward, including information on company and applicable personal devices/accounts, and must continue until written release by the General Counsel.</w:t>
      </w:r>
    </w:p>
    <w:p>
      <w:pPr>
        <w:spacing w:after="100"/>
      </w:pPr>
      <w:r>
        <w:rPr>
          <w:b/>
        </w:rPr>
        <w:t xml:space="preserve">☐  </w:t>
      </w:r>
      <w:r>
        <w:t>I have stopped any routine or manual deletion, alteration, disposal, wipe, or retention process that could affect covered information, and I will promptly report any known loss, destruction, or risk.</w:t>
      </w:r>
    </w:p>
    <w:p>
      <w:r>
        <w:t>Potentially relevant locations or formats in my possession/control (check all that apply):</w:t>
      </w:r>
    </w:p>
    <w:p>
      <w:pPr>
        <w:spacing w:after="40"/>
      </w:pPr>
      <w:r>
        <w:t>☐  M365 email / Teams / SharePoint / OneDrive / calendar</w:t>
      </w:r>
    </w:p>
    <w:p>
      <w:pPr>
        <w:spacing w:after="40"/>
      </w:pPr>
      <w:r>
        <w:t>☐  Company computer, local files, removable media, network or shared drive</w:t>
      </w:r>
    </w:p>
    <w:p>
      <w:pPr>
        <w:spacing w:after="40"/>
      </w:pPr>
      <w:r>
        <w:t>☐  SAP / Veeva Vault / Salesforce / VantagePulse</w:t>
      </w:r>
    </w:p>
    <w:p>
      <w:pPr>
        <w:spacing w:after="40"/>
      </w:pPr>
      <w:r>
        <w:t>☐  Company-issued mobile device or other company device</w:t>
      </w:r>
    </w:p>
    <w:p>
      <w:pPr>
        <w:spacing w:after="40"/>
      </w:pPr>
      <w:r>
        <w:t>☐  Personal device, personal email, messaging app, or personal cloud used for Vantage business</w:t>
      </w:r>
    </w:p>
    <w:p>
      <w:pPr>
        <w:spacing w:after="40"/>
      </w:pPr>
      <w:r>
        <w:t>☐  Paper records, notebooks, notes, photographs, or other physical material</w:t>
      </w:r>
    </w:p>
    <w:p>
      <w:pPr>
        <w:spacing w:after="40"/>
      </w:pPr>
      <w:r>
        <w:t>☐  Other source (describe below)</w:t>
      </w:r>
    </w:p>
    <w:p>
      <w:r>
        <w:t>Additional source(s), relevant personal account/device/app use, known deletion/loss, scheduled system/device change, or other preservation concern (write “None known” if none):</w:t>
      </w:r>
    </w:p>
    <w:p>
      <w:pPr>
        <w:spacing w:after="40"/>
      </w:pPr>
      <w:r>
        <w:t>________________________________________________________________________________________________</w:t>
      </w:r>
    </w:p>
    <w:p>
      <w:pPr>
        <w:spacing w:after="40"/>
      </w:pPr>
      <w:r>
        <w:t>________________________________________________________________________________________________</w:t>
      </w:r>
    </w:p>
    <w:p>
      <w:pPr>
        <w:spacing w:after="40"/>
      </w:pPr>
      <w:r>
        <w:t>________________________________________________________________________________________________</w:t>
      </w:r>
    </w:p>
    <w:p>
      <w:pPr>
        <w:spacing w:after="40"/>
      </w:pPr>
      <w:r>
        <w:t>________________________________________________________________________________________________</w:t>
      </w:r>
    </w:p>
    <w:p>
      <w:r>
        <w:t>I will immediately notify the General Counsel if I identify additional relevant information or become aware of any actual or potential loss or alteration.</w:t>
      </w:r>
    </w:p>
    <w:p>
      <w:pPr>
        <w:spacing w:before="200"/>
      </w:pPr>
      <w:r>
        <w:t>Signature: ____________________________________________   Date: ____________________</w:t>
      </w:r>
    </w:p>
    <w:p>
      <w:r>
        <w:t>Return to: General Counsel, Vantage Medical Devices, Inc. — reply to the notice email or contact the Vantage Legal Department at 260-555-4200.</w:t>
      </w:r>
    </w:p>
    <w:sectPr w:rsidR="00FC693F" w:rsidRPr="0006063C" w:rsidSect="00034616">
      <w:headerReference w:type="default" r:id="rId9"/>
      <w:footerReference w:type="default" r:id="rId10"/>
      <w:pgSz w:w="12240" w:h="15840"/>
      <w:pgMar w:top="950" w:right="1123" w:bottom="950"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color w:val="5B6573"/>
        <w:sz w:val="15"/>
      </w:rPr>
      <w:t xml:space="preserve">CONFIDENTIAL — LITIGATION HOLD  |  VANTAGE MEDICAL DEVICES, INC.  •  </w:t>
    </w:r>
    <w:r>
      <w:rPr>
        <w:color w:val="5B6573"/>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3" w:color="1F4E79"/>
      </w:pBdr>
    </w:pPr>
    <w:r>
      <w:rPr>
        <w:rFonts w:ascii="Aptos" w:hAnsi="Aptos"/>
        <w:b/>
        <w:color w:val="1F4E79"/>
        <w:sz w:val="16"/>
      </w:rPr>
      <w:t>VANTAGE MEDICAL DEVICES | LITIGATION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line="250" w:lineRule="auto"/>
      <w:ind w:left="331" w:hanging="230"/>
    </w:pPr>
    <w:rPr>
      <w:rFonts w:ascii="Aptos" w:hAnsi="Aptos"/>
      <w:sz w:val="19"/>
    </w:rPr>
  </w:style>
  <w:style w:type="paragraph" w:customStyle="1" w:styleId="Small">
    <w:name w:val="Small"/>
    <w:basedOn w:val="Normal"/>
    <w:pPr>
      <w:spacing w:after="4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