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line="276" w:lineRule="auto" w:after="240"/>
        <w:ind w:firstLine="0"/>
        <w:jc w:val="center"/>
      </w:pPr>
      <w:r>
        <w:rPr>
          <w:rFonts w:ascii="Times New Roman" w:hAnsi="Times New Roman"/>
          <w:b/>
          <w:bCs/>
        </w:rPr>
        <w:t xml:space="preserve">IN THE UNITED STATES DISTRICT COURT</w:t>
      </w:r>
      <w:r>
        <w:rPr>
          <w:rFonts w:ascii="Times New Roman" w:hAnsi="Times New Roman"/>
        </w:rPr>
        <w:br/>
      </w:r>
      <w:r>
        <w:rPr>
          <w:rFonts w:ascii="Times New Roman" w:hAnsi="Times New Roman"/>
          <w:b/>
          <w:bCs/>
        </w:rPr>
        <w:t xml:space="preserve">FOR THE WESTERN DISTRICT OF PENNSYLVANIA</w:t>
      </w:r>
    </w:p>
    <w:p>
      <w:pPr>
        <w:pStyle w:val="CaptionBlock"/>
        <w:spacing w:line="240" w:lineRule="auto" w:after="200"/>
        <w:ind w:firstLine="0"/>
      </w:pPr>
      <w:r>
        <w:rPr>
          <w:rFonts w:ascii="Times New Roman" w:hAnsi="Times New Roman"/>
        </w:rPr>
        <w:t xml:space="preserve">RIDGELINE MANUFACTURING CORP.,</w:t>
      </w:r>
      <w:r>
        <w:rPr>
          <w:rFonts w:ascii="Times New Roman" w:hAnsi="Times New Roman"/>
        </w:rPr>
        <w:br/>
      </w:r>
      <w:r>
        <w:rPr>
          <w:rFonts w:ascii="Times New Roman" w:hAnsi="Times New Roman"/>
        </w:rPr>
        <w:t xml:space="preserve">Plaintiff and Counterclaim-Defendant,</w:t>
      </w:r>
      <w:r>
        <w:rPr>
          <w:rFonts w:ascii="Times New Roman" w:hAnsi="Times New Roman"/>
        </w:rPr>
        <w:br/>
      </w:r>
      <w:r>
        <w:rPr>
          <w:rFonts w:ascii="Times New Roman" w:hAnsi="Times New Roman"/>
        </w:rPr>
        <w:br/>
      </w:r>
      <w:r>
        <w:rPr>
          <w:rFonts w:ascii="Times New Roman" w:hAnsi="Times New Roman"/>
        </w:rPr>
        <w:t xml:space="preserve">v.</w:t>
      </w:r>
      <w:r>
        <w:rPr>
          <w:rFonts w:ascii="Times New Roman" w:hAnsi="Times New Roman"/>
        </w:rPr>
        <w:br/>
      </w:r>
      <w:r>
        <w:rPr>
          <w:rFonts w:ascii="Times New Roman" w:hAnsi="Times New Roman"/>
        </w:rPr>
        <w:br/>
      </w:r>
      <w:r>
        <w:rPr>
          <w:rFonts w:ascii="Times New Roman" w:hAnsi="Times New Roman"/>
        </w:rPr>
        <w:t xml:space="preserve">APEX DIGITAL SOLUTIONS, INC.,</w:t>
      </w:r>
      <w:r>
        <w:rPr>
          <w:rFonts w:ascii="Times New Roman" w:hAnsi="Times New Roman"/>
        </w:rPr>
        <w:br/>
      </w:r>
      <w:r>
        <w:rPr>
          <w:rFonts w:ascii="Times New Roman" w:hAnsi="Times New Roman"/>
        </w:rPr>
        <w:t xml:space="preserve">Defendant and Counterclaim-Plaintiff.</w:t>
      </w:r>
    </w:p>
    <w:p>
      <w:pPr>
        <w:pStyle w:val="CaptionBlock"/>
        <w:spacing w:line="240" w:lineRule="auto" w:after="200"/>
        <w:ind w:firstLine="0"/>
      </w:pPr>
      <w:r>
        <w:rPr>
          <w:rFonts w:ascii="Times New Roman" w:hAnsi="Times New Roman"/>
        </w:rPr>
        <w:t xml:space="preserve">Civil Action No. 2:23-cv-01487-NMR</w:t>
      </w:r>
      <w:r>
        <w:rPr>
          <w:rFonts w:ascii="Times New Roman" w:hAnsi="Times New Roman"/>
        </w:rPr>
        <w:br/>
      </w:r>
      <w:r>
        <w:rPr>
          <w:rFonts w:ascii="Times New Roman" w:hAnsi="Times New Roman"/>
        </w:rPr>
        <w:br/>
      </w:r>
      <w:r>
        <w:rPr>
          <w:rFonts w:ascii="Times New Roman" w:hAnsi="Times New Roman"/>
        </w:rPr>
        <w:t xml:space="preserve">Hon. Natalie M. Riegert</w:t>
      </w:r>
      <w:r>
        <w:rPr>
          <w:rFonts w:ascii="Times New Roman" w:hAnsi="Times New Roman"/>
        </w:rPr>
        <w:br/>
      </w:r>
      <w:r>
        <w:rPr>
          <w:rFonts w:ascii="Times New Roman" w:hAnsi="Times New Roman"/>
        </w:rPr>
        <w:br/>
      </w:r>
      <w:r>
        <w:rPr>
          <w:rFonts w:ascii="Times New Roman" w:hAnsi="Times New Roman"/>
          <w:i/>
          <w:iCs/>
        </w:rPr>
        <w:t xml:space="preserve">Electronically Filed</w:t>
      </w:r>
    </w:p>
    <w:p>
      <w:pPr>
        <w:pStyle w:val="Centered"/>
        <w:spacing w:line="276" w:lineRule="auto" w:after="240"/>
        <w:ind w:firstLine="0"/>
        <w:jc w:val="center"/>
      </w:pPr>
      <w:r>
        <w:rPr>
          <w:rFonts w:ascii="Times New Roman" w:hAnsi="Times New Roman"/>
          <w:b/>
          <w:bCs/>
        </w:rPr>
        <w:t xml:space="preserve">PLAINTIFF RIDGELINE MANUFACTURING CORP.’S MOTION FOR PARTIAL SUMMARY JUDGMENT</w:t>
      </w:r>
    </w:p>
    <w:p>
      <w:pPr>
        <w:pStyle w:val="BodyText"/>
      </w:pPr>
      <w:r>
        <w:rPr>
          <w:rFonts w:ascii="Times New Roman" w:hAnsi="Times New Roman"/>
        </w:rPr>
        <w:t xml:space="preserve">Plaintiff and Counterclaim-Defendant Ridgeline Manufacturing Corp. (</w:t>
      </w:r>
      <w:r>
        <w:rPr>
          <w:rFonts w:ascii="Times New Roman" w:hAnsi="Times New Roman"/>
        </w:rPr>
        <w:t xml:space="preserve">“</w:t>
      </w:r>
      <w:r>
        <w:rPr>
          <w:rFonts w:ascii="Times New Roman" w:hAnsi="Times New Roman"/>
        </w:rPr>
        <w:t xml:space="preserve">Ridgeline</w:t>
      </w:r>
      <w:r>
        <w:rPr>
          <w:rFonts w:ascii="Times New Roman" w:hAnsi="Times New Roman"/>
        </w:rPr>
        <w:t xml:space="preserve">”</w:t>
      </w:r>
      <w:r>
        <w:rPr>
          <w:rFonts w:ascii="Times New Roman" w:hAnsi="Times New Roman"/>
        </w:rPr>
        <w:t xml:space="preserve">), by its undersigned counsel, moves under Federal Rule of Civil Procedure 56 and Local Civil Rule 56 for partial summary judgment against Defendant and Counterclaim-Plaintiff Apex Digital Solutions, Inc. (</w:t>
      </w:r>
      <w:r>
        <w:rPr>
          <w:rFonts w:ascii="Times New Roman" w:hAnsi="Times New Roman"/>
        </w:rPr>
        <w:t xml:space="preserve">“</w:t>
      </w:r>
      <w:r>
        <w:rPr>
          <w:rFonts w:ascii="Times New Roman" w:hAnsi="Times New Roman"/>
        </w:rPr>
        <w:t xml:space="preserve">Apex</w:t>
      </w:r>
      <w:r>
        <w:rPr>
          <w:rFonts w:ascii="Times New Roman" w:hAnsi="Times New Roman"/>
        </w:rPr>
        <w:t xml:space="preserve">”</w:t>
      </w:r>
      <w:r>
        <w:rPr>
          <w:rFonts w:ascii="Times New Roman" w:hAnsi="Times New Roman"/>
        </w:rPr>
        <w:t xml:space="preserve">). In support, Ridgeline states as follows:</w:t>
      </w:r>
    </w:p>
    <w:p>
      <w:pPr>
        <w:numPr>
          <w:ilvl w:val="0"/>
          <w:numId w:val="1001"/>
        </w:numPr>
      </w:pPr>
      <w:r>
        <w:rPr>
          <w:rFonts w:ascii="Times New Roman" w:hAnsi="Times New Roman"/>
        </w:rPr>
        <w:t xml:space="preserve">Ridgeline is entitled to summary judgment on liability on its claim for breach of the parties’ Master Services Agreement (the</w:t>
      </w:r>
      <w:r>
        <w:rPr>
          <w:rFonts w:ascii="Times New Roman" w:hAnsi="Times New Roman"/>
        </w:rPr>
        <w:t xml:space="preserve"> </w:t>
      </w:r>
      <w:r>
        <w:rPr>
          <w:rFonts w:ascii="Times New Roman" w:hAnsi="Times New Roman"/>
        </w:rPr>
        <w:t xml:space="preserve">“</w:t>
      </w:r>
      <w:r>
        <w:rPr>
          <w:rFonts w:ascii="Times New Roman" w:hAnsi="Times New Roman"/>
        </w:rPr>
        <w:t xml:space="preserve">MSA</w:t>
      </w:r>
      <w:r>
        <w:rPr>
          <w:rFonts w:ascii="Times New Roman" w:hAnsi="Times New Roman"/>
        </w:rPr>
        <w:t xml:space="preserve">”</w:t>
      </w:r>
      <w:r>
        <w:rPr>
          <w:rFonts w:ascii="Times New Roman" w:hAnsi="Times New Roman"/>
        </w:rPr>
        <w:t xml:space="preserve">). The undisputed record, much of it consisting of Apex’s own admissions, shows that Apex missed firm, time-is-of-the-essence milestone dates; never completed Phase 2 or delivered a functioning Teamcenter integration or AS9100D module; breached the express warranties in MSA § 5.1(a), (b), and (e); and replaced its project manager in violation of MSA § 2.3. Ridgeline properly terminated for cause under MSA § 8.2 after Apex responded to a notice of breach by conditioning any cure on $1.2 million in additional fees. The MSA expressly provides that such a response</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constitute cure.</w:t>
      </w:r>
      <w:r>
        <w:rPr>
          <w:rFonts w:ascii="Times New Roman" w:hAnsi="Times New Roman"/>
        </w:rPr>
        <w:t xml:space="preserve">”</w:t>
      </w:r>
    </w:p>
    <w:p>
      <w:pPr>
        <w:numPr>
          <w:ilvl w:val="0"/>
          <w:numId w:val="1001"/>
        </w:numPr>
      </w:pPr>
      <w:r>
        <w:rPr>
          <w:rFonts w:ascii="Times New Roman" w:hAnsi="Times New Roman"/>
        </w:rPr>
        <w:t xml:space="preserve">Ridgeline is entitled to summary judgment on Apex’s counterclaim for $1,567,500 in unpaid milestone fees. Those payments were expressly conditioned on Ridgeline’s written sign-off on the Phase 2, UAT, and Go-Live milestones (MSA §§ 4.2, 4.4). None of those conditions occurred, and Apex’s own prior material breach bars its recovery.</w:t>
      </w:r>
    </w:p>
    <w:p>
      <w:pPr>
        <w:numPr>
          <w:ilvl w:val="0"/>
          <w:numId w:val="1001"/>
        </w:numPr>
      </w:pPr>
      <w:r>
        <w:rPr>
          <w:rFonts w:ascii="Times New Roman" w:hAnsi="Times New Roman"/>
        </w:rPr>
        <w:t xml:space="preserve">Ridgeline is entitled to summary judgment on liability on its claim for fraudulent inducement. Apex’s CEO, its Vice President of Sales, and its project manager admitted under oath that Apex’s pre-contract representations were false. Apex had never performed a Teamcenter integration for anyone, the two</w:t>
      </w:r>
      <w:r>
        <w:rPr>
          <w:rFonts w:ascii="Times New Roman" w:hAnsi="Times New Roman"/>
        </w:rPr>
        <w:t xml:space="preserve"> </w:t>
      </w:r>
      <w:r>
        <w:rPr>
          <w:rFonts w:ascii="Times New Roman" w:hAnsi="Times New Roman"/>
        </w:rPr>
        <w:t xml:space="preserve">“</w:t>
      </w:r>
      <w:r>
        <w:rPr>
          <w:rFonts w:ascii="Times New Roman" w:hAnsi="Times New Roman"/>
        </w:rPr>
        <w:t xml:space="preserve">completed</w:t>
      </w:r>
      <w:r>
        <w:rPr>
          <w:rFonts w:ascii="Times New Roman" w:hAnsi="Times New Roman"/>
        </w:rPr>
        <w:t xml:space="preserve">”</w:t>
      </w:r>
      <w:r>
        <w:rPr>
          <w:rFonts w:ascii="Times New Roman" w:hAnsi="Times New Roman"/>
        </w:rPr>
        <w:t xml:space="preserve"> </w:t>
      </w:r>
      <w:r>
        <w:rPr>
          <w:rFonts w:ascii="Times New Roman" w:hAnsi="Times New Roman"/>
        </w:rPr>
        <w:t xml:space="preserve">Teamcenter engagements it named did not exist as described, and it had one AS9100D-certified specialist, not the six it claimed. They also admitted that Apex knew the representations were false when it made them. The MSA’s integration clause does not bar the claim, because the MSA itself contains Apex’s representation that it possessed the</w:t>
      </w:r>
      <w:r>
        <w:rPr>
          <w:rFonts w:ascii="Times New Roman" w:hAnsi="Times New Roman"/>
        </w:rPr>
        <w:t xml:space="preserve"> </w:t>
      </w:r>
      <w:r>
        <w:rPr>
          <w:rFonts w:ascii="Times New Roman" w:hAnsi="Times New Roman"/>
        </w:rPr>
        <w:t xml:space="preserve">“</w:t>
      </w:r>
      <w:r>
        <w:rPr>
          <w:rFonts w:ascii="Times New Roman" w:hAnsi="Times New Roman"/>
        </w:rPr>
        <w:t xml:space="preserve">requisite skill, experience, personnel, and technical expertise</w:t>
      </w:r>
      <w:r>
        <w:rPr>
          <w:rFonts w:ascii="Times New Roman" w:hAnsi="Times New Roman"/>
        </w:rPr>
        <w:t xml:space="preserve">”</w:t>
      </w:r>
      <w:r>
        <w:rPr>
          <w:rFonts w:ascii="Times New Roman" w:hAnsi="Times New Roman"/>
        </w:rPr>
        <w:t xml:space="preserve"> </w:t>
      </w:r>
      <w:r>
        <w:rPr>
          <w:rFonts w:ascii="Times New Roman" w:hAnsi="Times New Roman"/>
        </w:rPr>
        <w:t xml:space="preserve">to perform. In the alternative, Ridgeline requests an order under Rule 56(g) stating that the elements of falsity, materiality, and Apex’s knowledge of falsity are established for trial.</w:t>
      </w:r>
    </w:p>
    <w:p>
      <w:pPr>
        <w:numPr>
          <w:ilvl w:val="0"/>
          <w:numId w:val="1001"/>
        </w:numPr>
      </w:pPr>
      <w:r>
        <w:rPr>
          <w:rFonts w:ascii="Times New Roman" w:hAnsi="Times New Roman"/>
        </w:rPr>
        <w:t xml:space="preserve">Ridgeline further requests a determination that the limitation-of-liability clause in MSA § 11.2 does not bar recovery of Ridgeline’s direct contract damages, which fall below the cap, and does not limit damages recoverable on Ridgeline’s fraud claim.</w:t>
      </w:r>
    </w:p>
    <w:p>
      <w:pPr>
        <w:numPr>
          <w:ilvl w:val="0"/>
          <w:numId w:val="1001"/>
        </w:numPr>
      </w:pPr>
      <w:r>
        <w:rPr>
          <w:rFonts w:ascii="Times New Roman" w:hAnsi="Times New Roman"/>
        </w:rPr>
        <w:t xml:space="preserve">This Motion is supported by Ridgeline’s Brief in Support, its Concise Statement of Undisputed Material Facts (</w:t>
      </w:r>
      <w:r>
        <w:rPr>
          <w:rFonts w:ascii="Times New Roman" w:hAnsi="Times New Roman"/>
        </w:rPr>
        <w:t xml:space="preserve">“</w:t>
      </w:r>
      <w:r>
        <w:rPr>
          <w:rFonts w:ascii="Times New Roman" w:hAnsi="Times New Roman"/>
        </w:rPr>
        <w:t xml:space="preserve">CSMF</w:t>
      </w:r>
      <w:r>
        <w:rPr>
          <w:rFonts w:ascii="Times New Roman" w:hAnsi="Times New Roman"/>
        </w:rPr>
        <w:t xml:space="preserve">”</w:t>
      </w:r>
      <w:r>
        <w:rPr>
          <w:rFonts w:ascii="Times New Roman" w:hAnsi="Times New Roman"/>
        </w:rPr>
        <w:t xml:space="preserve">) filed under LCvR 56.B.1, and its Appendix filed under LCvR 56.B.3, all filed contemporaneously and incorporated by reference.</w:t>
      </w:r>
    </w:p>
    <w:p>
      <w:pPr>
        <w:pStyle w:val="FirstParagraph"/>
      </w:pPr>
      <w:r>
        <w:rPr>
          <w:rFonts w:ascii="Times New Roman" w:hAnsi="Times New Roman"/>
        </w:rPr>
        <w:t xml:space="preserve">WHEREFORE, Ridgeline respectfully requests that the Court grant this Motion and enter the accompanying proposed Order.</w:t>
      </w:r>
    </w:p>
    <w:p>
      <w:pPr>
        <w:pStyle w:val="Signature"/>
        <w:spacing w:line="240" w:lineRule="auto" w:after="200"/>
        <w:ind w:firstLine="0" w:left="5040"/>
      </w:pPr>
      <w:r>
        <w:rPr>
          <w:rFonts w:ascii="Times New Roman" w:hAnsi="Times New Roman"/>
        </w:rPr>
        <w:t xml:space="preserve">Dated: ____________, 2025</w:t>
      </w:r>
    </w:p>
    <w:p>
      <w:pPr>
        <w:pStyle w:val="Signature"/>
        <w:spacing w:line="240" w:lineRule="auto" w:after="200"/>
        <w:ind w:firstLine="0" w:left="5040"/>
      </w:pPr>
      <w:r>
        <w:rPr>
          <w:rFonts w:ascii="Times New Roman" w:hAnsi="Times New Roman"/>
        </w:rPr>
        <w:t xml:space="preserve">Respectfully submitted,</w:t>
      </w:r>
    </w:p>
    <w:p>
      <w:pPr>
        <w:pStyle w:val="Signature"/>
        <w:spacing w:line="240" w:lineRule="auto" w:after="200"/>
        <w:ind w:firstLine="0" w:left="5040"/>
      </w:pPr>
      <w:r>
        <w:rPr>
          <w:rFonts w:ascii="Times New Roman" w:hAnsi="Times New Roman"/>
        </w:rPr>
        <w:t xml:space="preserve">HOLLISTER, VANCE &amp; TRASK LLP</w:t>
      </w:r>
    </w:p>
    <w:p>
      <w:pPr>
        <w:pStyle w:val="Signature"/>
        <w:spacing w:line="240" w:lineRule="auto" w:after="200"/>
        <w:ind w:firstLine="0" w:left="5040"/>
      </w:pPr>
      <w:r>
        <w:rPr>
          <w:rFonts w:ascii="Times New Roman" w:hAnsi="Times New Roman"/>
        </w:rPr>
        <w:t xml:space="preserve">/s/ [signature]</w:t>
      </w:r>
      <w:r>
        <w:rPr>
          <w:rFonts w:ascii="Times New Roman" w:hAnsi="Times New Roman"/>
        </w:rPr>
        <w:br/>
      </w:r>
      <w:r>
        <w:rPr>
          <w:rFonts w:ascii="Times New Roman" w:hAnsi="Times New Roman"/>
        </w:rPr>
        <w:t xml:space="preserve">Catherine Hollister (PA ID No. [______])</w:t>
      </w:r>
      <w:r>
        <w:rPr>
          <w:rFonts w:ascii="Times New Roman" w:hAnsi="Times New Roman"/>
        </w:rPr>
        <w:br/>
      </w:r>
      <w:r>
        <w:rPr>
          <w:rFonts w:ascii="Times New Roman" w:hAnsi="Times New Roman"/>
        </w:rPr>
        <w:t xml:space="preserve">Brian Delacroix (PA ID No. 327841)</w:t>
      </w:r>
      <w:r>
        <w:rPr>
          <w:rFonts w:ascii="Times New Roman" w:hAnsi="Times New Roman"/>
        </w:rPr>
        <w:br/>
      </w:r>
      <w:r>
        <w:rPr>
          <w:rFonts w:ascii="Times New Roman" w:hAnsi="Times New Roman"/>
        </w:rPr>
        <w:t xml:space="preserve">610 Grant Street, Suite 3200, Pittsburgh, PA 15219</w:t>
      </w:r>
      <w:r>
        <w:rPr>
          <w:rFonts w:ascii="Times New Roman" w:hAnsi="Times New Roman"/>
        </w:rPr>
        <w:br/>
      </w:r>
      <w:r>
        <w:rPr>
          <w:rFonts w:ascii="Times New Roman" w:hAnsi="Times New Roman"/>
        </w:rPr>
        <w:t xml:space="preserve">(412) 555-3400 | khollister@hvtlaw.com</w:t>
      </w:r>
    </w:p>
    <w:p>
      <w:pPr>
        <w:pStyle w:val="Signature"/>
        <w:spacing w:line="240" w:lineRule="auto" w:after="200"/>
        <w:ind w:firstLine="0" w:left="5040"/>
      </w:pPr>
      <w:r>
        <w:rPr>
          <w:rFonts w:ascii="Times New Roman" w:hAnsi="Times New Roman"/>
          <w:i/>
          <w:iCs/>
        </w:rPr>
        <w:t xml:space="preserve">Counsel for Plaintiff and Counterclaim-Defendant Ridgeline Manufacturing Corp.</w:t>
      </w:r>
    </w:p>
    <w:p>
      <w:pPr>
        <w:pStyle w:val="Centered"/>
        <w:spacing w:line="276" w:lineRule="auto" w:after="240"/>
        <w:ind w:firstLine="0"/>
        <w:jc w:val="center"/>
      </w:pPr>
      <w:r>
        <w:rPr>
          <w:rFonts w:ascii="Times New Roman" w:hAnsi="Times New Roman"/>
          <w:b/>
          <w:bCs/>
        </w:rPr>
        <w:t xml:space="preserve">BRIEF IN SUPPORT OF PLAINTIFF RIDGELINE MANUFACTURING CORP.’S MOTION FOR PARTIAL SUMMARY JUDGMENT</w:t>
      </w:r>
    </w:p>
    <w:bookmarkStart w:id="20" w:name="i.-introduction"/>
    <w:p>
      <w:pPr>
        <w:pStyle w:val="Heading1"/>
      </w:pPr>
      <w:r>
        <w:rPr>
          <w:rFonts w:ascii="Times New Roman" w:hAnsi="Times New Roman"/>
        </w:rPr>
        <w:t xml:space="preserve">I. INTRODUCTION</w:t>
      </w:r>
    </w:p>
    <w:p>
      <w:pPr>
        <w:pStyle w:val="FirstParagraph"/>
      </w:pPr>
      <w:r>
        <w:rPr>
          <w:rFonts w:ascii="Times New Roman" w:hAnsi="Times New Roman"/>
        </w:rPr>
        <w:t xml:space="preserve">Ridgeline hired Apex to implement an enterprise resource planning (</w:t>
      </w:r>
      <w:r>
        <w:rPr>
          <w:rFonts w:ascii="Times New Roman" w:hAnsi="Times New Roman"/>
        </w:rPr>
        <w:t xml:space="preserve">“</w:t>
      </w:r>
      <w:r>
        <w:rPr>
          <w:rFonts w:ascii="Times New Roman" w:hAnsi="Times New Roman"/>
        </w:rPr>
        <w:t xml:space="preserve">ERP</w:t>
      </w:r>
      <w:r>
        <w:rPr>
          <w:rFonts w:ascii="Times New Roman" w:hAnsi="Times New Roman"/>
        </w:rPr>
        <w:t xml:space="preserve">”</w:t>
      </w:r>
      <w:r>
        <w:rPr>
          <w:rFonts w:ascii="Times New Roman" w:hAnsi="Times New Roman"/>
        </w:rPr>
        <w:t xml:space="preserve">) system across its three aerospace and automotive component plants. Two capabilities mattered most: integrating the new system with Ridgeline’s Siemens Teamcenter engineering platform, and configuring an AS9100D aerospace quality module that Ridgeline’s certification and customers depend on. Apex won the $2.85 million engagement by telling Ridgeline that it had</w:t>
      </w:r>
      <w:r>
        <w:rPr>
          <w:rFonts w:ascii="Times New Roman" w:hAnsi="Times New Roman"/>
        </w:rPr>
        <w:t xml:space="preserve"> </w:t>
      </w:r>
      <w:r>
        <w:rPr>
          <w:rFonts w:ascii="Times New Roman" w:hAnsi="Times New Roman"/>
        </w:rPr>
        <w:t xml:space="preserve">“</w:t>
      </w:r>
      <w:r>
        <w:rPr>
          <w:rFonts w:ascii="Times New Roman" w:hAnsi="Times New Roman"/>
        </w:rPr>
        <w:t xml:space="preserve">deep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with Teamcenter integration and had</w:t>
      </w:r>
      <w:r>
        <w:rPr>
          <w:rFonts w:ascii="Times New Roman" w:hAnsi="Times New Roman"/>
        </w:rPr>
        <w:t xml:space="preserve"> </w:t>
      </w:r>
      <w:r>
        <w:rPr>
          <w:rFonts w:ascii="Times New Roman" w:hAnsi="Times New Roman"/>
        </w:rPr>
        <w:t xml:space="preserve">“</w:t>
      </w:r>
      <w:r>
        <w:rPr>
          <w:rFonts w:ascii="Times New Roman" w:hAnsi="Times New Roman"/>
        </w:rPr>
        <w:t xml:space="preserve">successfully completed this integration for multiple manufacturing clients.</w:t>
      </w:r>
      <w:r>
        <w:rPr>
          <w:rFonts w:ascii="Times New Roman" w:hAnsi="Times New Roman"/>
        </w:rPr>
        <w:t xml:space="preserve">”</w:t>
      </w:r>
      <w:r>
        <w:rPr>
          <w:rFonts w:ascii="Times New Roman" w:hAnsi="Times New Roman"/>
        </w:rPr>
        <w:t xml:space="preserve"> </w:t>
      </w:r>
      <w:r>
        <w:rPr>
          <w:rFonts w:ascii="Times New Roman" w:hAnsi="Times New Roman"/>
        </w:rPr>
        <w:t xml:space="preserve">It named two such clients and described the results of each. It also claimed</w:t>
      </w:r>
      <w:r>
        <w:rPr>
          <w:rFonts w:ascii="Times New Roman" w:hAnsi="Times New Roman"/>
        </w:rPr>
        <w:t xml:space="preserve"> </w:t>
      </w:r>
      <w:r>
        <w:rPr>
          <w:rFonts w:ascii="Times New Roman" w:hAnsi="Times New Roman"/>
        </w:rPr>
        <w:t xml:space="preserve">“</w:t>
      </w:r>
      <w:r>
        <w:rPr>
          <w:rFonts w:ascii="Times New Roman" w:hAnsi="Times New Roman"/>
        </w:rPr>
        <w:t xml:space="preserve">6 Certified AS9100D Implementation Specialists on Staff.</w:t>
      </w:r>
      <w:r>
        <w:rPr>
          <w:rFonts w:ascii="Times New Roman" w:hAnsi="Times New Roman"/>
        </w:rPr>
        <w:t xml:space="preserve">”</w:t>
      </w:r>
      <w:r>
        <w:rPr>
          <w:rFonts w:ascii="Times New Roman" w:hAnsi="Times New Roman"/>
        </w:rPr>
        <w:t xml:space="preserve"> </w:t>
      </w:r>
      <w:r>
        <w:rPr>
          <w:rFonts w:ascii="Times New Roman" w:hAnsi="Times New Roman"/>
        </w:rPr>
        <w:t xml:space="preserve">CSMF ¶¶ 6–7, 11, 15–16.</w:t>
      </w:r>
    </w:p>
    <w:p>
      <w:pPr>
        <w:pStyle w:val="BodyText"/>
      </w:pPr>
      <w:r>
        <w:rPr>
          <w:rFonts w:ascii="Times New Roman" w:hAnsi="Times New Roman"/>
        </w:rPr>
        <w:t xml:space="preserve">None of that was true, and Apex’s witnesses have said so under oath. Apex’s Vice President of Sales testified that Apex</w:t>
      </w:r>
      <w:r>
        <w:rPr>
          <w:rFonts w:ascii="Times New Roman" w:hAnsi="Times New Roman"/>
        </w:rPr>
        <w:t xml:space="preserve"> </w:t>
      </w:r>
      <w:r>
        <w:rPr>
          <w:rFonts w:ascii="Times New Roman" w:hAnsi="Times New Roman"/>
        </w:rPr>
        <w:t xml:space="preserve">“</w:t>
      </w:r>
      <w:r>
        <w:rPr>
          <w:rFonts w:ascii="Times New Roman" w:hAnsi="Times New Roman"/>
        </w:rPr>
        <w:t xml:space="preserve">never actually performed a Teamcenter integration for anyone before Ridgeline.</w:t>
      </w:r>
      <w:r>
        <w:rPr>
          <w:rFonts w:ascii="Times New Roman" w:hAnsi="Times New Roman"/>
        </w:rPr>
        <w:t xml:space="preserve">”</w:t>
      </w:r>
      <w:r>
        <w:rPr>
          <w:rFonts w:ascii="Times New Roman" w:hAnsi="Times New Roman"/>
        </w:rPr>
        <w:t xml:space="preserve"> </w:t>
      </w:r>
      <w:r>
        <w:rPr>
          <w:rFonts w:ascii="Times New Roman" w:hAnsi="Times New Roman"/>
        </w:rPr>
        <w:t xml:space="preserve">Its CEO testified that Apex had one AS9100D-certified employee, not six, and called the claim</w:t>
      </w:r>
      <w:r>
        <w:rPr>
          <w:rFonts w:ascii="Times New Roman" w:hAnsi="Times New Roman"/>
        </w:rPr>
        <w:t xml:space="preserve"> </w:t>
      </w:r>
      <w:r>
        <w:rPr>
          <w:rFonts w:ascii="Times New Roman" w:hAnsi="Times New Roman"/>
        </w:rPr>
        <w:t xml:space="preserve">“</w:t>
      </w:r>
      <w:r>
        <w:rPr>
          <w:rFonts w:ascii="Times New Roman" w:hAnsi="Times New Roman"/>
        </w:rPr>
        <w:t xml:space="preserve">aspirational.</w:t>
      </w:r>
      <w:r>
        <w:rPr>
          <w:rFonts w:ascii="Times New Roman" w:hAnsi="Times New Roman"/>
        </w:rPr>
        <w:t xml:space="preserve">”</w:t>
      </w:r>
      <w:r>
        <w:rPr>
          <w:rFonts w:ascii="Times New Roman" w:hAnsi="Times New Roman"/>
        </w:rPr>
        <w:t xml:space="preserve"> </w:t>
      </w:r>
      <w:r>
        <w:rPr>
          <w:rFonts w:ascii="Times New Roman" w:hAnsi="Times New Roman"/>
        </w:rPr>
        <w:t xml:space="preserve">Its project manager testified that he warned the sales lead before the Proposal went out, and was told</w:t>
      </w:r>
      <w:r>
        <w:rPr>
          <w:rFonts w:ascii="Times New Roman" w:hAnsi="Times New Roman"/>
        </w:rPr>
        <w:t xml:space="preserve"> </w:t>
      </w:r>
      <w:r>
        <w:rPr>
          <w:rFonts w:ascii="Times New Roman" w:hAnsi="Times New Roman"/>
        </w:rPr>
        <w:t xml:space="preserve">“</w:t>
      </w:r>
      <w:r>
        <w:rPr>
          <w:rFonts w:ascii="Times New Roman" w:hAnsi="Times New Roman"/>
        </w:rPr>
        <w:t xml:space="preserve">we’ll figure it out.</w:t>
      </w:r>
      <w:r>
        <w:rPr>
          <w:rFonts w:ascii="Times New Roman" w:hAnsi="Times New Roman"/>
        </w:rPr>
        <w:t xml:space="preserve">”</w:t>
      </w:r>
      <w:r>
        <w:rPr>
          <w:rFonts w:ascii="Times New Roman" w:hAnsi="Times New Roman"/>
        </w:rPr>
        <w:t xml:space="preserve"> </w:t>
      </w:r>
      <w:r>
        <w:rPr>
          <w:rFonts w:ascii="Times New Roman" w:hAnsi="Times New Roman"/>
        </w:rPr>
        <w:t xml:space="preserve">Ten weeks into the project he wrote internally:</w:t>
      </w:r>
      <w:r>
        <w:rPr>
          <w:rFonts w:ascii="Times New Roman" w:hAnsi="Times New Roman"/>
        </w:rPr>
        <w:t xml:space="preserve"> </w:t>
      </w:r>
      <w:r>
        <w:rPr>
          <w:rFonts w:ascii="Times New Roman" w:hAnsi="Times New Roman"/>
        </w:rPr>
        <w:t xml:space="preserve">“</w:t>
      </w:r>
      <w:r>
        <w:rPr>
          <w:rFonts w:ascii="Times New Roman" w:hAnsi="Times New Roman"/>
        </w:rPr>
        <w:t xml:space="preserve">We have zero experience with Teamcenter. I’ve been Googling the API docs for two weeks. . . . Don’t raise this with the client yet.</w:t>
      </w:r>
      <w:r>
        <w:rPr>
          <w:rFonts w:ascii="Times New Roman" w:hAnsi="Times New Roman"/>
        </w:rPr>
        <w:t xml:space="preserve">”</w:t>
      </w:r>
      <w:r>
        <w:rPr>
          <w:rFonts w:ascii="Times New Roman" w:hAnsi="Times New Roman"/>
        </w:rPr>
        <w:t xml:space="preserve"> </w:t>
      </w:r>
      <w:r>
        <w:rPr>
          <w:rFonts w:ascii="Times New Roman" w:hAnsi="Times New Roman"/>
        </w:rPr>
        <w:t xml:space="preserve">CSMF ¶¶ 18–27, 54.</w:t>
      </w:r>
    </w:p>
    <w:p>
      <w:pPr>
        <w:pStyle w:val="BodyText"/>
      </w:pPr>
      <w:r>
        <w:rPr>
          <w:rFonts w:ascii="Times New Roman" w:hAnsi="Times New Roman"/>
        </w:rPr>
        <w:t xml:space="preserve">The project unfolded accordingly. Phase 1 was eleven weeks late, and Apex’s project manager admits</w:t>
      </w:r>
      <w:r>
        <w:rPr>
          <w:rFonts w:ascii="Times New Roman" w:hAnsi="Times New Roman"/>
        </w:rPr>
        <w:t xml:space="preserve"> </w:t>
      </w:r>
      <w:r>
        <w:rPr>
          <w:rFonts w:ascii="Times New Roman" w:hAnsi="Times New Roman"/>
        </w:rPr>
        <w:t xml:space="preserve">“</w:t>
      </w:r>
      <w:r>
        <w:rPr>
          <w:rFonts w:ascii="Times New Roman" w:hAnsi="Times New Roman"/>
        </w:rPr>
        <w:t xml:space="preserve">[t]he delays were on our side.</w:t>
      </w:r>
      <w:r>
        <w:rPr>
          <w:rFonts w:ascii="Times New Roman" w:hAnsi="Times New Roman"/>
        </w:rPr>
        <w:t xml:space="preserve">”</w:t>
      </w:r>
      <w:r>
        <w:rPr>
          <w:rFonts w:ascii="Times New Roman" w:hAnsi="Times New Roman"/>
        </w:rPr>
        <w:t xml:space="preserve"> </w:t>
      </w:r>
      <w:r>
        <w:rPr>
          <w:rFonts w:ascii="Times New Roman" w:hAnsi="Times New Roman"/>
        </w:rPr>
        <w:t xml:space="preserve">Phase 2 was never completed. Apex’s Teamcenter design used what Ridgeline’s unrebutted expert describes as a deprecated, unsupported architecture, and seven of twelve critical AS9100D traceability requirements did not work. Apex then demanded $680,000, and later $1.2 million, in additional fees to finish work it had already contracted to deliver for a fixed price. When Ridgeline served a notice of breach, Apex offered to cure only if Ridgeline paid more money and granted more time. The MSA states in terms that such a response</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constitute cure.</w:t>
      </w:r>
      <w:r>
        <w:rPr>
          <w:rFonts w:ascii="Times New Roman" w:hAnsi="Times New Roman"/>
        </w:rPr>
        <w:t xml:space="preserve">”</w:t>
      </w:r>
      <w:r>
        <w:rPr>
          <w:rFonts w:ascii="Times New Roman" w:hAnsi="Times New Roman"/>
        </w:rPr>
        <w:t xml:space="preserve"> </w:t>
      </w:r>
      <w:r>
        <w:rPr>
          <w:rFonts w:ascii="Times New Roman" w:hAnsi="Times New Roman"/>
        </w:rPr>
        <w:t xml:space="preserve">CSMF ¶¶ 47, 59–61, 64–65, 71–78, 83.</w:t>
      </w:r>
    </w:p>
    <w:p>
      <w:pPr>
        <w:pStyle w:val="BodyText"/>
      </w:pPr>
      <w:r>
        <w:rPr>
          <w:rFonts w:ascii="Times New Roman" w:hAnsi="Times New Roman"/>
        </w:rPr>
        <w:t xml:space="preserve">No trial is needed to decide whether Apex breached the MSA, whether Apex may collect fees for milestones it never reached, or whether Apex knowingly misrepresented its capabilities. Ridgeline asks the Court to resolve those questions now and to reserve for trial only the amount of Ridgeline’s damages.</w:t>
      </w:r>
    </w:p>
    <w:bookmarkEnd w:id="20"/>
    <w:bookmarkStart w:id="25" w:name="ii.-statement-of-undisputed-facts"/>
    <w:p>
      <w:pPr>
        <w:pStyle w:val="Heading1"/>
      </w:pPr>
      <w:r>
        <w:rPr>
          <w:rFonts w:ascii="Times New Roman" w:hAnsi="Times New Roman"/>
        </w:rPr>
        <w:t xml:space="preserve">II. STATEMENT OF UNDISPUTED FACTS</w:t>
      </w:r>
    </w:p>
    <w:p>
      <w:pPr>
        <w:pStyle w:val="FirstParagraph"/>
      </w:pPr>
      <w:r>
        <w:rPr>
          <w:rFonts w:ascii="Times New Roman" w:hAnsi="Times New Roman"/>
        </w:rPr>
        <w:t xml:space="preserve">Ridgeline incorporates its CSMF and summarizes the material facts below.</w:t>
      </w:r>
    </w:p>
    <w:bookmarkStart w:id="21" w:name="a.-apexs-pre-contract-representations"/>
    <w:p>
      <w:pPr>
        <w:pStyle w:val="Heading2"/>
      </w:pPr>
      <w:r>
        <w:rPr>
          <w:rFonts w:ascii="Times New Roman" w:hAnsi="Times New Roman"/>
        </w:rPr>
        <w:t xml:space="preserve">A. Apex’s Pre-Contract Representations</w:t>
      </w:r>
    </w:p>
    <w:p>
      <w:pPr>
        <w:pStyle w:val="FirstParagraph"/>
      </w:pPr>
      <w:r>
        <w:rPr>
          <w:rFonts w:ascii="Times New Roman" w:hAnsi="Times New Roman"/>
        </w:rPr>
        <w:t xml:space="preserve">Ridgeline issued its RFP on January 10, 2022. CSMF ¶ 4. Apex’s January 28, 2022 Proposal, which was led by Vice President of Sales Tara Bellingham and approved by CEO Jordan Kresch, represented that Apex</w:t>
      </w:r>
      <w:r>
        <w:rPr>
          <w:rFonts w:ascii="Times New Roman" w:hAnsi="Times New Roman"/>
        </w:rPr>
        <w:t xml:space="preserve"> </w:t>
      </w:r>
      <w:r>
        <w:rPr>
          <w:rFonts w:ascii="Times New Roman" w:hAnsi="Times New Roman"/>
        </w:rPr>
        <w:t xml:space="preserve">“</w:t>
      </w:r>
      <w:r>
        <w:rPr>
          <w:rFonts w:ascii="Times New Roman" w:hAnsi="Times New Roman"/>
        </w:rPr>
        <w:t xml:space="preserve">has deep experience integrating Stratos ERP with Siemens Teamcenter and has successfully completed this integration for multiple manufacturing clients.</w:t>
      </w:r>
      <w:r>
        <w:rPr>
          <w:rFonts w:ascii="Times New Roman" w:hAnsi="Times New Roman"/>
        </w:rPr>
        <w:t xml:space="preserve">”</w:t>
      </w:r>
      <w:r>
        <w:rPr>
          <w:rFonts w:ascii="Times New Roman" w:hAnsi="Times New Roman"/>
        </w:rPr>
        <w:t xml:space="preserve"> </w:t>
      </w:r>
      <w:r>
        <w:rPr>
          <w:rFonts w:ascii="Times New Roman" w:hAnsi="Times New Roman"/>
        </w:rPr>
        <w:t xml:space="preserve">It also represented that Apex’s team</w:t>
      </w:r>
      <w:r>
        <w:rPr>
          <w:rFonts w:ascii="Times New Roman" w:hAnsi="Times New Roman"/>
        </w:rPr>
        <w:t xml:space="preserve"> </w:t>
      </w:r>
      <w:r>
        <w:rPr>
          <w:rFonts w:ascii="Times New Roman" w:hAnsi="Times New Roman"/>
        </w:rPr>
        <w:t xml:space="preserve">“</w:t>
      </w:r>
      <w:r>
        <w:rPr>
          <w:rFonts w:ascii="Times New Roman" w:hAnsi="Times New Roman"/>
        </w:rPr>
        <w:t xml:space="preserve">includes certified AS9100D compliance specialists,</w:t>
      </w:r>
      <w:r>
        <w:rPr>
          <w:rFonts w:ascii="Times New Roman" w:hAnsi="Times New Roman"/>
        </w:rPr>
        <w:t xml:space="preserve">”</w:t>
      </w:r>
      <w:r>
        <w:rPr>
          <w:rFonts w:ascii="Times New Roman" w:hAnsi="Times New Roman"/>
        </w:rPr>
        <w:t xml:space="preserve"> </w:t>
      </w:r>
      <w:r>
        <w:rPr>
          <w:rFonts w:ascii="Times New Roman" w:hAnsi="Times New Roman"/>
        </w:rPr>
        <w:t xml:space="preserve">who would be</w:t>
      </w:r>
      <w:r>
        <w:rPr>
          <w:rFonts w:ascii="Times New Roman" w:hAnsi="Times New Roman"/>
        </w:rPr>
        <w:t xml:space="preserve"> </w:t>
      </w:r>
      <w:r>
        <w:rPr>
          <w:rFonts w:ascii="Times New Roman" w:hAnsi="Times New Roman"/>
        </w:rPr>
        <w:t xml:space="preserve">“</w:t>
      </w:r>
      <w:r>
        <w:rPr>
          <w:rFonts w:ascii="Times New Roman" w:hAnsi="Times New Roman"/>
        </w:rPr>
        <w:t xml:space="preserve">engaged throughout all three phases.</w:t>
      </w:r>
      <w:r>
        <w:rPr>
          <w:rFonts w:ascii="Times New Roman" w:hAnsi="Times New Roman"/>
        </w:rPr>
        <w:t xml:space="preserve">”</w:t>
      </w:r>
      <w:r>
        <w:rPr>
          <w:rFonts w:ascii="Times New Roman" w:hAnsi="Times New Roman"/>
        </w:rPr>
        <w:t xml:space="preserve"> </w:t>
      </w:r>
      <w:r>
        <w:rPr>
          <w:rFonts w:ascii="Times New Roman" w:hAnsi="Times New Roman"/>
        </w:rPr>
        <w:t xml:space="preserve">CSMF ¶¶ 5–8. None of Apex’s formal references involved Teamcenter or AS9100D work. When Ridgeline’s project lead, Paul Szymanski, raised that gap on a February 14, 2022 call, Ms. Bellingham identified Corridor Metals and PrimeTech Industries as the Teamcenter projects. Mr. Szymanski recorded this in contemporaneous notes. CSMF ¶¶ 10–12. On February 22, 2022, Ms. Bellingham sent a Capability Summary. Its Slide 7 described both engagements as</w:t>
      </w:r>
      <w:r>
        <w:rPr>
          <w:rFonts w:ascii="Times New Roman" w:hAnsi="Times New Roman"/>
        </w:rPr>
        <w:t xml:space="preserve"> </w:t>
      </w:r>
      <w:r>
        <w:rPr>
          <w:rFonts w:ascii="Times New Roman" w:hAnsi="Times New Roman"/>
        </w:rPr>
        <w:t xml:space="preserve">“</w:t>
      </w:r>
      <w:r>
        <w:rPr>
          <w:rFonts w:ascii="Times New Roman" w:hAnsi="Times New Roman"/>
        </w:rPr>
        <w:t xml:space="preserve">[c]ompleted</w:t>
      </w:r>
      <w:r>
        <w:rPr>
          <w:rFonts w:ascii="Times New Roman" w:hAnsi="Times New Roman"/>
        </w:rPr>
        <w:t xml:space="preserve">”</w:t>
      </w:r>
      <w:r>
        <w:rPr>
          <w:rFonts w:ascii="Times New Roman" w:hAnsi="Times New Roman"/>
        </w:rPr>
        <w:t xml:space="preserve"> </w:t>
      </w:r>
      <w:r>
        <w:rPr>
          <w:rFonts w:ascii="Times New Roman" w:hAnsi="Times New Roman"/>
        </w:rPr>
        <w:t xml:space="preserve">Teamcenter integrations with quantified results, and its Slide 9 claimed</w:t>
      </w:r>
      <w:r>
        <w:rPr>
          <w:rFonts w:ascii="Times New Roman" w:hAnsi="Times New Roman"/>
        </w:rPr>
        <w:t xml:space="preserve"> </w:t>
      </w:r>
      <w:r>
        <w:rPr>
          <w:rFonts w:ascii="Times New Roman" w:hAnsi="Times New Roman"/>
        </w:rPr>
        <w:t xml:space="preserve">“</w:t>
      </w:r>
      <w:r>
        <w:rPr>
          <w:rFonts w:ascii="Times New Roman" w:hAnsi="Times New Roman"/>
        </w:rPr>
        <w:t xml:space="preserve">6 Certified AS9100D Implementation Specialists on Staff.</w:t>
      </w:r>
      <w:r>
        <w:rPr>
          <w:rFonts w:ascii="Times New Roman" w:hAnsi="Times New Roman"/>
        </w:rPr>
        <w:t xml:space="preserve">”</w:t>
      </w:r>
      <w:r>
        <w:rPr>
          <w:rFonts w:ascii="Times New Roman" w:hAnsi="Times New Roman"/>
        </w:rPr>
        <w:t xml:space="preserve"> </w:t>
      </w:r>
      <w:r>
        <w:rPr>
          <w:rFonts w:ascii="Times New Roman" w:hAnsi="Times New Roman"/>
        </w:rPr>
        <w:t xml:space="preserve">CSMF ¶¶ 13–17. The parties signed the MSA six days later. CSMF ¶ 33.</w:t>
      </w:r>
    </w:p>
    <w:bookmarkEnd w:id="21"/>
    <w:bookmarkStart w:id="22" w:name="X07c773c52cc3bd73933022d4da8d304afae10a3"/>
    <w:p>
      <w:pPr>
        <w:pStyle w:val="Heading2"/>
      </w:pPr>
      <w:r>
        <w:rPr>
          <w:rFonts w:ascii="Times New Roman" w:hAnsi="Times New Roman"/>
        </w:rPr>
        <w:t xml:space="preserve">B. Apex’s Admissions of Falsity and Knowledge</w:t>
      </w:r>
    </w:p>
    <w:p>
      <w:pPr>
        <w:pStyle w:val="FirstParagraph"/>
      </w:pPr>
      <w:r>
        <w:rPr>
          <w:rFonts w:ascii="Times New Roman" w:hAnsi="Times New Roman"/>
        </w:rPr>
        <w:t xml:space="preserve">Apex had never performed a Teamcenter integration for any client. Corridor Metals ran SAP, not Stratos, and Apex did no Teamcenter work for it. PrimeTech was a consulting assessment. CSMF ¶¶ 18–21. Apex had one AS9100D-certified employee, Gerald Frisk, who left in April 2022. No certified replacement was hired. CSMF ¶¶ 22–24, 53. Project manager Ryan Ostroff reviewed the Teamcenter language before the Proposal was submitted,</w:t>
      </w:r>
      <w:r>
        <w:rPr>
          <w:rFonts w:ascii="Times New Roman" w:hAnsi="Times New Roman"/>
        </w:rPr>
        <w:t xml:space="preserve"> </w:t>
      </w:r>
      <w:r>
        <w:rPr>
          <w:rFonts w:ascii="Times New Roman" w:hAnsi="Times New Roman"/>
        </w:rPr>
        <w:t xml:space="preserve">“</w:t>
      </w:r>
      <w:r>
        <w:rPr>
          <w:rFonts w:ascii="Times New Roman" w:hAnsi="Times New Roman"/>
        </w:rPr>
        <w:t xml:space="preserve">flagged concerns</w:t>
      </w:r>
      <w:r>
        <w:rPr>
          <w:rFonts w:ascii="Times New Roman" w:hAnsi="Times New Roman"/>
        </w:rPr>
        <w:t xml:space="preserve">”</w:t>
      </w:r>
      <w:r>
        <w:rPr>
          <w:rFonts w:ascii="Times New Roman" w:hAnsi="Times New Roman"/>
        </w:rPr>
        <w:t xml:space="preserve"> </w:t>
      </w:r>
      <w:r>
        <w:rPr>
          <w:rFonts w:ascii="Times New Roman" w:hAnsi="Times New Roman"/>
        </w:rPr>
        <w:t xml:space="preserve">to Ms. Bellingham, and was told</w:t>
      </w:r>
      <w:r>
        <w:rPr>
          <w:rFonts w:ascii="Times New Roman" w:hAnsi="Times New Roman"/>
        </w:rPr>
        <w:t xml:space="preserve"> </w:t>
      </w:r>
      <w:r>
        <w:rPr>
          <w:rFonts w:ascii="Times New Roman" w:hAnsi="Times New Roman"/>
        </w:rPr>
        <w:t xml:space="preserve">“</w:t>
      </w:r>
      <w:r>
        <w:rPr>
          <w:rFonts w:ascii="Times New Roman" w:hAnsi="Times New Roman"/>
        </w:rPr>
        <w:t xml:space="preserve">we’ll figure it out.</w:t>
      </w:r>
      <w:r>
        <w:rPr>
          <w:rFonts w:ascii="Times New Roman" w:hAnsi="Times New Roman"/>
        </w:rPr>
        <w:t xml:space="preserve">”</w:t>
      </w:r>
      <w:r>
        <w:rPr>
          <w:rFonts w:ascii="Times New Roman" w:hAnsi="Times New Roman"/>
        </w:rPr>
        <w:t xml:space="preserve"> </w:t>
      </w:r>
      <w:r>
        <w:rPr>
          <w:rFonts w:ascii="Times New Roman" w:hAnsi="Times New Roman"/>
        </w:rPr>
        <w:t xml:space="preserve">He</w:t>
      </w:r>
      <w:r>
        <w:rPr>
          <w:rFonts w:ascii="Times New Roman" w:hAnsi="Times New Roman"/>
        </w:rPr>
        <w:t xml:space="preserve"> </w:t>
      </w:r>
      <w:r>
        <w:rPr>
          <w:rFonts w:ascii="Times New Roman" w:hAnsi="Times New Roman"/>
        </w:rPr>
        <w:t xml:space="preserve">“</w:t>
      </w:r>
      <w:r>
        <w:rPr>
          <w:rFonts w:ascii="Times New Roman" w:hAnsi="Times New Roman"/>
        </w:rPr>
        <w:t xml:space="preserve">knew we hadn’t done those integrations.</w:t>
      </w:r>
      <w:r>
        <w:rPr>
          <w:rFonts w:ascii="Times New Roman" w:hAnsi="Times New Roman"/>
        </w:rPr>
        <w:t xml:space="preserve">”</w:t>
      </w:r>
      <w:r>
        <w:rPr>
          <w:rFonts w:ascii="Times New Roman" w:hAnsi="Times New Roman"/>
        </w:rPr>
        <w:t xml:space="preserve"> </w:t>
      </w:r>
      <w:r>
        <w:rPr>
          <w:rFonts w:ascii="Times New Roman" w:hAnsi="Times New Roman"/>
        </w:rPr>
        <w:t xml:space="preserve">CSMF ¶¶ 25–27. At the time, Apex faced a cash-flow shortfall and needed $2.5 million in new contracts by Q1 2022 to satisfy its lender’s covenants. Ridgeline was its largest pending opportunity. CSMF ¶¶ 29–30.</w:t>
      </w:r>
    </w:p>
    <w:bookmarkEnd w:id="22"/>
    <w:bookmarkStart w:id="23" w:name="c.-the-msa"/>
    <w:p>
      <w:pPr>
        <w:pStyle w:val="Heading2"/>
      </w:pPr>
      <w:r>
        <w:rPr>
          <w:rFonts w:ascii="Times New Roman" w:hAnsi="Times New Roman"/>
        </w:rPr>
        <w:t xml:space="preserve">C. The MSA</w:t>
      </w:r>
    </w:p>
    <w:p>
      <w:pPr>
        <w:pStyle w:val="FirstParagraph"/>
      </w:pPr>
      <w:r>
        <w:rPr>
          <w:rFonts w:ascii="Times New Roman" w:hAnsi="Times New Roman"/>
        </w:rPr>
        <w:t xml:space="preserve">The MSA recites that Apex</w:t>
      </w:r>
      <w:r>
        <w:rPr>
          <w:rFonts w:ascii="Times New Roman" w:hAnsi="Times New Roman"/>
        </w:rPr>
        <w:t xml:space="preserve"> </w:t>
      </w:r>
      <w:r>
        <w:rPr>
          <w:rFonts w:ascii="Times New Roman" w:hAnsi="Times New Roman"/>
        </w:rPr>
        <w:t xml:space="preserve">“</w:t>
      </w:r>
      <w:r>
        <w:rPr>
          <w:rFonts w:ascii="Times New Roman" w:hAnsi="Times New Roman"/>
        </w:rPr>
        <w:t xml:space="preserve">represents that it . . . possesses the requisite skill, experience, personnel, and technical expertise to perform the implementation services described herein.</w:t>
      </w:r>
      <w:r>
        <w:rPr>
          <w:rFonts w:ascii="Times New Roman" w:hAnsi="Times New Roman"/>
        </w:rPr>
        <w:t xml:space="preserve">”</w:t>
      </w:r>
      <w:r>
        <w:rPr>
          <w:rFonts w:ascii="Times New Roman" w:hAnsi="Times New Roman"/>
        </w:rPr>
        <w:t xml:space="preserve"> </w:t>
      </w:r>
      <w:r>
        <w:rPr>
          <w:rFonts w:ascii="Times New Roman" w:hAnsi="Times New Roman"/>
        </w:rPr>
        <w:t xml:space="preserve">It requires Teamcenter integration (§ 2.2(c)) and AS9100D module configuration (§ 2.2(d)). CSMF ¶¶ 35–37. It fixes milestone dates of July 15, 2022 (Phase 1), November 30, 2022 (Phase 2), and March 31, 2023 (Go-Live), and makes them</w:t>
      </w:r>
      <w:r>
        <w:rPr>
          <w:rFonts w:ascii="Times New Roman" w:hAnsi="Times New Roman"/>
        </w:rPr>
        <w:t xml:space="preserve"> </w:t>
      </w:r>
      <w:r>
        <w:rPr>
          <w:rFonts w:ascii="Times New Roman" w:hAnsi="Times New Roman"/>
        </w:rPr>
        <w:t xml:space="preserve">“</w:t>
      </w:r>
      <w:r>
        <w:rPr>
          <w:rFonts w:ascii="Times New Roman" w:hAnsi="Times New Roman"/>
        </w:rPr>
        <w:t xml:space="preserve">firm commitments</w:t>
      </w:r>
      <w:r>
        <w:rPr>
          <w:rFonts w:ascii="Times New Roman" w:hAnsi="Times New Roman"/>
        </w:rPr>
        <w:t xml:space="preserve">”</w:t>
      </w:r>
      <w:r>
        <w:rPr>
          <w:rFonts w:ascii="Times New Roman" w:hAnsi="Times New Roman"/>
        </w:rPr>
        <w:t xml:space="preserve"> </w:t>
      </w:r>
      <w:r>
        <w:rPr>
          <w:rFonts w:ascii="Times New Roman" w:hAnsi="Times New Roman"/>
        </w:rPr>
        <w:t xml:space="preserve">as to which time</w:t>
      </w:r>
      <w:r>
        <w:rPr>
          <w:rFonts w:ascii="Times New Roman" w:hAnsi="Times New Roman"/>
        </w:rPr>
        <w:t xml:space="preserve"> </w:t>
      </w:r>
      <w:r>
        <w:rPr>
          <w:rFonts w:ascii="Times New Roman" w:hAnsi="Times New Roman"/>
        </w:rPr>
        <w:t xml:space="preserve">“</w:t>
      </w:r>
      <w:r>
        <w:rPr>
          <w:rFonts w:ascii="Times New Roman" w:hAnsi="Times New Roman"/>
        </w:rPr>
        <w:t xml:space="preserve">[i]s of the [e]ssence,</w:t>
      </w:r>
      <w:r>
        <w:rPr>
          <w:rFonts w:ascii="Times New Roman" w:hAnsi="Times New Roman"/>
        </w:rPr>
        <w:t xml:space="preserve">”</w:t>
      </w:r>
      <w:r>
        <w:rPr>
          <w:rFonts w:ascii="Times New Roman" w:hAnsi="Times New Roman"/>
        </w:rPr>
        <w:t xml:space="preserve"> </w:t>
      </w:r>
      <w:r>
        <w:rPr>
          <w:rFonts w:ascii="Times New Roman" w:hAnsi="Times New Roman"/>
        </w:rPr>
        <w:t xml:space="preserve">modifiable only by an executed Change Order. CSMF ¶¶ 39–40. Apex warranted workmanlike performance consistent with industry standards, conformity to specifications, and properly qualified and certified personnel (§ 5.1(a), (b), (e)). CSMF ¶ 46. Apex could not replace its project manager without fifteen business days’ written notice and a replacement of equivalent qualifications (§ 2.3). CSMF ¶ 38. Milestone payments were conditioned on Ridgeline’s written sign-off (§ 4.4). CSMF ¶ 43. A response to a breach notice that conditions cure on additional fees or time</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constitute cure</w:t>
      </w:r>
      <w:r>
        <w:rPr>
          <w:rFonts w:ascii="Times New Roman" w:hAnsi="Times New Roman"/>
        </w:rPr>
        <w:t xml:space="preserve">”</w:t>
      </w:r>
      <w:r>
        <w:rPr>
          <w:rFonts w:ascii="Times New Roman" w:hAnsi="Times New Roman"/>
        </w:rPr>
        <w:t xml:space="preserve"> </w:t>
      </w:r>
      <w:r>
        <w:rPr>
          <w:rFonts w:ascii="Times New Roman" w:hAnsi="Times New Roman"/>
        </w:rPr>
        <w:t xml:space="preserve">(§ 8.2). CSMF ¶ 47.</w:t>
      </w:r>
    </w:p>
    <w:bookmarkEnd w:id="23"/>
    <w:bookmarkStart w:id="24" w:name="Xfbf62c141c1f472a6a3281d5ea50137ce95ee6d"/>
    <w:p>
      <w:pPr>
        <w:pStyle w:val="Heading2"/>
      </w:pPr>
      <w:r>
        <w:rPr>
          <w:rFonts w:ascii="Times New Roman" w:hAnsi="Times New Roman"/>
        </w:rPr>
        <w:t xml:space="preserve">D. Apex’s Performance and Ridgeline’s Termination</w:t>
      </w:r>
    </w:p>
    <w:p>
      <w:pPr>
        <w:pStyle w:val="FirstParagraph"/>
      </w:pPr>
      <w:r>
        <w:rPr>
          <w:rFonts w:ascii="Times New Roman" w:hAnsi="Times New Roman"/>
        </w:rPr>
        <w:t xml:space="preserve">On May 3, 2022, Mr. Ostroff wrote in Apex’s internal project channel that Apex had</w:t>
      </w:r>
      <w:r>
        <w:rPr>
          <w:rFonts w:ascii="Times New Roman" w:hAnsi="Times New Roman"/>
        </w:rPr>
        <w:t xml:space="preserve"> </w:t>
      </w:r>
      <w:r>
        <w:rPr>
          <w:rFonts w:ascii="Times New Roman" w:hAnsi="Times New Roman"/>
        </w:rPr>
        <w:t xml:space="preserve">“</w:t>
      </w:r>
      <w:r>
        <w:rPr>
          <w:rFonts w:ascii="Times New Roman" w:hAnsi="Times New Roman"/>
        </w:rPr>
        <w:t xml:space="preserve">zero experience with Teamcenter,</w:t>
      </w:r>
      <w:r>
        <w:rPr>
          <w:rFonts w:ascii="Times New Roman" w:hAnsi="Times New Roman"/>
        </w:rPr>
        <w:t xml:space="preserve">”</w:t>
      </w:r>
      <w:r>
        <w:rPr>
          <w:rFonts w:ascii="Times New Roman" w:hAnsi="Times New Roman"/>
        </w:rPr>
        <w:t xml:space="preserve"> </w:t>
      </w:r>
      <w:r>
        <w:rPr>
          <w:rFonts w:ascii="Times New Roman" w:hAnsi="Times New Roman"/>
        </w:rPr>
        <w:t xml:space="preserve">was</w:t>
      </w:r>
      <w:r>
        <w:rPr>
          <w:rFonts w:ascii="Times New Roman" w:hAnsi="Times New Roman"/>
        </w:rPr>
        <w:t xml:space="preserve"> </w:t>
      </w:r>
      <w:r>
        <w:rPr>
          <w:rFonts w:ascii="Times New Roman" w:hAnsi="Times New Roman"/>
        </w:rPr>
        <w:t xml:space="preserve">“</w:t>
      </w:r>
      <w:r>
        <w:rPr>
          <w:rFonts w:ascii="Times New Roman" w:hAnsi="Times New Roman"/>
        </w:rPr>
        <w:t xml:space="preserve">flying blind,</w:t>
      </w:r>
      <w:r>
        <w:rPr>
          <w:rFonts w:ascii="Times New Roman" w:hAnsi="Times New Roman"/>
        </w:rPr>
        <w:t xml:space="preserve">”</w:t>
      </w:r>
      <w:r>
        <w:rPr>
          <w:rFonts w:ascii="Times New Roman" w:hAnsi="Times New Roman"/>
        </w:rPr>
        <w:t xml:space="preserve"> </w:t>
      </w:r>
      <w:r>
        <w:rPr>
          <w:rFonts w:ascii="Times New Roman" w:hAnsi="Times New Roman"/>
        </w:rPr>
        <w:t xml:space="preserve">and should not</w:t>
      </w:r>
      <w:r>
        <w:rPr>
          <w:rFonts w:ascii="Times New Roman" w:hAnsi="Times New Roman"/>
        </w:rPr>
        <w:t xml:space="preserve"> </w:t>
      </w:r>
      <w:r>
        <w:rPr>
          <w:rFonts w:ascii="Times New Roman" w:hAnsi="Times New Roman"/>
        </w:rPr>
        <w:t xml:space="preserve">“</w:t>
      </w:r>
      <w:r>
        <w:rPr>
          <w:rFonts w:ascii="Times New Roman" w:hAnsi="Times New Roman"/>
        </w:rPr>
        <w:t xml:space="preserve">raise this with the client yet.</w:t>
      </w:r>
      <w:r>
        <w:rPr>
          <w:rFonts w:ascii="Times New Roman" w:hAnsi="Times New Roman"/>
        </w:rPr>
        <w:t xml:space="preserve">”</w:t>
      </w:r>
      <w:r>
        <w:rPr>
          <w:rFonts w:ascii="Times New Roman" w:hAnsi="Times New Roman"/>
        </w:rPr>
        <w:t xml:space="preserve"> </w:t>
      </w:r>
      <w:r>
        <w:rPr>
          <w:rFonts w:ascii="Times New Roman" w:hAnsi="Times New Roman"/>
        </w:rPr>
        <w:t xml:space="preserve">CSMF ¶¶ 54–55. Five weeks later he told Ridgeline that Phase 1 was</w:t>
      </w:r>
      <w:r>
        <w:rPr>
          <w:rFonts w:ascii="Times New Roman" w:hAnsi="Times New Roman"/>
        </w:rPr>
        <w:t xml:space="preserve"> </w:t>
      </w:r>
      <w:r>
        <w:rPr>
          <w:rFonts w:ascii="Times New Roman" w:hAnsi="Times New Roman"/>
        </w:rPr>
        <w:t xml:space="preserve">“</w:t>
      </w:r>
      <w:r>
        <w:rPr>
          <w:rFonts w:ascii="Times New Roman" w:hAnsi="Times New Roman"/>
        </w:rPr>
        <w:t xml:space="preserve">on track</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the Teamcenter design was</w:t>
      </w:r>
      <w:r>
        <w:rPr>
          <w:rFonts w:ascii="Times New Roman" w:hAnsi="Times New Roman"/>
        </w:rPr>
        <w:t xml:space="preserve"> </w:t>
      </w:r>
      <w:r>
        <w:rPr>
          <w:rFonts w:ascii="Times New Roman" w:hAnsi="Times New Roman"/>
        </w:rPr>
        <w:t xml:space="preserve">“</w:t>
      </w:r>
      <w:r>
        <w:rPr>
          <w:rFonts w:ascii="Times New Roman" w:hAnsi="Times New Roman"/>
        </w:rPr>
        <w:t xml:space="preserve">[p]rogressing well.</w:t>
      </w:r>
      <w:r>
        <w:rPr>
          <w:rFonts w:ascii="Times New Roman" w:hAnsi="Times New Roman"/>
        </w:rPr>
        <w:t xml:space="preserve">”</w:t>
      </w:r>
      <w:r>
        <w:rPr>
          <w:rFonts w:ascii="Times New Roman" w:hAnsi="Times New Roman"/>
        </w:rPr>
        <w:t xml:space="preserve"> </w:t>
      </w:r>
      <w:r>
        <w:rPr>
          <w:rFonts w:ascii="Times New Roman" w:hAnsi="Times New Roman"/>
        </w:rPr>
        <w:t xml:space="preserve">He now admits it was</w:t>
      </w:r>
      <w:r>
        <w:rPr>
          <w:rFonts w:ascii="Times New Roman" w:hAnsi="Times New Roman"/>
        </w:rPr>
        <w:t xml:space="preserve"> </w:t>
      </w:r>
      <w:r>
        <w:rPr>
          <w:rFonts w:ascii="Times New Roman" w:hAnsi="Times New Roman"/>
        </w:rPr>
        <w:t xml:space="preserve">“</w:t>
      </w:r>
      <w:r>
        <w:rPr>
          <w:rFonts w:ascii="Times New Roman" w:hAnsi="Times New Roman"/>
        </w:rPr>
        <w:t xml:space="preserve">[n]ot really</w:t>
      </w:r>
      <w:r>
        <w:rPr>
          <w:rFonts w:ascii="Times New Roman" w:hAnsi="Times New Roman"/>
        </w:rPr>
        <w:t xml:space="preserve">”</w:t>
      </w:r>
      <w:r>
        <w:rPr>
          <w:rFonts w:ascii="Times New Roman" w:hAnsi="Times New Roman"/>
        </w:rPr>
        <w:t xml:space="preserve"> </w:t>
      </w:r>
      <w:r>
        <w:rPr>
          <w:rFonts w:ascii="Times New Roman" w:hAnsi="Times New Roman"/>
        </w:rPr>
        <w:t xml:space="preserve">on track. CSMF ¶¶ 57–58. Phase 1 was signed off eleven weeks late, on October 3, 2022, with an express written reservation of rights. CSMF ¶¶ 59, 62. Phase 2 was never completed. CSMF ¶ 64. In December 2022, Apex sought $680,000 and five more months to</w:t>
      </w:r>
      <w:r>
        <w:rPr>
          <w:rFonts w:ascii="Times New Roman" w:hAnsi="Times New Roman"/>
        </w:rPr>
        <w:t xml:space="preserve"> </w:t>
      </w:r>
      <w:r>
        <w:rPr>
          <w:rFonts w:ascii="Times New Roman" w:hAnsi="Times New Roman"/>
        </w:rPr>
        <w:t xml:space="preserve">“</w:t>
      </w:r>
      <w:r>
        <w:rPr>
          <w:rFonts w:ascii="Times New Roman" w:hAnsi="Times New Roman"/>
        </w:rPr>
        <w:t xml:space="preserve">re-architect</w:t>
      </w:r>
      <w:r>
        <w:rPr>
          <w:rFonts w:ascii="Times New Roman" w:hAnsi="Times New Roman"/>
        </w:rPr>
        <w:t xml:space="preserve">”</w:t>
      </w:r>
      <w:r>
        <w:rPr>
          <w:rFonts w:ascii="Times New Roman" w:hAnsi="Times New Roman"/>
        </w:rPr>
        <w:t xml:space="preserve"> </w:t>
      </w:r>
      <w:r>
        <w:rPr>
          <w:rFonts w:ascii="Times New Roman" w:hAnsi="Times New Roman"/>
        </w:rPr>
        <w:t xml:space="preserve">its failed Teamcenter approach, and Ridgeline refused. CSMF ¶¶ 65–66. In January 2023, Apex moved Mr. Ostroff to a revenue-generating project and replaced him with a five-month employee who had no Teamcenter experience and was still</w:t>
      </w:r>
      <w:r>
        <w:rPr>
          <w:rFonts w:ascii="Times New Roman" w:hAnsi="Times New Roman"/>
        </w:rPr>
        <w:t xml:space="preserve"> </w:t>
      </w:r>
      <w:r>
        <w:rPr>
          <w:rFonts w:ascii="Times New Roman" w:hAnsi="Times New Roman"/>
        </w:rPr>
        <w:t xml:space="preserve">“</w:t>
      </w:r>
      <w:r>
        <w:rPr>
          <w:rFonts w:ascii="Times New Roman" w:hAnsi="Times New Roman"/>
        </w:rPr>
        <w:t xml:space="preserve">learning</w:t>
      </w:r>
      <w:r>
        <w:rPr>
          <w:rFonts w:ascii="Times New Roman" w:hAnsi="Times New Roman"/>
        </w:rPr>
        <w:t xml:space="preserve">”</w:t>
      </w:r>
      <w:r>
        <w:rPr>
          <w:rFonts w:ascii="Times New Roman" w:hAnsi="Times New Roman"/>
        </w:rPr>
        <w:t xml:space="preserve"> </w:t>
      </w:r>
      <w:r>
        <w:rPr>
          <w:rFonts w:ascii="Times New Roman" w:hAnsi="Times New Roman"/>
        </w:rPr>
        <w:t xml:space="preserve">AS9100D. CSMF ¶¶ 67–70. In February 2023, Apex demanded $1.2 million more. CSMF ¶ 71. By April 2023, seven of twelve critical AS9100D traceability requirements were non-functional, and three requests for remediation had gone unanswered. CSMF ¶¶ 72–74.</w:t>
      </w:r>
    </w:p>
    <w:p>
      <w:pPr>
        <w:pStyle w:val="BodyText"/>
      </w:pPr>
      <w:r>
        <w:rPr>
          <w:rFonts w:ascii="Times New Roman" w:hAnsi="Times New Roman"/>
        </w:rPr>
        <w:t xml:space="preserve">Ridgeline served notice of material breach on May 1, 2023. CSMF ¶ 82. Apex offered to cure within sixty days,</w:t>
      </w:r>
      <w:r>
        <w:rPr>
          <w:rFonts w:ascii="Times New Roman" w:hAnsi="Times New Roman"/>
        </w:rPr>
        <w:t xml:space="preserve"> </w:t>
      </w:r>
      <w:r>
        <w:rPr>
          <w:rFonts w:ascii="Times New Roman" w:hAnsi="Times New Roman"/>
        </w:rPr>
        <w:t xml:space="preserve">“</w:t>
      </w:r>
      <w:r>
        <w:rPr>
          <w:rFonts w:ascii="Times New Roman" w:hAnsi="Times New Roman"/>
        </w:rPr>
        <w:t xml:space="preserve">contingent upon Ridgeline’s approval of the revised scope and fee structure</w:t>
      </w:r>
      <w:r>
        <w:rPr>
          <w:rFonts w:ascii="Times New Roman" w:hAnsi="Times New Roman"/>
        </w:rPr>
        <w:t xml:space="preserve">”</w:t>
      </w:r>
      <w:r>
        <w:rPr>
          <w:rFonts w:ascii="Times New Roman" w:hAnsi="Times New Roman"/>
        </w:rPr>
        <w:t xml:space="preserve"> </w:t>
      </w:r>
      <w:r>
        <w:rPr>
          <w:rFonts w:ascii="Times New Roman" w:hAnsi="Times New Roman"/>
        </w:rPr>
        <w:t xml:space="preserve">of $1.2 million. CSMF ¶ 83. Apex did not cure, and Ridgeline terminated effective June 1, 2023. CSMF ¶ 84. Ridgeline then paid replacement vendors $3,575,000 and reached Go-Live on April 15, 2024, more than a year late. CSMF ¶¶ 85–86.</w:t>
      </w:r>
    </w:p>
    <w:bookmarkEnd w:id="24"/>
    <w:bookmarkEnd w:id="25"/>
    <w:bookmarkStart w:id="26" w:name="iii.-legal-standard"/>
    <w:p>
      <w:pPr>
        <w:pStyle w:val="Heading1"/>
      </w:pPr>
      <w:r>
        <w:rPr>
          <w:rFonts w:ascii="Times New Roman" w:hAnsi="Times New Roman"/>
        </w:rPr>
        <w:t xml:space="preserve">III. LEGAL STANDARD</w:t>
      </w:r>
    </w:p>
    <w:p>
      <w:pPr>
        <w:pStyle w:val="FirstParagraph"/>
      </w:pPr>
      <w:r>
        <w:rPr>
          <w:rFonts w:ascii="Times New Roman" w:hAnsi="Times New Roman"/>
        </w:rPr>
        <w:t xml:space="preserve">Summary judgment is appropriate where</w:t>
      </w:r>
      <w:r>
        <w:rPr>
          <w:rFonts w:ascii="Times New Roman" w:hAnsi="Times New Roman"/>
        </w:rPr>
        <w:t xml:space="preserve"> </w:t>
      </w:r>
      <w:r>
        <w:rPr>
          <w:rFonts w:ascii="Times New Roman" w:hAnsi="Times New Roman"/>
        </w:rPr>
        <w:t xml:space="preserve">“</w:t>
      </w:r>
      <w:r>
        <w:rPr>
          <w:rFonts w:ascii="Times New Roman" w:hAnsi="Times New Roman"/>
        </w:rPr>
        <w:t xml:space="preserve">there is no genuine dispute as to any material fact and the movant is entitled to judgment as a matter of law.</w:t>
      </w:r>
      <w:r>
        <w:rPr>
          <w:rFonts w:ascii="Times New Roman" w:hAnsi="Times New Roman"/>
        </w:rPr>
        <w:t xml:space="preserve">”</w:t>
      </w:r>
      <w:r>
        <w:rPr>
          <w:rFonts w:ascii="Times New Roman" w:hAnsi="Times New Roman"/>
        </w:rPr>
        <w:t xml:space="preserve"> </w:t>
      </w:r>
      <w:r>
        <w:rPr>
          <w:rFonts w:ascii="Times New Roman" w:hAnsi="Times New Roman"/>
        </w:rPr>
        <w:t xml:space="preserve">Fed. R. Civ. P. 56(a). A party may move for summary judgment on a claim or on</w:t>
      </w:r>
      <w:r>
        <w:rPr>
          <w:rFonts w:ascii="Times New Roman" w:hAnsi="Times New Roman"/>
        </w:rPr>
        <w:t xml:space="preserve"> </w:t>
      </w:r>
      <w:r>
        <w:rPr>
          <w:rFonts w:ascii="Times New Roman" w:hAnsi="Times New Roman"/>
        </w:rPr>
        <w:t xml:space="preserve">“</w:t>
      </w:r>
      <w:r>
        <w:rPr>
          <w:rFonts w:ascii="Times New Roman" w:hAnsi="Times New Roman"/>
        </w:rPr>
        <w:t xml:space="preserve">part of each claim.</w:t>
      </w:r>
      <w:r>
        <w:rPr>
          <w:rFonts w:ascii="Times New Roman" w:hAnsi="Times New Roman"/>
        </w:rPr>
        <w:t xml:space="preserve">”</w:t>
      </w:r>
      <w:r>
        <w:rPr>
          <w:rFonts w:ascii="Times New Roman" w:hAnsi="Times New Roman"/>
        </w:rPr>
        <w:t xml:space="preserve"> </w:t>
      </w:r>
      <w:r>
        <w:rPr>
          <w:rFonts w:ascii="Times New Roman" w:hAnsi="Times New Roman"/>
          <w:i/>
          <w:iCs/>
        </w:rPr>
        <w:t xml:space="preserve">Id.</w:t>
      </w:r>
      <w:r>
        <w:rPr>
          <w:rFonts w:ascii="Times New Roman" w:hAnsi="Times New Roman"/>
        </w:rPr>
        <w:t xml:space="preserve"> </w:t>
      </w:r>
      <w:r>
        <w:rPr>
          <w:rFonts w:ascii="Times New Roman" w:hAnsi="Times New Roman"/>
        </w:rPr>
        <w:t xml:space="preserve">A dispute is genuine only if</w:t>
      </w:r>
      <w:r>
        <w:rPr>
          <w:rFonts w:ascii="Times New Roman" w:hAnsi="Times New Roman"/>
        </w:rPr>
        <w:t xml:space="preserve"> </w:t>
      </w:r>
      <w:r>
        <w:rPr>
          <w:rFonts w:ascii="Times New Roman" w:hAnsi="Times New Roman"/>
        </w:rPr>
        <w:t xml:space="preserve">“</w:t>
      </w:r>
      <w:r>
        <w:rPr>
          <w:rFonts w:ascii="Times New Roman" w:hAnsi="Times New Roman"/>
        </w:rPr>
        <w:t xml:space="preserve">the evidence is such that a reasonable jury could return a verdict for the nonmoving party.</w:t>
      </w:r>
      <w:r>
        <w:rPr>
          <w:rFonts w:ascii="Times New Roman" w:hAnsi="Times New Roman"/>
        </w:rPr>
        <w:t xml:space="preserve">”</w:t>
      </w:r>
      <w:r>
        <w:rPr>
          <w:rFonts w:ascii="Times New Roman" w:hAnsi="Times New Roman"/>
        </w:rPr>
        <w:t xml:space="preserve"> </w:t>
      </w:r>
      <w:r>
        <w:rPr>
          <w:rFonts w:ascii="Times New Roman" w:hAnsi="Times New Roman"/>
          <w:i/>
          <w:iCs/>
        </w:rPr>
        <w:t xml:space="preserve">Anderson v. Liberty Lobby, Inc.</w:t>
      </w:r>
      <w:r>
        <w:rPr>
          <w:rFonts w:ascii="Times New Roman" w:hAnsi="Times New Roman"/>
        </w:rPr>
        <w:t xml:space="preserve">, 477 U.S. 242, 248 (1986). Once the movant carries its initial burden, the nonmovant</w:t>
      </w:r>
      <w:r>
        <w:rPr>
          <w:rFonts w:ascii="Times New Roman" w:hAnsi="Times New Roman"/>
        </w:rPr>
        <w:t xml:space="preserve"> </w:t>
      </w:r>
      <w:r>
        <w:rPr>
          <w:rFonts w:ascii="Times New Roman" w:hAnsi="Times New Roman"/>
        </w:rPr>
        <w:t xml:space="preserve">“</w:t>
      </w:r>
      <w:r>
        <w:rPr>
          <w:rFonts w:ascii="Times New Roman" w:hAnsi="Times New Roman"/>
        </w:rPr>
        <w:t xml:space="preserve">must do more than simply show that there is some metaphysical doubt as to the material facts.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Matsushita Elec. Indus. Co. v. Zenith Radio Corp.</w:t>
      </w:r>
      <w:r>
        <w:rPr>
          <w:rFonts w:ascii="Times New Roman" w:hAnsi="Times New Roman"/>
        </w:rPr>
        <w:t xml:space="preserve">, 475 U.S. 574, 586 (1986);</w:t>
      </w:r>
      <w:r>
        <w:rPr>
          <w:rFonts w:ascii="Times New Roman" w:hAnsi="Times New Roman"/>
        </w:rPr>
        <w:t xml:space="preserve"> </w:t>
      </w:r>
      <w:r>
        <w:rPr>
          <w:rFonts w:ascii="Times New Roman" w:hAnsi="Times New Roman"/>
          <w:i/>
          <w:iCs/>
        </w:rPr>
        <w:t xml:space="preserve">see Celotex Corp. v. Catrett</w:t>
      </w:r>
      <w:r>
        <w:rPr>
          <w:rFonts w:ascii="Times New Roman" w:hAnsi="Times New Roman"/>
        </w:rPr>
        <w:t xml:space="preserve">, 477 U.S. 317, 322–24 (1986). Conclusory, self-serving assertions do not create a genuine dispute.</w:t>
      </w:r>
      <w:r>
        <w:rPr>
          <w:rFonts w:ascii="Times New Roman" w:hAnsi="Times New Roman"/>
        </w:rPr>
        <w:t xml:space="preserve"> </w:t>
      </w:r>
      <w:r>
        <w:rPr>
          <w:rFonts w:ascii="Times New Roman" w:hAnsi="Times New Roman"/>
          <w:i/>
          <w:iCs/>
        </w:rPr>
        <w:t xml:space="preserve">Kirleis v. Dickie, McCamey &amp; Chilcote, P.C.</w:t>
      </w:r>
      <w:r>
        <w:rPr>
          <w:rFonts w:ascii="Times New Roman" w:hAnsi="Times New Roman"/>
        </w:rPr>
        <w:t xml:space="preserve">, 560 F.3d 156, 161 (3d Cir. 2009). Where, as here on its affirmative claims, the movant bears the burden of proof at trial, it must show that the record evidence on each element is such that no reasonable jury could find otherwise.</w:t>
      </w:r>
      <w:r>
        <w:rPr>
          <w:rFonts w:ascii="Times New Roman" w:hAnsi="Times New Roman"/>
        </w:rPr>
        <w:t xml:space="preserve"> </w:t>
      </w:r>
      <w:r>
        <w:rPr>
          <w:rFonts w:ascii="Times New Roman" w:hAnsi="Times New Roman"/>
          <w:i/>
          <w:iCs/>
        </w:rPr>
        <w:t xml:space="preserve">See</w:t>
      </w:r>
      <w:r>
        <w:rPr>
          <w:rFonts w:ascii="Times New Roman" w:hAnsi="Times New Roman"/>
        </w:rPr>
        <w:t xml:space="preserve"> </w:t>
      </w:r>
      <w:r>
        <w:rPr>
          <w:rFonts w:ascii="Times New Roman" w:hAnsi="Times New Roman"/>
        </w:rPr>
        <w:t xml:space="preserve">Fed. R. Civ. P. 56(a);</w:t>
      </w:r>
      <w:r>
        <w:rPr>
          <w:rFonts w:ascii="Times New Roman" w:hAnsi="Times New Roman"/>
        </w:rPr>
        <w:t xml:space="preserve"> </w:t>
      </w:r>
      <w:r>
        <w:rPr>
          <w:rFonts w:ascii="Times New Roman" w:hAnsi="Times New Roman"/>
          <w:i/>
          <w:iCs/>
        </w:rPr>
        <w:t xml:space="preserve">Anderson</w:t>
      </w:r>
      <w:r>
        <w:rPr>
          <w:rFonts w:ascii="Times New Roman" w:hAnsi="Times New Roman"/>
        </w:rPr>
        <w:t xml:space="preserve">, 477 U.S. at 252–55 (the summary judgment inquiry incorporates the substantive evidentiary standard, including clear and convincing evidence). If the Court does not grant all the relief requested, it</w:t>
      </w:r>
      <w:r>
        <w:rPr>
          <w:rFonts w:ascii="Times New Roman" w:hAnsi="Times New Roman"/>
        </w:rPr>
        <w:t xml:space="preserve"> </w:t>
      </w:r>
      <w:r>
        <w:rPr>
          <w:rFonts w:ascii="Times New Roman" w:hAnsi="Times New Roman"/>
        </w:rPr>
        <w:t xml:space="preserve">“</w:t>
      </w:r>
      <w:r>
        <w:rPr>
          <w:rFonts w:ascii="Times New Roman" w:hAnsi="Times New Roman"/>
        </w:rPr>
        <w:t xml:space="preserve">may enter an order stating any material fact . . . that is not genuinely in dispute and treating the fact as established in the case.</w:t>
      </w:r>
      <w:r>
        <w:rPr>
          <w:rFonts w:ascii="Times New Roman" w:hAnsi="Times New Roman"/>
        </w:rPr>
        <w:t xml:space="preserve">”</w:t>
      </w:r>
      <w:r>
        <w:rPr>
          <w:rFonts w:ascii="Times New Roman" w:hAnsi="Times New Roman"/>
        </w:rPr>
        <w:t xml:space="preserve"> </w:t>
      </w:r>
      <w:r>
        <w:rPr>
          <w:rFonts w:ascii="Times New Roman" w:hAnsi="Times New Roman"/>
        </w:rPr>
        <w:t xml:space="preserve">Fed. R. Civ. P. 56(g).</w:t>
      </w:r>
    </w:p>
    <w:p>
      <w:pPr>
        <w:pStyle w:val="BodyText"/>
      </w:pPr>
      <w:r>
        <w:rPr>
          <w:rFonts w:ascii="Times New Roman" w:hAnsi="Times New Roman"/>
        </w:rPr>
        <w:t xml:space="preserve">The statements of Apex’s CEO, Vice President of Sales, and project manager about matters within the scope of their employment are admissions of a party opponent. Fed. R. Evid. 801(d)(2)(D). The MSA is governed by Pennsylvania law. CSMF ¶ 51.</w:t>
      </w:r>
    </w:p>
    <w:bookmarkEnd w:id="26"/>
    <w:bookmarkStart w:id="47" w:name="iv.-argument"/>
    <w:p>
      <w:pPr>
        <w:pStyle w:val="Heading1"/>
      </w:pPr>
      <w:r>
        <w:rPr>
          <w:rFonts w:ascii="Times New Roman" w:hAnsi="Times New Roman"/>
        </w:rPr>
        <w:t xml:space="preserve">IV. ARGUMENT</w:t>
      </w:r>
    </w:p>
    <w:bookmarkStart w:id="35" w:name="X87157110b462b17ffa1946bf5498b507f537cf5"/>
    <w:p>
      <w:pPr>
        <w:pStyle w:val="Heading2"/>
      </w:pPr>
      <w:r>
        <w:rPr>
          <w:rFonts w:ascii="Times New Roman" w:hAnsi="Times New Roman"/>
        </w:rPr>
        <w:t xml:space="preserve">A. Ridgeline Is Entitled to Summary Judgment on Liability for Breach of Contract.</w:t>
      </w:r>
    </w:p>
    <w:p>
      <w:pPr>
        <w:pStyle w:val="FirstParagraph"/>
      </w:pPr>
      <w:r>
        <w:rPr>
          <w:rFonts w:ascii="Times New Roman" w:hAnsi="Times New Roman"/>
        </w:rPr>
        <w:t xml:space="preserve">A breach of contract claim under Pennsylvania law requires</w:t>
      </w:r>
      <w:r>
        <w:rPr>
          <w:rFonts w:ascii="Times New Roman" w:hAnsi="Times New Roman"/>
        </w:rPr>
        <w:t xml:space="preserve"> </w:t>
      </w:r>
      <w:r>
        <w:rPr>
          <w:rFonts w:ascii="Times New Roman" w:hAnsi="Times New Roman"/>
        </w:rPr>
        <w:t xml:space="preserve">“</w:t>
      </w:r>
      <w:r>
        <w:rPr>
          <w:rFonts w:ascii="Times New Roman" w:hAnsi="Times New Roman"/>
        </w:rPr>
        <w:t xml:space="preserve">(1) the existence of a contract, including its essential terms, (2) a breach of a duty imposed by the contract[,] and (3) resultant damages.</w:t>
      </w:r>
      <w:r>
        <w:rPr>
          <w:rFonts w:ascii="Times New Roman" w:hAnsi="Times New Roman"/>
        </w:rPr>
        <w:t xml:space="preserve">”</w:t>
      </w:r>
      <w:r>
        <w:rPr>
          <w:rFonts w:ascii="Times New Roman" w:hAnsi="Times New Roman"/>
        </w:rPr>
        <w:t xml:space="preserve"> </w:t>
      </w:r>
      <w:r>
        <w:rPr>
          <w:rFonts w:ascii="Times New Roman" w:hAnsi="Times New Roman"/>
          <w:i/>
          <w:iCs/>
        </w:rPr>
        <w:t xml:space="preserve">CoreStates Bank, N.A. v. Cutillo</w:t>
      </w:r>
      <w:r>
        <w:rPr>
          <w:rFonts w:ascii="Times New Roman" w:hAnsi="Times New Roman"/>
        </w:rPr>
        <w:t xml:space="preserve">, 723 A.2d 1053, 1058 (Pa. Super. Ct. 1999);</w:t>
      </w:r>
      <w:r>
        <w:rPr>
          <w:rFonts w:ascii="Times New Roman" w:hAnsi="Times New Roman"/>
        </w:rPr>
        <w:t xml:space="preserve"> </w:t>
      </w:r>
      <w:r>
        <w:rPr>
          <w:rFonts w:ascii="Times New Roman" w:hAnsi="Times New Roman"/>
          <w:i/>
          <w:iCs/>
        </w:rPr>
        <w:t xml:space="preserve">accord Ware v. Rodale Press, Inc.</w:t>
      </w:r>
      <w:r>
        <w:rPr>
          <w:rFonts w:ascii="Times New Roman" w:hAnsi="Times New Roman"/>
        </w:rPr>
        <w:t xml:space="preserve">, 322 F.3d 218, 225 (3d Cir. 2003). Where contract language is clear and unambiguous, its meaning is a question of law for the court, determined from the writing itself.</w:t>
      </w:r>
      <w:r>
        <w:rPr>
          <w:rFonts w:ascii="Times New Roman" w:hAnsi="Times New Roman"/>
        </w:rPr>
        <w:t xml:space="preserve"> </w:t>
      </w:r>
      <w:r>
        <w:rPr>
          <w:rFonts w:ascii="Times New Roman" w:hAnsi="Times New Roman"/>
          <w:i/>
          <w:iCs/>
        </w:rPr>
        <w:t xml:space="preserve">Murphy v. Duquesne Univ. of the Holy Ghost</w:t>
      </w:r>
      <w:r>
        <w:rPr>
          <w:rFonts w:ascii="Times New Roman" w:hAnsi="Times New Roman"/>
        </w:rPr>
        <w:t xml:space="preserve">, 777 A.2d 418, 429–30 (Pa. 2001);</w:t>
      </w:r>
      <w:r>
        <w:rPr>
          <w:rFonts w:ascii="Times New Roman" w:hAnsi="Times New Roman"/>
        </w:rPr>
        <w:t xml:space="preserve"> </w:t>
      </w:r>
      <w:r>
        <w:rPr>
          <w:rFonts w:ascii="Times New Roman" w:hAnsi="Times New Roman"/>
          <w:i/>
          <w:iCs/>
        </w:rPr>
        <w:t xml:space="preserve">Steuart v. McChesney</w:t>
      </w:r>
      <w:r>
        <w:rPr>
          <w:rFonts w:ascii="Times New Roman" w:hAnsi="Times New Roman"/>
        </w:rPr>
        <w:t xml:space="preserve">, 444 A.2d 659, 661 (Pa. 1982). No party contends that the relevant MSA provisions are ambiguous.</w:t>
      </w:r>
    </w:p>
    <w:bookmarkStart w:id="27" w:name="the-msa-is-a-valid-and-binding-contract."/>
    <w:p>
      <w:pPr>
        <w:pStyle w:val="Heading3"/>
      </w:pPr>
      <w:r>
        <w:rPr>
          <w:rFonts w:ascii="Times New Roman" w:hAnsi="Times New Roman"/>
        </w:rPr>
        <w:t xml:space="preserve">1. The MSA is a valid and binding contract.</w:t>
      </w:r>
    </w:p>
    <w:p>
      <w:pPr>
        <w:pStyle w:val="FirstParagraph"/>
      </w:pPr>
      <w:r>
        <w:rPr>
          <w:rFonts w:ascii="Times New Roman" w:hAnsi="Times New Roman"/>
        </w:rPr>
        <w:t xml:space="preserve">Apex’s CEO signed the MSA, and Apex sues on it in its counterclaim. CSMF ¶¶ 34, 87. The first element is not disputed.</w:t>
      </w:r>
    </w:p>
    <w:bookmarkEnd w:id="27"/>
    <w:bookmarkStart w:id="28" w:name="X1f6fb353f032292e3d18eb05f194e82e899aeba"/>
    <w:p>
      <w:pPr>
        <w:pStyle w:val="Heading3"/>
      </w:pPr>
      <w:r>
        <w:rPr>
          <w:rFonts w:ascii="Times New Roman" w:hAnsi="Times New Roman"/>
        </w:rPr>
        <w:t xml:space="preserve">2. Apex breached the firm milestone dates, and Phase 2 was never completed.</w:t>
      </w:r>
    </w:p>
    <w:p>
      <w:pPr>
        <w:pStyle w:val="FirstParagraph"/>
      </w:pPr>
      <w:r>
        <w:rPr>
          <w:rFonts w:ascii="Times New Roman" w:hAnsi="Times New Roman"/>
        </w:rPr>
        <w:t xml:space="preserve">Sections 3.2 through 3.5 required Phase 1 by July 15, 2022, Phase 2 by November 30, 2022, and Go-Live by March 31, 2023. They declare those dates</w:t>
      </w:r>
      <w:r>
        <w:rPr>
          <w:rFonts w:ascii="Times New Roman" w:hAnsi="Times New Roman"/>
        </w:rPr>
        <w:t xml:space="preserve"> </w:t>
      </w:r>
      <w:r>
        <w:rPr>
          <w:rFonts w:ascii="Times New Roman" w:hAnsi="Times New Roman"/>
        </w:rPr>
        <w:t xml:space="preserve">“</w:t>
      </w:r>
      <w:r>
        <w:rPr>
          <w:rFonts w:ascii="Times New Roman" w:hAnsi="Times New Roman"/>
        </w:rPr>
        <w:t xml:space="preserve">firm commitments</w:t>
      </w:r>
      <w:r>
        <w:rPr>
          <w:rFonts w:ascii="Times New Roman" w:hAnsi="Times New Roman"/>
        </w:rPr>
        <w:t xml:space="preserve">”</w:t>
      </w:r>
      <w:r>
        <w:rPr>
          <w:rFonts w:ascii="Times New Roman" w:hAnsi="Times New Roman"/>
        </w:rPr>
        <w:t xml:space="preserve"> </w:t>
      </w:r>
      <w:r>
        <w:rPr>
          <w:rFonts w:ascii="Times New Roman" w:hAnsi="Times New Roman"/>
        </w:rPr>
        <w:t xml:space="preserve">as to which time is</w:t>
      </w:r>
      <w:r>
        <w:rPr>
          <w:rFonts w:ascii="Times New Roman" w:hAnsi="Times New Roman"/>
        </w:rPr>
        <w:t xml:space="preserve"> </w:t>
      </w:r>
      <w:r>
        <w:rPr>
          <w:rFonts w:ascii="Times New Roman" w:hAnsi="Times New Roman"/>
        </w:rPr>
        <w:t xml:space="preserve">“</w:t>
      </w:r>
      <w:r>
        <w:rPr>
          <w:rFonts w:ascii="Times New Roman" w:hAnsi="Times New Roman"/>
        </w:rPr>
        <w:t xml:space="preserve">of the [e]ssence,</w:t>
      </w:r>
      <w:r>
        <w:rPr>
          <w:rFonts w:ascii="Times New Roman" w:hAnsi="Times New Roman"/>
        </w:rPr>
        <w:t xml:space="preserve">”</w:t>
      </w:r>
      <w:r>
        <w:rPr>
          <w:rFonts w:ascii="Times New Roman" w:hAnsi="Times New Roman"/>
        </w:rPr>
        <w:t xml:space="preserve"> </w:t>
      </w:r>
      <w:r>
        <w:rPr>
          <w:rFonts w:ascii="Times New Roman" w:hAnsi="Times New Roman"/>
        </w:rPr>
        <w:t xml:space="preserve">alterable</w:t>
      </w:r>
      <w:r>
        <w:rPr>
          <w:rFonts w:ascii="Times New Roman" w:hAnsi="Times New Roman"/>
        </w:rPr>
        <w:t xml:space="preserve"> </w:t>
      </w:r>
      <w:r>
        <w:rPr>
          <w:rFonts w:ascii="Times New Roman" w:hAnsi="Times New Roman"/>
        </w:rPr>
        <w:t xml:space="preserve">“</w:t>
      </w:r>
      <w:r>
        <w:rPr>
          <w:rFonts w:ascii="Times New Roman" w:hAnsi="Times New Roman"/>
        </w:rPr>
        <w:t xml:space="preserve">only by mutual written agreement in the form of a Change Order.</w:t>
      </w:r>
      <w:r>
        <w:rPr>
          <w:rFonts w:ascii="Times New Roman" w:hAnsi="Times New Roman"/>
        </w:rPr>
        <w:t xml:space="preserve">”</w:t>
      </w:r>
      <w:r>
        <w:rPr>
          <w:rFonts w:ascii="Times New Roman" w:hAnsi="Times New Roman"/>
        </w:rPr>
        <w:t xml:space="preserve"> </w:t>
      </w:r>
      <w:r>
        <w:rPr>
          <w:rFonts w:ascii="Times New Roman" w:hAnsi="Times New Roman"/>
        </w:rPr>
        <w:t xml:space="preserve">CSMF ¶¶ 39–40. Apex missed Phase 1 by eleven weeks. CSMF ¶ 59. Apex never completed Phase 2 at all, and its project manager conceded that</w:t>
      </w:r>
      <w:r>
        <w:rPr>
          <w:rFonts w:ascii="Times New Roman" w:hAnsi="Times New Roman"/>
        </w:rPr>
        <w:t xml:space="preserve"> </w:t>
      </w:r>
      <w:r>
        <w:rPr>
          <w:rFonts w:ascii="Times New Roman" w:hAnsi="Times New Roman"/>
        </w:rPr>
        <w:t xml:space="preserve">“</w:t>
      </w:r>
      <w:r>
        <w:rPr>
          <w:rFonts w:ascii="Times New Roman" w:hAnsi="Times New Roman"/>
        </w:rPr>
        <w:t xml:space="preserve">[t]he Phase 2 milestones hadn’t been achieved.</w:t>
      </w:r>
      <w:r>
        <w:rPr>
          <w:rFonts w:ascii="Times New Roman" w:hAnsi="Times New Roman"/>
        </w:rPr>
        <w:t xml:space="preserve">”</w:t>
      </w:r>
      <w:r>
        <w:rPr>
          <w:rFonts w:ascii="Times New Roman" w:hAnsi="Times New Roman"/>
        </w:rPr>
        <w:t xml:space="preserve"> </w:t>
      </w:r>
      <w:r>
        <w:rPr>
          <w:rFonts w:ascii="Times New Roman" w:hAnsi="Times New Roman"/>
        </w:rPr>
        <w:t xml:space="preserve">CSMF ¶ 64. Go-Live never occurred under the MSA. CSMF ¶¶ 84, 86. No Change Order extended any date. Ridgeline rejected CO-004 and the February 2023</w:t>
      </w:r>
      <w:r>
        <w:rPr>
          <w:rFonts w:ascii="Times New Roman" w:hAnsi="Times New Roman"/>
        </w:rPr>
        <w:t xml:space="preserve"> </w:t>
      </w:r>
      <w:r>
        <w:rPr>
          <w:rFonts w:ascii="Times New Roman" w:hAnsi="Times New Roman"/>
        </w:rPr>
        <w:t xml:space="preserve">“</w:t>
      </w:r>
      <w:r>
        <w:rPr>
          <w:rFonts w:ascii="Times New Roman" w:hAnsi="Times New Roman"/>
        </w:rPr>
        <w:t xml:space="preserve">framework,</w:t>
      </w:r>
      <w:r>
        <w:rPr>
          <w:rFonts w:ascii="Times New Roman" w:hAnsi="Times New Roman"/>
        </w:rPr>
        <w:t xml:space="preserve">”</w:t>
      </w:r>
      <w:r>
        <w:rPr>
          <w:rFonts w:ascii="Times New Roman" w:hAnsi="Times New Roman"/>
        </w:rPr>
        <w:t xml:space="preserve"> </w:t>
      </w:r>
      <w:r>
        <w:rPr>
          <w:rFonts w:ascii="Times New Roman" w:hAnsi="Times New Roman"/>
        </w:rPr>
        <w:t xml:space="preserve">as § 6.3 entitled it to do. CSMF ¶¶ 45, 65–66, 71. Because § 3.5 forbids</w:t>
      </w:r>
      <w:r>
        <w:rPr>
          <w:rFonts w:ascii="Times New Roman" w:hAnsi="Times New Roman"/>
        </w:rPr>
        <w:t xml:space="preserve"> </w:t>
      </w:r>
      <w:r>
        <w:rPr>
          <w:rFonts w:ascii="Times New Roman" w:hAnsi="Times New Roman"/>
        </w:rPr>
        <w:t xml:space="preserve">“</w:t>
      </w:r>
      <w:r>
        <w:rPr>
          <w:rFonts w:ascii="Times New Roman" w:hAnsi="Times New Roman"/>
        </w:rPr>
        <w:t xml:space="preserve">unilateral extension,</w:t>
      </w:r>
      <w:r>
        <w:rPr>
          <w:rFonts w:ascii="Times New Roman" w:hAnsi="Times New Roman"/>
        </w:rPr>
        <w:t xml:space="preserve">”</w:t>
      </w:r>
      <w:r>
        <w:rPr>
          <w:rFonts w:ascii="Times New Roman" w:hAnsi="Times New Roman"/>
        </w:rPr>
        <w:t xml:space="preserve"> </w:t>
      </w:r>
      <w:r>
        <w:rPr>
          <w:rFonts w:ascii="Times New Roman" w:hAnsi="Times New Roman"/>
        </w:rPr>
        <w:t xml:space="preserve">Apex’s hope for more time is legally irrelevant. On these admitted facts, Apex breached §§ 3.2 through 3.5.</w:t>
      </w:r>
    </w:p>
    <w:bookmarkEnd w:id="28"/>
    <w:bookmarkStart w:id="29" w:name="X57bce15aa6bf40783e6cc6514ceab2e247a2950"/>
    <w:p>
      <w:pPr>
        <w:pStyle w:val="Heading3"/>
      </w:pPr>
      <w:r>
        <w:rPr>
          <w:rFonts w:ascii="Times New Roman" w:hAnsi="Times New Roman"/>
        </w:rPr>
        <w:t xml:space="preserve">3. Apex breached its express warranties in MSA § 5.1.</w:t>
      </w:r>
    </w:p>
    <w:p>
      <w:pPr>
        <w:pStyle w:val="FirstParagraph"/>
      </w:pPr>
      <w:r>
        <w:rPr>
          <w:rFonts w:ascii="Times New Roman" w:hAnsi="Times New Roman"/>
          <w:i/>
          <w:iCs/>
        </w:rPr>
        <w:t xml:space="preserve">Section 5.1(a) (workmanlike performance consistent with industry standards).</w:t>
      </w:r>
      <w:r>
        <w:rPr>
          <w:rFonts w:ascii="Times New Roman" w:hAnsi="Times New Roman"/>
        </w:rPr>
        <w:t xml:space="preserve"> </w:t>
      </w:r>
      <w:r>
        <w:rPr>
          <w:rFonts w:ascii="Times New Roman" w:hAnsi="Times New Roman"/>
        </w:rPr>
        <w:t xml:space="preserve">Ridgeline’s technical expert, Marcus Tran, opines that Apex’s Teamcenter design relied on a deprecated</w:t>
      </w:r>
      <w:r>
        <w:rPr>
          <w:rFonts w:ascii="Times New Roman" w:hAnsi="Times New Roman"/>
        </w:rPr>
        <w:t xml:space="preserve"> </w:t>
      </w:r>
      <w:r>
        <w:rPr>
          <w:rFonts w:ascii="Times New Roman" w:hAnsi="Times New Roman"/>
        </w:rPr>
        <w:t xml:space="preserve">“</w:t>
      </w:r>
      <w:r>
        <w:rPr>
          <w:rFonts w:ascii="Times New Roman" w:hAnsi="Times New Roman"/>
        </w:rPr>
        <w:t xml:space="preserve">direct database-level integration</w:t>
      </w:r>
      <w:r>
        <w:rPr>
          <w:rFonts w:ascii="Times New Roman" w:hAnsi="Times New Roman"/>
        </w:rPr>
        <w:t xml:space="preserve">”</w:t>
      </w:r>
      <w:r>
        <w:rPr>
          <w:rFonts w:ascii="Times New Roman" w:hAnsi="Times New Roman"/>
        </w:rPr>
        <w:t xml:space="preserve"> </w:t>
      </w:r>
      <w:r>
        <w:rPr>
          <w:rFonts w:ascii="Times New Roman" w:hAnsi="Times New Roman"/>
        </w:rPr>
        <w:t xml:space="preserve">that no competent integrator would have proposed after 2018. He also opines that its AS9100D configuration made</w:t>
      </w:r>
      <w:r>
        <w:rPr>
          <w:rFonts w:ascii="Times New Roman" w:hAnsi="Times New Roman"/>
        </w:rPr>
        <w:t xml:space="preserve"> </w:t>
      </w:r>
      <w:r>
        <w:rPr>
          <w:rFonts w:ascii="Times New Roman" w:hAnsi="Times New Roman"/>
        </w:rPr>
        <w:t xml:space="preserve">“</w:t>
      </w:r>
      <w:r>
        <w:rPr>
          <w:rFonts w:ascii="Times New Roman" w:hAnsi="Times New Roman"/>
        </w:rPr>
        <w:t xml:space="preserve">architectural choices that reflect a lack of understanding of what AS9100D requires,</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Apex’s performance fell below generally accepted industry standards. CSMF ¶¶ 76–78. Apex’s expert does not address § 5.1, does not opine that Apex met industry standards, and does not respond to Mr. Tran’s technical findings. CSMF ¶ 80. Where a qualified expert’s opinion on a technical standard is unrebutted, and the nonmovant offers no contrary evidence, there is no genuine dispute for a factfinder to resolve.</w:t>
      </w:r>
      <w:r>
        <w:rPr>
          <w:rFonts w:ascii="Times New Roman" w:hAnsi="Times New Roman"/>
        </w:rPr>
        <w:t xml:space="preserve"> </w:t>
      </w:r>
      <w:r>
        <w:rPr>
          <w:rFonts w:ascii="Times New Roman" w:hAnsi="Times New Roman"/>
          <w:i/>
          <w:iCs/>
        </w:rPr>
        <w:t xml:space="preserve">See Anderson</w:t>
      </w:r>
      <w:r>
        <w:rPr>
          <w:rFonts w:ascii="Times New Roman" w:hAnsi="Times New Roman"/>
        </w:rPr>
        <w:t xml:space="preserve">, 477 U.S. at 249–50 (evidence that is</w:t>
      </w:r>
      <w:r>
        <w:rPr>
          <w:rFonts w:ascii="Times New Roman" w:hAnsi="Times New Roman"/>
        </w:rPr>
        <w:t xml:space="preserve"> </w:t>
      </w:r>
      <w:r>
        <w:rPr>
          <w:rFonts w:ascii="Times New Roman" w:hAnsi="Times New Roman"/>
        </w:rPr>
        <w:t xml:space="preserve">“</w:t>
      </w:r>
      <w:r>
        <w:rPr>
          <w:rFonts w:ascii="Times New Roman" w:hAnsi="Times New Roman"/>
        </w:rPr>
        <w:t xml:space="preserve">merely colorable</w:t>
      </w:r>
      <w:r>
        <w:rPr>
          <w:rFonts w:ascii="Times New Roman" w:hAnsi="Times New Roman"/>
        </w:rPr>
        <w:t xml:space="preserve">”</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w:t>
      </w:r>
      <w:r>
        <w:rPr>
          <w:rFonts w:ascii="Times New Roman" w:hAnsi="Times New Roman"/>
        </w:rPr>
        <w:t xml:space="preserve">not significantly probative</w:t>
      </w:r>
      <w:r>
        <w:rPr>
          <w:rFonts w:ascii="Times New Roman" w:hAnsi="Times New Roman"/>
        </w:rPr>
        <w:t xml:space="preserve">”</w:t>
      </w:r>
      <w:r>
        <w:rPr>
          <w:rFonts w:ascii="Times New Roman" w:hAnsi="Times New Roman"/>
        </w:rPr>
        <w:t xml:space="preserve"> </w:t>
      </w:r>
      <w:r>
        <w:rPr>
          <w:rFonts w:ascii="Times New Roman" w:hAnsi="Times New Roman"/>
        </w:rPr>
        <w:t xml:space="preserve">does not defeat summary judgment). Apex’s own admissions are even more direct. Its project manager wrote that Apex was</w:t>
      </w:r>
      <w:r>
        <w:rPr>
          <w:rFonts w:ascii="Times New Roman" w:hAnsi="Times New Roman"/>
        </w:rPr>
        <w:t xml:space="preserve"> </w:t>
      </w:r>
      <w:r>
        <w:rPr>
          <w:rFonts w:ascii="Times New Roman" w:hAnsi="Times New Roman"/>
        </w:rPr>
        <w:t xml:space="preserve">“</w:t>
      </w:r>
      <w:r>
        <w:rPr>
          <w:rFonts w:ascii="Times New Roman" w:hAnsi="Times New Roman"/>
        </w:rPr>
        <w:t xml:space="preserve">Googling the API docs</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flying blind,</w:t>
      </w:r>
      <w:r>
        <w:rPr>
          <w:rFonts w:ascii="Times New Roman" w:hAnsi="Times New Roman"/>
        </w:rPr>
        <w:t xml:space="preserve">”</w:t>
      </w:r>
      <w:r>
        <w:rPr>
          <w:rFonts w:ascii="Times New Roman" w:hAnsi="Times New Roman"/>
        </w:rPr>
        <w:t xml:space="preserve"> </w:t>
      </w:r>
      <w:r>
        <w:rPr>
          <w:rFonts w:ascii="Times New Roman" w:hAnsi="Times New Roman"/>
        </w:rPr>
        <w:t xml:space="preserve">and testified that the work was hard</w:t>
      </w:r>
      <w:r>
        <w:rPr>
          <w:rFonts w:ascii="Times New Roman" w:hAnsi="Times New Roman"/>
        </w:rPr>
        <w:t xml:space="preserve"> </w:t>
      </w:r>
      <w:r>
        <w:rPr>
          <w:rFonts w:ascii="Times New Roman" w:hAnsi="Times New Roman"/>
        </w:rPr>
        <w:t xml:space="preserve">“</w:t>
      </w:r>
      <w:r>
        <w:rPr>
          <w:rFonts w:ascii="Times New Roman" w:hAnsi="Times New Roman"/>
        </w:rPr>
        <w:t xml:space="preserve">[b]ecause we had never done it before.</w:t>
      </w:r>
      <w:r>
        <w:rPr>
          <w:rFonts w:ascii="Times New Roman" w:hAnsi="Times New Roman"/>
        </w:rPr>
        <w:t xml:space="preserve">”</w:t>
      </w:r>
      <w:r>
        <w:rPr>
          <w:rFonts w:ascii="Times New Roman" w:hAnsi="Times New Roman"/>
        </w:rPr>
        <w:t xml:space="preserve"> </w:t>
      </w:r>
      <w:r>
        <w:rPr>
          <w:rFonts w:ascii="Times New Roman" w:hAnsi="Times New Roman"/>
        </w:rPr>
        <w:t xml:space="preserve">CSMF ¶¶ 54, 60.</w:t>
      </w:r>
    </w:p>
    <w:p>
      <w:pPr>
        <w:pStyle w:val="BodyText"/>
      </w:pPr>
      <w:r>
        <w:rPr>
          <w:rFonts w:ascii="Times New Roman" w:hAnsi="Times New Roman"/>
          <w:i/>
          <w:iCs/>
        </w:rPr>
        <w:t xml:space="preserve">Section 5.1(b) (conformity to specifications).</w:t>
      </w:r>
      <w:r>
        <w:rPr>
          <w:rFonts w:ascii="Times New Roman" w:hAnsi="Times New Roman"/>
        </w:rPr>
        <w:t xml:space="preserve"> </w:t>
      </w:r>
      <w:r>
        <w:rPr>
          <w:rFonts w:ascii="Times New Roman" w:hAnsi="Times New Roman"/>
        </w:rPr>
        <w:t xml:space="preserve">Sections 2.2(c) and (d) and Exhibit A required a functioning, bidirectional Teamcenter integration and a fully configured AS9100D module with lot and serial tracking, NCR and CAPA workflows, FAI management, and full aerospace traceability. CSMF ¶¶ 36–37. Apex never delivered a working integration. It abandoned its original approach, and its CEO conceded the approach</w:t>
      </w:r>
      <w:r>
        <w:rPr>
          <w:rFonts w:ascii="Times New Roman" w:hAnsi="Times New Roman"/>
        </w:rPr>
        <w:t xml:space="preserve"> </w:t>
      </w:r>
      <w:r>
        <w:rPr>
          <w:rFonts w:ascii="Times New Roman" w:hAnsi="Times New Roman"/>
        </w:rPr>
        <w:t xml:space="preserve">“</w:t>
      </w:r>
      <w:r>
        <w:rPr>
          <w:rFonts w:ascii="Times New Roman" w:hAnsi="Times New Roman"/>
        </w:rPr>
        <w:t xml:space="preserve">needed to be revised.</w:t>
      </w:r>
      <w:r>
        <w:rPr>
          <w:rFonts w:ascii="Times New Roman" w:hAnsi="Times New Roman"/>
        </w:rPr>
        <w:t xml:space="preserve">”</w:t>
      </w:r>
      <w:r>
        <w:rPr>
          <w:rFonts w:ascii="Times New Roman" w:hAnsi="Times New Roman"/>
        </w:rPr>
        <w:t xml:space="preserve"> </w:t>
      </w:r>
      <w:r>
        <w:rPr>
          <w:rFonts w:ascii="Times New Roman" w:hAnsi="Times New Roman"/>
        </w:rPr>
        <w:t xml:space="preserve">CSMF ¶ 65. Seven of twelve critical AS9100D traceability requirements were non-functional, and Apex admitted in writing that AS9100D items</w:t>
      </w:r>
      <w:r>
        <w:rPr>
          <w:rFonts w:ascii="Times New Roman" w:hAnsi="Times New Roman"/>
        </w:rPr>
        <w:t xml:space="preserve"> </w:t>
      </w:r>
      <w:r>
        <w:rPr>
          <w:rFonts w:ascii="Times New Roman" w:hAnsi="Times New Roman"/>
        </w:rPr>
        <w:t xml:space="preserve">“</w:t>
      </w:r>
      <w:r>
        <w:rPr>
          <w:rFonts w:ascii="Times New Roman" w:hAnsi="Times New Roman"/>
        </w:rPr>
        <w:t xml:space="preserve">remain in progress.</w:t>
      </w:r>
      <w:r>
        <w:rPr>
          <w:rFonts w:ascii="Times New Roman" w:hAnsi="Times New Roman"/>
        </w:rPr>
        <w:t xml:space="preserve">”</w:t>
      </w:r>
      <w:r>
        <w:rPr>
          <w:rFonts w:ascii="Times New Roman" w:hAnsi="Times New Roman"/>
        </w:rPr>
        <w:t xml:space="preserve"> </w:t>
      </w:r>
      <w:r>
        <w:rPr>
          <w:rFonts w:ascii="Times New Roman" w:hAnsi="Times New Roman"/>
        </w:rPr>
        <w:t xml:space="preserve">CSMF ¶¶ 72–74.</w:t>
      </w:r>
    </w:p>
    <w:p>
      <w:pPr>
        <w:pStyle w:val="BodyText"/>
      </w:pPr>
      <w:r>
        <w:rPr>
          <w:rFonts w:ascii="Times New Roman" w:hAnsi="Times New Roman"/>
          <w:i/>
          <w:iCs/>
        </w:rPr>
        <w:t xml:space="preserve">Section 5.1(e) (qualified and certified personnel).</w:t>
      </w:r>
      <w:r>
        <w:rPr>
          <w:rFonts w:ascii="Times New Roman" w:hAnsi="Times New Roman"/>
        </w:rPr>
        <w:t xml:space="preserve"> </w:t>
      </w:r>
      <w:r>
        <w:rPr>
          <w:rFonts w:ascii="Times New Roman" w:hAnsi="Times New Roman"/>
        </w:rPr>
        <w:t xml:space="preserve">Apex’s only AS9100D-certified employee left in April 2022, and no certified specialist worked on the project afterward. Apex then installed as project lead a five-month employee with no Teamcenter experience who was</w:t>
      </w:r>
      <w:r>
        <w:rPr>
          <w:rFonts w:ascii="Times New Roman" w:hAnsi="Times New Roman"/>
        </w:rPr>
        <w:t xml:space="preserve"> </w:t>
      </w:r>
      <w:r>
        <w:rPr>
          <w:rFonts w:ascii="Times New Roman" w:hAnsi="Times New Roman"/>
        </w:rPr>
        <w:t xml:space="preserve">“</w:t>
      </w:r>
      <w:r>
        <w:rPr>
          <w:rFonts w:ascii="Times New Roman" w:hAnsi="Times New Roman"/>
        </w:rPr>
        <w:t xml:space="preserve">learning</w:t>
      </w:r>
      <w:r>
        <w:rPr>
          <w:rFonts w:ascii="Times New Roman" w:hAnsi="Times New Roman"/>
        </w:rPr>
        <w:t xml:space="preserve">”</w:t>
      </w:r>
      <w:r>
        <w:rPr>
          <w:rFonts w:ascii="Times New Roman" w:hAnsi="Times New Roman"/>
        </w:rPr>
        <w:t xml:space="preserve"> </w:t>
      </w:r>
      <w:r>
        <w:rPr>
          <w:rFonts w:ascii="Times New Roman" w:hAnsi="Times New Roman"/>
        </w:rPr>
        <w:t xml:space="preserve">AS9100D. CSMF ¶¶ 53, 68. That is a breach of the warranty that</w:t>
      </w:r>
      <w:r>
        <w:rPr>
          <w:rFonts w:ascii="Times New Roman" w:hAnsi="Times New Roman"/>
        </w:rPr>
        <w:t xml:space="preserve"> </w:t>
      </w:r>
      <w:r>
        <w:rPr>
          <w:rFonts w:ascii="Times New Roman" w:hAnsi="Times New Roman"/>
        </w:rPr>
        <w:t xml:space="preserve">“</w:t>
      </w:r>
      <w:r>
        <w:rPr>
          <w:rFonts w:ascii="Times New Roman" w:hAnsi="Times New Roman"/>
        </w:rPr>
        <w:t xml:space="preserve">[a]ll personnel assigned to the Project shall possess the qualifications, training, professional certifications, and experience necessary.</w:t>
      </w:r>
      <w:r>
        <w:rPr>
          <w:rFonts w:ascii="Times New Roman" w:hAnsi="Times New Roman"/>
        </w:rPr>
        <w:t xml:space="preserve">”</w:t>
      </w:r>
    </w:p>
    <w:bookmarkEnd w:id="29"/>
    <w:bookmarkStart w:id="30" w:name="Xef9da3cfcad5bf7a8d51ab85f15bd29dc08921d"/>
    <w:p>
      <w:pPr>
        <w:pStyle w:val="Heading3"/>
      </w:pPr>
      <w:r>
        <w:rPr>
          <w:rFonts w:ascii="Times New Roman" w:hAnsi="Times New Roman"/>
        </w:rPr>
        <w:t xml:space="preserve">4. Apex breached the key-personnel provision in MSA § 2.3.</w:t>
      </w:r>
    </w:p>
    <w:p>
      <w:pPr>
        <w:pStyle w:val="FirstParagraph"/>
      </w:pPr>
      <w:r>
        <w:rPr>
          <w:rFonts w:ascii="Times New Roman" w:hAnsi="Times New Roman"/>
        </w:rPr>
        <w:t xml:space="preserve">Section 2.3 barred Apex from replacing its project manager without fifteen business days’ prior written notice. It also required that any replacement have</w:t>
      </w:r>
      <w:r>
        <w:rPr>
          <w:rFonts w:ascii="Times New Roman" w:hAnsi="Times New Roman"/>
        </w:rPr>
        <w:t xml:space="preserve"> </w:t>
      </w:r>
      <w:r>
        <w:rPr>
          <w:rFonts w:ascii="Times New Roman" w:hAnsi="Times New Roman"/>
        </w:rPr>
        <w:t xml:space="preserve">“</w:t>
      </w:r>
      <w:r>
        <w:rPr>
          <w:rFonts w:ascii="Times New Roman" w:hAnsi="Times New Roman"/>
        </w:rPr>
        <w:t xml:space="preserve">qualifications and experience at least equivalent.</w:t>
      </w:r>
      <w:r>
        <w:rPr>
          <w:rFonts w:ascii="Times New Roman" w:hAnsi="Times New Roman"/>
        </w:rPr>
        <w:t xml:space="preserve">”</w:t>
      </w:r>
      <w:r>
        <w:rPr>
          <w:rFonts w:ascii="Times New Roman" w:hAnsi="Times New Roman"/>
        </w:rPr>
        <w:t xml:space="preserve"> </w:t>
      </w:r>
      <w:r>
        <w:rPr>
          <w:rFonts w:ascii="Times New Roman" w:hAnsi="Times New Roman"/>
        </w:rPr>
        <w:t xml:space="preserve">CSMF ¶ 38. Apex replaced Mr. Ostroff to redeploy him to a billing project, over his own objection that</w:t>
      </w:r>
      <w:r>
        <w:rPr>
          <w:rFonts w:ascii="Times New Roman" w:hAnsi="Times New Roman"/>
        </w:rPr>
        <w:t xml:space="preserve"> </w:t>
      </w:r>
      <w:r>
        <w:rPr>
          <w:rFonts w:ascii="Times New Roman" w:hAnsi="Times New Roman"/>
        </w:rPr>
        <w:t xml:space="preserve">“</w:t>
      </w:r>
      <w:r>
        <w:rPr>
          <w:rFonts w:ascii="Times New Roman" w:hAnsi="Times New Roman"/>
        </w:rPr>
        <w:t xml:space="preserve">this project needed someone with more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CSMF ¶¶ 67, 69. Ms. Cho had never led an implementation of this complexity and lacked Teamcenter and AS9100D experience. CSMF ¶ 68. Apex’s CEO does not claim she was equivalent. When confronted, Apex did not assert that it had given notice. It asserted instead a</w:t>
      </w:r>
      <w:r>
        <w:rPr>
          <w:rFonts w:ascii="Times New Roman" w:hAnsi="Times New Roman"/>
        </w:rPr>
        <w:t xml:space="preserve"> </w:t>
      </w:r>
      <w:r>
        <w:rPr>
          <w:rFonts w:ascii="Times New Roman" w:hAnsi="Times New Roman"/>
        </w:rPr>
        <w:t xml:space="preserve">“</w:t>
      </w:r>
      <w:r>
        <w:rPr>
          <w:rFonts w:ascii="Times New Roman" w:hAnsi="Times New Roman"/>
        </w:rPr>
        <w:t xml:space="preserve">discretion</w:t>
      </w:r>
      <w:r>
        <w:rPr>
          <w:rFonts w:ascii="Times New Roman" w:hAnsi="Times New Roman"/>
        </w:rPr>
        <w:t xml:space="preserve">”</w:t>
      </w:r>
      <w:r>
        <w:rPr>
          <w:rFonts w:ascii="Times New Roman" w:hAnsi="Times New Roman"/>
        </w:rPr>
        <w:t xml:space="preserve"> </w:t>
      </w:r>
      <w:r>
        <w:rPr>
          <w:rFonts w:ascii="Times New Roman" w:hAnsi="Times New Roman"/>
        </w:rPr>
        <w:t xml:space="preserve">that § 2.3 does not confer. CSMF ¶ 70.</w:t>
      </w:r>
    </w:p>
    <w:bookmarkEnd w:id="30"/>
    <w:bookmarkStart w:id="31" w:name="X622548e97bf267f1043a8e57e8a4ea5d54caf4d"/>
    <w:p>
      <w:pPr>
        <w:pStyle w:val="Heading3"/>
      </w:pPr>
      <w:r>
        <w:rPr>
          <w:rFonts w:ascii="Times New Roman" w:hAnsi="Times New Roman"/>
        </w:rPr>
        <w:t xml:space="preserve">5. Apex’s</w:t>
      </w:r>
      <w:r>
        <w:rPr>
          <w:rFonts w:ascii="Times New Roman" w:hAnsi="Times New Roman"/>
        </w:rPr>
        <w:t xml:space="preserve"> </w:t>
      </w:r>
      <w:r>
        <w:rPr>
          <w:rFonts w:ascii="Times New Roman" w:hAnsi="Times New Roman"/>
        </w:rPr>
        <w:t xml:space="preserve">“</w:t>
      </w:r>
      <w:r>
        <w:rPr>
          <w:rFonts w:ascii="Times New Roman" w:hAnsi="Times New Roman"/>
        </w:rPr>
        <w:t xml:space="preserve">Ridgeline-caused delay</w:t>
      </w:r>
      <w:r>
        <w:rPr>
          <w:rFonts w:ascii="Times New Roman" w:hAnsi="Times New Roman"/>
        </w:rPr>
        <w:t xml:space="preserve">”</w:t>
      </w:r>
      <w:r>
        <w:rPr>
          <w:rFonts w:ascii="Times New Roman" w:hAnsi="Times New Roman"/>
        </w:rPr>
        <w:t xml:space="preserve"> </w:t>
      </w:r>
      <w:r>
        <w:rPr>
          <w:rFonts w:ascii="Times New Roman" w:hAnsi="Times New Roman"/>
        </w:rPr>
        <w:t xml:space="preserve">defense fails as a matter of law.</w:t>
      </w:r>
    </w:p>
    <w:p>
      <w:pPr>
        <w:pStyle w:val="FirstParagraph"/>
      </w:pPr>
      <w:r>
        <w:rPr>
          <w:rFonts w:ascii="Times New Roman" w:hAnsi="Times New Roman"/>
        </w:rPr>
        <w:t xml:space="preserve">Apex has asserted that Ridgeline’s IT staff were slow to provide data. CSMF ¶ 83; App. Ex. 16. The defense fails for three independent reasons.</w:t>
      </w:r>
    </w:p>
    <w:p>
      <w:pPr>
        <w:pStyle w:val="BodyText"/>
      </w:pPr>
      <w:r>
        <w:rPr>
          <w:rFonts w:ascii="Times New Roman" w:hAnsi="Times New Roman"/>
          <w:i/>
          <w:iCs/>
        </w:rPr>
        <w:t xml:space="preserve">First</w:t>
      </w:r>
      <w:r>
        <w:rPr>
          <w:rFonts w:ascii="Times New Roman" w:hAnsi="Times New Roman"/>
        </w:rPr>
        <w:t xml:space="preserve">, the MSA extends milestones for Ridgeline-caused delay only if Apex gave</w:t>
      </w:r>
      <w:r>
        <w:rPr>
          <w:rFonts w:ascii="Times New Roman" w:hAnsi="Times New Roman"/>
        </w:rPr>
        <w:t xml:space="preserve"> </w:t>
      </w:r>
      <w:r>
        <w:rPr>
          <w:rFonts w:ascii="Times New Roman" w:hAnsi="Times New Roman"/>
        </w:rPr>
        <w:t xml:space="preserve">“</w:t>
      </w:r>
      <w:r>
        <w:rPr>
          <w:rFonts w:ascii="Times New Roman" w:hAnsi="Times New Roman"/>
        </w:rPr>
        <w:t xml:space="preserve">timely written notice specifying the nature of Ridgeline’s failure and its impact on the schedule</w:t>
      </w:r>
      <w:r>
        <w:rPr>
          <w:rFonts w:ascii="Times New Roman" w:hAnsi="Times New Roman"/>
        </w:rPr>
        <w:t xml:space="preserve">”</w:t>
      </w:r>
      <w:r>
        <w:rPr>
          <w:rFonts w:ascii="Times New Roman" w:hAnsi="Times New Roman"/>
        </w:rPr>
        <w:t xml:space="preserve"> </w:t>
      </w:r>
      <w:r>
        <w:rPr>
          <w:rFonts w:ascii="Times New Roman" w:hAnsi="Times New Roman"/>
        </w:rPr>
        <w:t xml:space="preserve">and mitigated. CSMF ¶ 41. [Apex has identified no such § 3.6 notice.</w:t>
      </w:r>
      <w:r>
        <w:rPr>
          <w:rFonts w:ascii="Times New Roman" w:hAnsi="Times New Roman"/>
        </w:rPr>
        <w:t xml:space="preserve"> </w:t>
      </w:r>
      <w:r>
        <w:rPr>
          <w:rFonts w:ascii="Times New Roman" w:hAnsi="Times New Roman"/>
          <w:i/>
          <w:iCs/>
        </w:rPr>
        <w:t xml:space="preserve">Confirm against full production before filing.</w:t>
      </w:r>
      <w:r>
        <w:rPr>
          <w:rFonts w:ascii="Times New Roman" w:hAnsi="Times New Roman"/>
        </w:rPr>
        <w:t xml:space="preserve">] Instead, Apex’s contemporaneous written communication told Ridgeline the opposite, reporting on June 10, 2022 that Phase 1 was</w:t>
      </w:r>
      <w:r>
        <w:rPr>
          <w:rFonts w:ascii="Times New Roman" w:hAnsi="Times New Roman"/>
        </w:rPr>
        <w:t xml:space="preserve"> </w:t>
      </w:r>
      <w:r>
        <w:rPr>
          <w:rFonts w:ascii="Times New Roman" w:hAnsi="Times New Roman"/>
        </w:rPr>
        <w:t xml:space="preserve">“</w:t>
      </w:r>
      <w:r>
        <w:rPr>
          <w:rFonts w:ascii="Times New Roman" w:hAnsi="Times New Roman"/>
        </w:rPr>
        <w:t xml:space="preserve">on track</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Apex did not</w:t>
      </w:r>
      <w:r>
        <w:rPr>
          <w:rFonts w:ascii="Times New Roman" w:hAnsi="Times New Roman"/>
        </w:rPr>
        <w:t xml:space="preserve"> </w:t>
      </w:r>
      <w:r>
        <w:rPr>
          <w:rFonts w:ascii="Times New Roman" w:hAnsi="Times New Roman"/>
        </w:rPr>
        <w:t xml:space="preserve">“</w:t>
      </w:r>
      <w:r>
        <w:rPr>
          <w:rFonts w:ascii="Times New Roman" w:hAnsi="Times New Roman"/>
        </w:rPr>
        <w:t xml:space="preserve">anticipate any issues.</w:t>
      </w:r>
      <w:r>
        <w:rPr>
          <w:rFonts w:ascii="Times New Roman" w:hAnsi="Times New Roman"/>
        </w:rPr>
        <w:t xml:space="preserve">”</w:t>
      </w:r>
      <w:r>
        <w:rPr>
          <w:rFonts w:ascii="Times New Roman" w:hAnsi="Times New Roman"/>
        </w:rPr>
        <w:t xml:space="preserve"> </w:t>
      </w:r>
      <w:r>
        <w:rPr>
          <w:rFonts w:ascii="Times New Roman" w:hAnsi="Times New Roman"/>
        </w:rPr>
        <w:t xml:space="preserve">CSMF ¶ 57.</w:t>
      </w:r>
    </w:p>
    <w:p>
      <w:pPr>
        <w:pStyle w:val="BodyText"/>
      </w:pPr>
      <w:r>
        <w:rPr>
          <w:rFonts w:ascii="Times New Roman" w:hAnsi="Times New Roman"/>
          <w:i/>
          <w:iCs/>
        </w:rPr>
        <w:t xml:space="preserve">Second</w:t>
      </w:r>
      <w:r>
        <w:rPr>
          <w:rFonts w:ascii="Times New Roman" w:hAnsi="Times New Roman"/>
        </w:rPr>
        <w:t xml:space="preserve">, Apex’s own project manager, the person on the ground, testified that</w:t>
      </w:r>
      <w:r>
        <w:rPr>
          <w:rFonts w:ascii="Times New Roman" w:hAnsi="Times New Roman"/>
        </w:rPr>
        <w:t xml:space="preserve"> </w:t>
      </w:r>
      <w:r>
        <w:rPr>
          <w:rFonts w:ascii="Times New Roman" w:hAnsi="Times New Roman"/>
        </w:rPr>
        <w:t xml:space="preserve">“</w:t>
      </w:r>
      <w:r>
        <w:rPr>
          <w:rFonts w:ascii="Times New Roman" w:hAnsi="Times New Roman"/>
        </w:rPr>
        <w:t xml:space="preserve">Ridgeline was pretty responsive. The delays were on our side,</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any minor Ridgeline delays</w:t>
      </w:r>
      <w:r>
        <w:rPr>
          <w:rFonts w:ascii="Times New Roman" w:hAnsi="Times New Roman"/>
        </w:rPr>
        <w:t xml:space="preserve"> </w:t>
      </w:r>
      <w:r>
        <w:rPr>
          <w:rFonts w:ascii="Times New Roman" w:hAnsi="Times New Roman"/>
        </w:rPr>
        <w:t xml:space="preserve">“</w:t>
      </w:r>
      <w:r>
        <w:rPr>
          <w:rFonts w:ascii="Times New Roman" w:hAnsi="Times New Roman"/>
        </w:rPr>
        <w:t xml:space="preserve">weren’t the reason we missed the Phase 1 deadline.</w:t>
      </w:r>
      <w:r>
        <w:rPr>
          <w:rFonts w:ascii="Times New Roman" w:hAnsi="Times New Roman"/>
        </w:rPr>
        <w:t xml:space="preserve">”</w:t>
      </w:r>
      <w:r>
        <w:rPr>
          <w:rFonts w:ascii="Times New Roman" w:hAnsi="Times New Roman"/>
        </w:rPr>
        <w:t xml:space="preserve"> </w:t>
      </w:r>
      <w:r>
        <w:rPr>
          <w:rFonts w:ascii="Times New Roman" w:hAnsi="Times New Roman"/>
        </w:rPr>
        <w:t xml:space="preserve">CSMF ¶ 61. A party cannot create a genuine dispute through an expert whose premise is contradicted by its own witness’s admissions.</w:t>
      </w:r>
      <w:r>
        <w:rPr>
          <w:rFonts w:ascii="Times New Roman" w:hAnsi="Times New Roman"/>
        </w:rPr>
        <w:t xml:space="preserve"> </w:t>
      </w:r>
      <w:r>
        <w:rPr>
          <w:rFonts w:ascii="Times New Roman" w:hAnsi="Times New Roman"/>
          <w:i/>
          <w:iCs/>
        </w:rPr>
        <w:t xml:space="preserve">See Kirleis</w:t>
      </w:r>
      <w:r>
        <w:rPr>
          <w:rFonts w:ascii="Times New Roman" w:hAnsi="Times New Roman"/>
        </w:rPr>
        <w:t xml:space="preserve">, 560 F.3d at 161.</w:t>
      </w:r>
    </w:p>
    <w:p>
      <w:pPr>
        <w:pStyle w:val="BodyText"/>
      </w:pPr>
      <w:r>
        <w:rPr>
          <w:rFonts w:ascii="Times New Roman" w:hAnsi="Times New Roman"/>
          <w:i/>
          <w:iCs/>
        </w:rPr>
        <w:t xml:space="preserve">Third</w:t>
      </w:r>
      <w:r>
        <w:rPr>
          <w:rFonts w:ascii="Times New Roman" w:hAnsi="Times New Roman"/>
        </w:rPr>
        <w:t xml:space="preserve">, the defense is immaterial even if fully credited. Apex’s expert attributes at most three to four weeks of Phase 1 delay to Ridgeline. That leaves at least seven weeks of Apex-caused Phase 1 delay. It says nothing about Phase 2, which was more than five months overdue when Ridgeline served notice, or about the non-conforming Teamcenter and AS9100D work. CSMF ¶¶ 64, 72, 81, 82. The expert’s complexity opinion also rests on the premise that Ridgeline ran Teamcenter 12.0, when the MSA specifies version 13.2. CSMF ¶ 81. A dispute that cannot change the outcome is not</w:t>
      </w:r>
      <w:r>
        <w:rPr>
          <w:rFonts w:ascii="Times New Roman" w:hAnsi="Times New Roman"/>
        </w:rPr>
        <w:t xml:space="preserve"> </w:t>
      </w:r>
      <w:r>
        <w:rPr>
          <w:rFonts w:ascii="Times New Roman" w:hAnsi="Times New Roman"/>
        </w:rPr>
        <w:t xml:space="preserve">“</w:t>
      </w:r>
      <w:r>
        <w:rPr>
          <w:rFonts w:ascii="Times New Roman" w:hAnsi="Times New Roman"/>
        </w:rPr>
        <w:t xml:space="preserve">material.</w:t>
      </w:r>
      <w:r>
        <w:rPr>
          <w:rFonts w:ascii="Times New Roman" w:hAnsi="Times New Roman"/>
        </w:rPr>
        <w:t xml:space="preserve">”</w:t>
      </w:r>
      <w:r>
        <w:rPr>
          <w:rFonts w:ascii="Times New Roman" w:hAnsi="Times New Roman"/>
        </w:rPr>
        <w:t xml:space="preserve"> </w:t>
      </w:r>
      <w:r>
        <w:rPr>
          <w:rFonts w:ascii="Times New Roman" w:hAnsi="Times New Roman"/>
          <w:i/>
          <w:iCs/>
        </w:rPr>
        <w:t xml:space="preserve">Anderson</w:t>
      </w:r>
      <w:r>
        <w:rPr>
          <w:rFonts w:ascii="Times New Roman" w:hAnsi="Times New Roman"/>
        </w:rPr>
        <w:t xml:space="preserve">, 477 U.S. at 248.</w:t>
      </w:r>
    </w:p>
    <w:bookmarkEnd w:id="31"/>
    <w:bookmarkStart w:id="32" w:name="X92e6609459f40bcd0ea0683da9e514381fd4e91"/>
    <w:p>
      <w:pPr>
        <w:pStyle w:val="Heading3"/>
      </w:pPr>
      <w:r>
        <w:rPr>
          <w:rFonts w:ascii="Times New Roman" w:hAnsi="Times New Roman"/>
        </w:rPr>
        <w:t xml:space="preserve">6. Ridgeline did not waive any breach by paying the Phase 1 milestone.</w:t>
      </w:r>
    </w:p>
    <w:p>
      <w:pPr>
        <w:pStyle w:val="FirstParagraph"/>
      </w:pPr>
      <w:r>
        <w:rPr>
          <w:rFonts w:ascii="Times New Roman" w:hAnsi="Times New Roman"/>
        </w:rPr>
        <w:t xml:space="preserve">Apex may argue that Ridgeline’s October 3, 2022 Phase 1 payment accepted Apex’s performance. The MSA forecloses that argument three times over. Payment</w:t>
      </w:r>
      <w:r>
        <w:rPr>
          <w:rFonts w:ascii="Times New Roman" w:hAnsi="Times New Roman"/>
        </w:rPr>
        <w:t xml:space="preserve"> </w:t>
      </w:r>
      <w:r>
        <w:rPr>
          <w:rFonts w:ascii="Times New Roman" w:hAnsi="Times New Roman"/>
        </w:rPr>
        <w:t xml:space="preserve">“</w:t>
      </w:r>
      <w:r>
        <w:rPr>
          <w:rFonts w:ascii="Times New Roman" w:hAnsi="Times New Roman"/>
        </w:rPr>
        <w:t xml:space="preserve">shall not constitute acceptance</w:t>
      </w:r>
      <w:r>
        <w:rPr>
          <w:rFonts w:ascii="Times New Roman" w:hAnsi="Times New Roman"/>
        </w:rPr>
        <w:t xml:space="preserve">”</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w:t>
      </w:r>
      <w:r>
        <w:rPr>
          <w:rFonts w:ascii="Times New Roman" w:hAnsi="Times New Roman"/>
        </w:rPr>
        <w:t xml:space="preserve">a waiver of any . . . breach</w:t>
      </w:r>
      <w:r>
        <w:rPr>
          <w:rFonts w:ascii="Times New Roman" w:hAnsi="Times New Roman"/>
        </w:rPr>
        <w:t xml:space="preserve">”</w:t>
      </w:r>
      <w:r>
        <w:rPr>
          <w:rFonts w:ascii="Times New Roman" w:hAnsi="Times New Roman"/>
        </w:rPr>
        <w:t xml:space="preserve"> </w:t>
      </w:r>
      <w:r>
        <w:rPr>
          <w:rFonts w:ascii="Times New Roman" w:hAnsi="Times New Roman"/>
        </w:rPr>
        <w:t xml:space="preserve">absent a specific signed writing referencing § 4.4 (§ 4.4). Payment accompanied by a</w:t>
      </w:r>
      <w:r>
        <w:rPr>
          <w:rFonts w:ascii="Times New Roman" w:hAnsi="Times New Roman"/>
        </w:rPr>
        <w:t xml:space="preserve"> </w:t>
      </w:r>
      <w:r>
        <w:rPr>
          <w:rFonts w:ascii="Times New Roman" w:hAnsi="Times New Roman"/>
        </w:rPr>
        <w:t xml:space="preserve">“</w:t>
      </w:r>
      <w:r>
        <w:rPr>
          <w:rFonts w:ascii="Times New Roman" w:hAnsi="Times New Roman"/>
        </w:rPr>
        <w:t xml:space="preserve">contemporaneous written reservation of rights</w:t>
      </w:r>
      <w:r>
        <w:rPr>
          <w:rFonts w:ascii="Times New Roman" w:hAnsi="Times New Roman"/>
        </w:rPr>
        <w:t xml:space="preserve">”</w:t>
      </w:r>
      <w:r>
        <w:rPr>
          <w:rFonts w:ascii="Times New Roman" w:hAnsi="Times New Roman"/>
        </w:rPr>
        <w:t xml:space="preserve"> </w:t>
      </w:r>
      <w:r>
        <w:rPr>
          <w:rFonts w:ascii="Times New Roman" w:hAnsi="Times New Roman"/>
        </w:rPr>
        <w:t xml:space="preserve">works no</w:t>
      </w:r>
      <w:r>
        <w:rPr>
          <w:rFonts w:ascii="Times New Roman" w:hAnsi="Times New Roman"/>
        </w:rPr>
        <w:t xml:space="preserve"> </w:t>
      </w:r>
      <w:r>
        <w:rPr>
          <w:rFonts w:ascii="Times New Roman" w:hAnsi="Times New Roman"/>
        </w:rPr>
        <w:t xml:space="preserve">“</w:t>
      </w:r>
      <w:r>
        <w:rPr>
          <w:rFonts w:ascii="Times New Roman" w:hAnsi="Times New Roman"/>
        </w:rPr>
        <w:t xml:space="preserve">acceptance, waiver, release, or estoppel</w:t>
      </w:r>
      <w:r>
        <w:rPr>
          <w:rFonts w:ascii="Times New Roman" w:hAnsi="Times New Roman"/>
        </w:rPr>
        <w:t xml:space="preserve">”</w:t>
      </w:r>
      <w:r>
        <w:rPr>
          <w:rFonts w:ascii="Times New Roman" w:hAnsi="Times New Roman"/>
        </w:rPr>
        <w:t xml:space="preserve"> </w:t>
      </w:r>
      <w:r>
        <w:rPr>
          <w:rFonts w:ascii="Times New Roman" w:hAnsi="Times New Roman"/>
        </w:rPr>
        <w:t xml:space="preserve">(§ 4.5). And waivers must be in a signed writing (§ 14.3). CSMF ¶¶ 43–44. Ridgeline’s payment email, copied to Apex’s CEO, expressly reserved</w:t>
      </w:r>
      <w:r>
        <w:rPr>
          <w:rFonts w:ascii="Times New Roman" w:hAnsi="Times New Roman"/>
        </w:rPr>
        <w:t xml:space="preserve"> </w:t>
      </w:r>
      <w:r>
        <w:rPr>
          <w:rFonts w:ascii="Times New Roman" w:hAnsi="Times New Roman"/>
        </w:rPr>
        <w:t xml:space="preserve">“</w:t>
      </w:r>
      <w:r>
        <w:rPr>
          <w:rFonts w:ascii="Times New Roman" w:hAnsi="Times New Roman"/>
        </w:rPr>
        <w:t xml:space="preserve">all rights regarding the delay and the incomplete Teamcenter integration design.</w:t>
      </w:r>
      <w:r>
        <w:rPr>
          <w:rFonts w:ascii="Times New Roman" w:hAnsi="Times New Roman"/>
        </w:rPr>
        <w:t xml:space="preserve">”</w:t>
      </w:r>
      <w:r>
        <w:rPr>
          <w:rFonts w:ascii="Times New Roman" w:hAnsi="Times New Roman"/>
        </w:rPr>
        <w:t xml:space="preserve"> </w:t>
      </w:r>
      <w:r>
        <w:rPr>
          <w:rFonts w:ascii="Times New Roman" w:hAnsi="Times New Roman"/>
        </w:rPr>
        <w:t xml:space="preserve">CSMF ¶ 62.</w:t>
      </w:r>
    </w:p>
    <w:bookmarkEnd w:id="32"/>
    <w:bookmarkStart w:id="33" w:name="Xd34e7adc44bd86a4b2a31c3c81f5500058b2f36"/>
    <w:p>
      <w:pPr>
        <w:pStyle w:val="Heading3"/>
      </w:pPr>
      <w:r>
        <w:rPr>
          <w:rFonts w:ascii="Times New Roman" w:hAnsi="Times New Roman"/>
        </w:rPr>
        <w:t xml:space="preserve">7. Apex’s breaches were material, and Ridgeline properly terminated under MSA § 8.2.</w:t>
      </w:r>
    </w:p>
    <w:p>
      <w:pPr>
        <w:pStyle w:val="FirstParagraph"/>
      </w:pPr>
      <w:r>
        <w:rPr>
          <w:rFonts w:ascii="Times New Roman" w:hAnsi="Times New Roman"/>
        </w:rPr>
        <w:t xml:space="preserve">Whether a breach is material is ordinarily a question of fact. It becomes a question of law where the facts permit only one reasonable conclusion.</w:t>
      </w:r>
      <w:r>
        <w:rPr>
          <w:rFonts w:ascii="Times New Roman" w:hAnsi="Times New Roman"/>
        </w:rPr>
        <w:t xml:space="preserve"> </w:t>
      </w:r>
      <w:r>
        <w:rPr>
          <w:rFonts w:ascii="Times New Roman" w:hAnsi="Times New Roman"/>
          <w:i/>
          <w:iCs/>
        </w:rPr>
        <w:t xml:space="preserve">See LJL Transp., Inc. v. Pilot Air Freight Corp.</w:t>
      </w:r>
      <w:r>
        <w:rPr>
          <w:rFonts w:ascii="Times New Roman" w:hAnsi="Times New Roman"/>
        </w:rPr>
        <w:t xml:space="preserve">, 962 A.2d 639, 648–52 (Pa. 2009) (holding breach so fundamental that termination without opportunity to cure was permitted as a matter of law); Restatement (Second) of Contracts § 241 (factors include the extent to which the injured party is deprived of the benefit reasonably expected). The parties agreed in § 3.5 that timely completion</w:t>
      </w:r>
      <w:r>
        <w:rPr>
          <w:rFonts w:ascii="Times New Roman" w:hAnsi="Times New Roman"/>
        </w:rPr>
        <w:t xml:space="preserve"> </w:t>
      </w:r>
      <w:r>
        <w:rPr>
          <w:rFonts w:ascii="Times New Roman" w:hAnsi="Times New Roman"/>
        </w:rPr>
        <w:t xml:space="preserve">“</w:t>
      </w:r>
      <w:r>
        <w:rPr>
          <w:rFonts w:ascii="Times New Roman" w:hAnsi="Times New Roman"/>
        </w:rPr>
        <w:t xml:space="preserve">is material to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CSMF ¶ 40. Teamcenter integration and AS9100D compliance were the two capabilities Apex itself identified as the reasons to hire it. CSMF ¶ 14. Apex delivered neither. Ridgeline was deprived of essentially the entire benefit of its bargain.</w:t>
      </w:r>
    </w:p>
    <w:p>
      <w:pPr>
        <w:pStyle w:val="BodyText"/>
      </w:pPr>
      <w:r>
        <w:rPr>
          <w:rFonts w:ascii="Times New Roman" w:hAnsi="Times New Roman"/>
        </w:rPr>
        <w:t xml:space="preserve">Ridgeline followed § 8.2 to the letter. It gave written notice identifying four specific breaches and allowed thirty days to cure. CSMF ¶ 82. Apex did not cure. Its response made any remediation</w:t>
      </w:r>
      <w:r>
        <w:rPr>
          <w:rFonts w:ascii="Times New Roman" w:hAnsi="Times New Roman"/>
        </w:rPr>
        <w:t xml:space="preserve"> </w:t>
      </w:r>
      <w:r>
        <w:rPr>
          <w:rFonts w:ascii="Times New Roman" w:hAnsi="Times New Roman"/>
        </w:rPr>
        <w:t xml:space="preserve">“</w:t>
      </w:r>
      <w:r>
        <w:rPr>
          <w:rFonts w:ascii="Times New Roman" w:hAnsi="Times New Roman"/>
        </w:rPr>
        <w:t xml:space="preserve">contingent upon Ridgeline’s approval of the revised scope and fee structure</w:t>
      </w:r>
      <w:r>
        <w:rPr>
          <w:rFonts w:ascii="Times New Roman" w:hAnsi="Times New Roman"/>
        </w:rPr>
        <w:t xml:space="preserve">”</w:t>
      </w:r>
      <w:r>
        <w:rPr>
          <w:rFonts w:ascii="Times New Roman" w:hAnsi="Times New Roman"/>
        </w:rPr>
        <w:t xml:space="preserve"> </w:t>
      </w:r>
      <w:r>
        <w:rPr>
          <w:rFonts w:ascii="Times New Roman" w:hAnsi="Times New Roman"/>
        </w:rPr>
        <w:t xml:space="preserve">and sought to double the cure period. CSMF ¶ 83. Section 8.2 anticipates exactly that response and removes it from dispute: a response</w:t>
      </w:r>
      <w:r>
        <w:rPr>
          <w:rFonts w:ascii="Times New Roman" w:hAnsi="Times New Roman"/>
        </w:rPr>
        <w:t xml:space="preserve"> </w:t>
      </w:r>
      <w:r>
        <w:rPr>
          <w:rFonts w:ascii="Times New Roman" w:hAnsi="Times New Roman"/>
        </w:rPr>
        <w:t xml:space="preserve">“</w:t>
      </w:r>
      <w:r>
        <w:rPr>
          <w:rFonts w:ascii="Times New Roman" w:hAnsi="Times New Roman"/>
        </w:rPr>
        <w:t xml:space="preserve">that conditions cure upon the non-breaching Party’s agreement to modify the terms of this Agreement, approve additional fees, or approve an extension of the project timeline shall not constitute cure.</w:t>
      </w:r>
      <w:r>
        <w:rPr>
          <w:rFonts w:ascii="Times New Roman" w:hAnsi="Times New Roman"/>
        </w:rPr>
        <w:t xml:space="preserve">”</w:t>
      </w:r>
      <w:r>
        <w:rPr>
          <w:rFonts w:ascii="Times New Roman" w:hAnsi="Times New Roman"/>
        </w:rPr>
        <w:t xml:space="preserve"> </w:t>
      </w:r>
      <w:r>
        <w:rPr>
          <w:rFonts w:ascii="Times New Roman" w:hAnsi="Times New Roman"/>
        </w:rPr>
        <w:t xml:space="preserve">CSMF ¶ 47. Independently, a statement that a party will not perform unless the other party agrees to terms it is not obligated to accept is a repudiation.</w:t>
      </w:r>
      <w:r>
        <w:rPr>
          <w:rFonts w:ascii="Times New Roman" w:hAnsi="Times New Roman"/>
        </w:rPr>
        <w:t xml:space="preserve"> </w:t>
      </w:r>
      <w:r>
        <w:rPr>
          <w:rFonts w:ascii="Times New Roman" w:hAnsi="Times New Roman"/>
          <w:i/>
          <w:iCs/>
        </w:rPr>
        <w:t xml:space="preserve">See</w:t>
      </w:r>
      <w:r>
        <w:rPr>
          <w:rFonts w:ascii="Times New Roman" w:hAnsi="Times New Roman"/>
        </w:rPr>
        <w:t xml:space="preserve"> </w:t>
      </w:r>
      <w:r>
        <w:rPr>
          <w:rFonts w:ascii="Times New Roman" w:hAnsi="Times New Roman"/>
        </w:rPr>
        <w:t xml:space="preserve">Restatement (Second) of Contracts § 250 cmt. b;</w:t>
      </w:r>
      <w:r>
        <w:rPr>
          <w:rFonts w:ascii="Times New Roman" w:hAnsi="Times New Roman"/>
        </w:rPr>
        <w:t xml:space="preserve"> </w:t>
      </w:r>
      <w:r>
        <w:rPr>
          <w:rFonts w:ascii="Times New Roman" w:hAnsi="Times New Roman"/>
          <w:i/>
          <w:iCs/>
        </w:rPr>
        <w:t xml:space="preserve">2401 Pa. Ave. Corp. v. Fed’n of Jewish Agencies of Greater Phila.</w:t>
      </w:r>
      <w:r>
        <w:rPr>
          <w:rFonts w:ascii="Times New Roman" w:hAnsi="Times New Roman"/>
        </w:rPr>
        <w:t xml:space="preserve">, 489 A.2d 733, 737 (Pa. 1985). Termination was proper as a matter of law.</w:t>
      </w:r>
    </w:p>
    <w:bookmarkEnd w:id="33"/>
    <w:bookmarkStart w:id="34" w:name="damages."/>
    <w:p>
      <w:pPr>
        <w:pStyle w:val="Heading3"/>
      </w:pPr>
      <w:r>
        <w:rPr>
          <w:rFonts w:ascii="Times New Roman" w:hAnsi="Times New Roman"/>
        </w:rPr>
        <w:t xml:space="preserve">8. Damages.</w:t>
      </w:r>
    </w:p>
    <w:p>
      <w:pPr>
        <w:pStyle w:val="FirstParagraph"/>
      </w:pPr>
      <w:r>
        <w:rPr>
          <w:rFonts w:ascii="Times New Roman" w:hAnsi="Times New Roman"/>
        </w:rPr>
        <w:t xml:space="preserve">The existence of damages is undisputed. Ridgeline paid Apex $1,282,500, received no functioning system, and paid replacement vendors $3,575,000. CSMF ¶¶ 63, 85–86. Apex’s own expert concedes that Ridgeline is owed at least $400,000. App. Ex. 21, Opinion 3. The parties dispute the amount, not whether damages exist, and that dispute does not preclude judgment on liability. Fed. R. Civ. P. 56(a) (summary judgment available on</w:t>
      </w:r>
      <w:r>
        <w:rPr>
          <w:rFonts w:ascii="Times New Roman" w:hAnsi="Times New Roman"/>
        </w:rPr>
        <w:t xml:space="preserve"> </w:t>
      </w:r>
      <w:r>
        <w:rPr>
          <w:rFonts w:ascii="Times New Roman" w:hAnsi="Times New Roman"/>
        </w:rPr>
        <w:t xml:space="preserve">“</w:t>
      </w:r>
      <w:r>
        <w:rPr>
          <w:rFonts w:ascii="Times New Roman" w:hAnsi="Times New Roman"/>
        </w:rPr>
        <w:t xml:space="preserve">part of</w:t>
      </w:r>
      <w:r>
        <w:rPr>
          <w:rFonts w:ascii="Times New Roman" w:hAnsi="Times New Roman"/>
        </w:rPr>
        <w:t xml:space="preserve">”</w:t>
      </w:r>
      <w:r>
        <w:rPr>
          <w:rFonts w:ascii="Times New Roman" w:hAnsi="Times New Roman"/>
        </w:rPr>
        <w:t xml:space="preserve"> </w:t>
      </w:r>
      <w:r>
        <w:rPr>
          <w:rFonts w:ascii="Times New Roman" w:hAnsi="Times New Roman"/>
        </w:rPr>
        <w:t xml:space="preserve">a claim). Ridgeline asks the Court to enter judgment on liability and reserve the amount of damages for trial.</w:t>
      </w:r>
    </w:p>
    <w:bookmarkEnd w:id="34"/>
    <w:bookmarkEnd w:id="35"/>
    <w:bookmarkStart w:id="36" w:name="X67094cb6dc3f9b396b8dc85d63284a7cf4f036e"/>
    <w:p>
      <w:pPr>
        <w:pStyle w:val="Heading2"/>
      </w:pPr>
      <w:r>
        <w:rPr>
          <w:rFonts w:ascii="Times New Roman" w:hAnsi="Times New Roman"/>
        </w:rPr>
        <w:t xml:space="preserve">B. Apex’s Counterclaim for Unpaid Milestone Fees Fails as a Matter of Law.</w:t>
      </w:r>
    </w:p>
    <w:p>
      <w:pPr>
        <w:pStyle w:val="FirstParagraph"/>
      </w:pPr>
      <w:r>
        <w:rPr>
          <w:rFonts w:ascii="Times New Roman" w:hAnsi="Times New Roman"/>
        </w:rPr>
        <w:t xml:space="preserve">Apex seeks $1,567,500, the Phase 2, UAT, and Go-Live installments. CSMF ¶ 87. Each installment was</w:t>
      </w:r>
      <w:r>
        <w:rPr>
          <w:rFonts w:ascii="Times New Roman" w:hAnsi="Times New Roman"/>
        </w:rPr>
        <w:t xml:space="preserve"> </w:t>
      </w:r>
      <w:r>
        <w:rPr>
          <w:rFonts w:ascii="Times New Roman" w:hAnsi="Times New Roman"/>
        </w:rPr>
        <w:t xml:space="preserve">“</w:t>
      </w:r>
      <w:r>
        <w:rPr>
          <w:rFonts w:ascii="Times New Roman" w:hAnsi="Times New Roman"/>
        </w:rPr>
        <w:t xml:space="preserve">due and payable upon Ridgeline’s written sign-off</w:t>
      </w:r>
      <w:r>
        <w:rPr>
          <w:rFonts w:ascii="Times New Roman" w:hAnsi="Times New Roman"/>
        </w:rPr>
        <w:t xml:space="preserve">”</w:t>
      </w:r>
      <w:r>
        <w:rPr>
          <w:rFonts w:ascii="Times New Roman" w:hAnsi="Times New Roman"/>
        </w:rPr>
        <w:t xml:space="preserve"> </w:t>
      </w:r>
      <w:r>
        <w:rPr>
          <w:rFonts w:ascii="Times New Roman" w:hAnsi="Times New Roman"/>
        </w:rPr>
        <w:t xml:space="preserve">(or, for Go-Live, upon achievement of Go-Live). Each was</w:t>
      </w:r>
      <w:r>
        <w:rPr>
          <w:rFonts w:ascii="Times New Roman" w:hAnsi="Times New Roman"/>
        </w:rPr>
        <w:t xml:space="preserve"> </w:t>
      </w:r>
      <w:r>
        <w:rPr>
          <w:rFonts w:ascii="Times New Roman" w:hAnsi="Times New Roman"/>
        </w:rPr>
        <w:t xml:space="preserve">“</w:t>
      </w:r>
      <w:r>
        <w:rPr>
          <w:rFonts w:ascii="Times New Roman" w:hAnsi="Times New Roman"/>
        </w:rPr>
        <w:t xml:space="preserve">conditioned upon Apex’s completion of the corresponding Deliverables to Ridgeline’s reasonable satisfaction, as evidenced by Ridgeline’s written sign-off.</w:t>
      </w:r>
      <w:r>
        <w:rPr>
          <w:rFonts w:ascii="Times New Roman" w:hAnsi="Times New Roman"/>
        </w:rPr>
        <w:t xml:space="preserve">”</w:t>
      </w:r>
      <w:r>
        <w:rPr>
          <w:rFonts w:ascii="Times New Roman" w:hAnsi="Times New Roman"/>
        </w:rPr>
        <w:t xml:space="preserve"> </w:t>
      </w:r>
      <w:r>
        <w:rPr>
          <w:rFonts w:ascii="Times New Roman" w:hAnsi="Times New Roman"/>
        </w:rPr>
        <w:t xml:space="preserve">CSMF ¶¶ 42–43. A condition precedent is an event that must occur before performance becomes due. If the condition does not occur, the duty never arises. Restatement (Second) of Contracts §§ 224, 225(1). Ridgeline never signed off on Phase 2 or UAT, and Go-Live never occurred under the MSA. CSMF ¶¶ 64, 86–87. Section 8.4(b) confirms that, upon termination, Ridgeline owes only for services</w:t>
      </w:r>
      <w:r>
        <w:rPr>
          <w:rFonts w:ascii="Times New Roman" w:hAnsi="Times New Roman"/>
        </w:rPr>
        <w:t xml:space="preserve"> </w:t>
      </w:r>
      <w:r>
        <w:rPr>
          <w:rFonts w:ascii="Times New Roman" w:hAnsi="Times New Roman"/>
        </w:rPr>
        <w:t xml:space="preserve">“</w:t>
      </w:r>
      <w:r>
        <w:rPr>
          <w:rFonts w:ascii="Times New Roman" w:hAnsi="Times New Roman"/>
        </w:rPr>
        <w:t xml:space="preserve">properly performed and accepted,</w:t>
      </w:r>
      <w:r>
        <w:rPr>
          <w:rFonts w:ascii="Times New Roman" w:hAnsi="Times New Roman"/>
        </w:rPr>
        <w:t xml:space="preserve">”</w:t>
      </w:r>
      <w:r>
        <w:rPr>
          <w:rFonts w:ascii="Times New Roman" w:hAnsi="Times New Roman"/>
        </w:rPr>
        <w:t xml:space="preserve"> </w:t>
      </w:r>
      <w:r>
        <w:rPr>
          <w:rFonts w:ascii="Times New Roman" w:hAnsi="Times New Roman"/>
        </w:rPr>
        <w:t xml:space="preserve">subject to setoff. CSMF ¶ 48. Moreover, a party that has committed an uncured material breach cannot insist on the other party’s counter-performance.</w:t>
      </w:r>
      <w:r>
        <w:rPr>
          <w:rFonts w:ascii="Times New Roman" w:hAnsi="Times New Roman"/>
        </w:rPr>
        <w:t xml:space="preserve"> </w:t>
      </w:r>
      <w:r>
        <w:rPr>
          <w:rFonts w:ascii="Times New Roman" w:hAnsi="Times New Roman"/>
          <w:i/>
          <w:iCs/>
        </w:rPr>
        <w:t xml:space="preserve">LJL Transp.</w:t>
      </w:r>
      <w:r>
        <w:rPr>
          <w:rFonts w:ascii="Times New Roman" w:hAnsi="Times New Roman"/>
        </w:rPr>
        <w:t xml:space="preserve">, 962 A.2d at 648. Summary judgment should be entered for Ridgeline on the counterclaim.</w:t>
      </w:r>
    </w:p>
    <w:bookmarkEnd w:id="36"/>
    <w:bookmarkStart w:id="45" w:name="Xcf7dedd34c1c728aebf43d667c15df0a18d0d75"/>
    <w:p>
      <w:pPr>
        <w:pStyle w:val="Heading2"/>
      </w:pPr>
      <w:r>
        <w:rPr>
          <w:rFonts w:ascii="Times New Roman" w:hAnsi="Times New Roman"/>
        </w:rPr>
        <w:t xml:space="preserve">C. Ridgeline Is Entitled to Summary Judgment on Liability for Fraudulent Inducement.</w:t>
      </w:r>
    </w:p>
    <w:p>
      <w:pPr>
        <w:pStyle w:val="FirstParagraph"/>
      </w:pPr>
      <w:r>
        <w:rPr>
          <w:rFonts w:ascii="Times New Roman" w:hAnsi="Times New Roman"/>
        </w:rPr>
        <w:t xml:space="preserve">To establish fraud, a plaintiff must prove</w:t>
      </w:r>
      <w:r>
        <w:rPr>
          <w:rFonts w:ascii="Times New Roman" w:hAnsi="Times New Roman"/>
        </w:rPr>
        <w:t xml:space="preserve"> </w:t>
      </w:r>
      <w:r>
        <w:rPr>
          <w:rFonts w:ascii="Times New Roman" w:hAnsi="Times New Roman"/>
        </w:rPr>
        <w:t xml:space="preserve">“</w:t>
      </w:r>
      <w:r>
        <w:rPr>
          <w:rFonts w:ascii="Times New Roman" w:hAnsi="Times New Roman"/>
        </w:rPr>
        <w:t xml:space="preserve">(1) a representation; (2) which is material to the transaction at hand; (3) made falsely, with knowledge of its falsity or recklessness as to whether it is true or false; (4) with the intent of misleading another into relying on it; (5) justifiable reliance on the misrepresentation; and (6) the resulting injury was proximately caused by the reliance.</w:t>
      </w:r>
      <w:r>
        <w:rPr>
          <w:rFonts w:ascii="Times New Roman" w:hAnsi="Times New Roman"/>
        </w:rPr>
        <w:t xml:space="preserve">”</w:t>
      </w:r>
      <w:r>
        <w:rPr>
          <w:rFonts w:ascii="Times New Roman" w:hAnsi="Times New Roman"/>
        </w:rPr>
        <w:t xml:space="preserve"> </w:t>
      </w:r>
      <w:r>
        <w:rPr>
          <w:rFonts w:ascii="Times New Roman" w:hAnsi="Times New Roman"/>
          <w:i/>
          <w:iCs/>
        </w:rPr>
        <w:t xml:space="preserve">Gibbs v. Ernst</w:t>
      </w:r>
      <w:r>
        <w:rPr>
          <w:rFonts w:ascii="Times New Roman" w:hAnsi="Times New Roman"/>
        </w:rPr>
        <w:t xml:space="preserve">, 647 A.2d 882, 889 (Pa. 1994). Fraud must be proven by clear and convincing evidence.</w:t>
      </w:r>
      <w:r>
        <w:rPr>
          <w:rFonts w:ascii="Times New Roman" w:hAnsi="Times New Roman"/>
        </w:rPr>
        <w:t xml:space="preserve"> </w:t>
      </w:r>
      <w:r>
        <w:rPr>
          <w:rFonts w:ascii="Times New Roman" w:hAnsi="Times New Roman"/>
          <w:i/>
          <w:iCs/>
        </w:rPr>
        <w:t xml:space="preserve">Id.</w:t>
      </w:r>
      <w:r>
        <w:rPr>
          <w:rFonts w:ascii="Times New Roman" w:hAnsi="Times New Roman"/>
        </w:rPr>
        <w:t xml:space="preserve"> </w:t>
      </w:r>
      <w:r>
        <w:rPr>
          <w:rFonts w:ascii="Times New Roman" w:hAnsi="Times New Roman"/>
        </w:rPr>
        <w:t xml:space="preserve">Here, each element rests on Apex’s own documents and sworn admissions.</w:t>
      </w:r>
    </w:p>
    <w:bookmarkStart w:id="37" w:name="Xdf7385cc7f4e215c1d0d233de57914b791831d7"/>
    <w:p>
      <w:pPr>
        <w:pStyle w:val="Heading3"/>
      </w:pPr>
      <w:r>
        <w:rPr>
          <w:rFonts w:ascii="Times New Roman" w:hAnsi="Times New Roman"/>
        </w:rPr>
        <w:t xml:space="preserve">1. Apex made false representations of existing fact.</w:t>
      </w:r>
    </w:p>
    <w:p>
      <w:pPr>
        <w:pStyle w:val="FirstParagraph"/>
      </w:pPr>
      <w:r>
        <w:rPr>
          <w:rFonts w:ascii="Times New Roman" w:hAnsi="Times New Roman"/>
        </w:rPr>
        <w:t xml:space="preserve">Apex’s representations concerned historical facts, not predictions. They addressed whether Apex had</w:t>
      </w:r>
      <w:r>
        <w:rPr>
          <w:rFonts w:ascii="Times New Roman" w:hAnsi="Times New Roman"/>
        </w:rPr>
        <w:t xml:space="preserve"> </w:t>
      </w:r>
      <w:r>
        <w:rPr>
          <w:rFonts w:ascii="Times New Roman" w:hAnsi="Times New Roman"/>
        </w:rPr>
        <w:t xml:space="preserve">“</w:t>
      </w:r>
      <w:r>
        <w:rPr>
          <w:rFonts w:ascii="Times New Roman" w:hAnsi="Times New Roman"/>
        </w:rPr>
        <w:t xml:space="preserve">successfully completed</w:t>
      </w:r>
      <w:r>
        <w:rPr>
          <w:rFonts w:ascii="Times New Roman" w:hAnsi="Times New Roman"/>
        </w:rPr>
        <w:t xml:space="preserve">”</w:t>
      </w:r>
      <w:r>
        <w:rPr>
          <w:rFonts w:ascii="Times New Roman" w:hAnsi="Times New Roman"/>
        </w:rPr>
        <w:t xml:space="preserve"> </w:t>
      </w:r>
      <w:r>
        <w:rPr>
          <w:rFonts w:ascii="Times New Roman" w:hAnsi="Times New Roman"/>
        </w:rPr>
        <w:t xml:space="preserve">Teamcenter integrations, whether it had done so for Corridor Metals in 2020 and PrimeTech in 2021 with specific quantified results, and how many AS9100D-certified specialists were</w:t>
      </w:r>
      <w:r>
        <w:rPr>
          <w:rFonts w:ascii="Times New Roman" w:hAnsi="Times New Roman"/>
        </w:rPr>
        <w:t xml:space="preserve"> </w:t>
      </w:r>
      <w:r>
        <w:rPr>
          <w:rFonts w:ascii="Times New Roman" w:hAnsi="Times New Roman"/>
        </w:rPr>
        <w:t xml:space="preserve">“</w:t>
      </w:r>
      <w:r>
        <w:rPr>
          <w:rFonts w:ascii="Times New Roman" w:hAnsi="Times New Roman"/>
        </w:rPr>
        <w:t xml:space="preserve">on [s]taff.</w:t>
      </w:r>
      <w:r>
        <w:rPr>
          <w:rFonts w:ascii="Times New Roman" w:hAnsi="Times New Roman"/>
        </w:rPr>
        <w:t xml:space="preserve">”</w:t>
      </w:r>
      <w:r>
        <w:rPr>
          <w:rFonts w:ascii="Times New Roman" w:hAnsi="Times New Roman"/>
        </w:rPr>
        <w:t xml:space="preserve"> </w:t>
      </w:r>
      <w:r>
        <w:rPr>
          <w:rFonts w:ascii="Times New Roman" w:hAnsi="Times New Roman"/>
        </w:rPr>
        <w:t xml:space="preserve">CSMF ¶¶ 6–7, 11, 15–16. Apex’s witnesses concede each was false. Apex had never performed a Teamcenter integration for anyone. Neither named engagement involved one. Apex had one certified specialist, not six. CSMF ¶¶ 18–24. Mr. Kresch’s description of the specialist count as</w:t>
      </w:r>
      <w:r>
        <w:rPr>
          <w:rFonts w:ascii="Times New Roman" w:hAnsi="Times New Roman"/>
        </w:rPr>
        <w:t xml:space="preserve"> </w:t>
      </w:r>
      <w:r>
        <w:rPr>
          <w:rFonts w:ascii="Times New Roman" w:hAnsi="Times New Roman"/>
        </w:rPr>
        <w:t xml:space="preserve">“</w:t>
      </w:r>
      <w:r>
        <w:rPr>
          <w:rFonts w:ascii="Times New Roman" w:hAnsi="Times New Roman"/>
        </w:rPr>
        <w:t xml:space="preserve">aspirational</w:t>
      </w:r>
      <w:r>
        <w:rPr>
          <w:rFonts w:ascii="Times New Roman" w:hAnsi="Times New Roman"/>
        </w:rPr>
        <w:t xml:space="preserve">”</w:t>
      </w:r>
      <w:r>
        <w:rPr>
          <w:rFonts w:ascii="Times New Roman" w:hAnsi="Times New Roman"/>
        </w:rPr>
        <w:t xml:space="preserve"> </w:t>
      </w:r>
      <w:r>
        <w:rPr>
          <w:rFonts w:ascii="Times New Roman" w:hAnsi="Times New Roman"/>
        </w:rPr>
        <w:t xml:space="preserve">is an admission that the statement described something that did not exist. CSMF ¶ 23. Ms. Bellingham’s testimony that she</w:t>
      </w:r>
      <w:r>
        <w:rPr>
          <w:rFonts w:ascii="Times New Roman" w:hAnsi="Times New Roman"/>
        </w:rPr>
        <w:t xml:space="preserve"> </w:t>
      </w:r>
      <w:r>
        <w:rPr>
          <w:rFonts w:ascii="Times New Roman" w:hAnsi="Times New Roman"/>
        </w:rPr>
        <w:t xml:space="preserve">“</w:t>
      </w:r>
      <w:r>
        <w:rPr>
          <w:rFonts w:ascii="Times New Roman" w:hAnsi="Times New Roman"/>
        </w:rPr>
        <w:t xml:space="preserve">may have overstated</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Slide 7</w:t>
      </w:r>
      <w:r>
        <w:rPr>
          <w:rFonts w:ascii="Times New Roman" w:hAnsi="Times New Roman"/>
        </w:rPr>
        <w:t xml:space="preserve"> </w:t>
      </w:r>
      <w:r>
        <w:rPr>
          <w:rFonts w:ascii="Times New Roman" w:hAnsi="Times New Roman"/>
        </w:rPr>
        <w:t xml:space="preserve">“</w:t>
      </w:r>
      <w:r>
        <w:rPr>
          <w:rFonts w:ascii="Times New Roman" w:hAnsi="Times New Roman"/>
        </w:rPr>
        <w:t xml:space="preserve">wasn’t entirely accurate</w:t>
      </w:r>
      <w:r>
        <w:rPr>
          <w:rFonts w:ascii="Times New Roman" w:hAnsi="Times New Roman"/>
        </w:rPr>
        <w:t xml:space="preserve">”</w:t>
      </w:r>
      <w:r>
        <w:rPr>
          <w:rFonts w:ascii="Times New Roman" w:hAnsi="Times New Roman"/>
        </w:rPr>
        <w:t xml:space="preserve"> </w:t>
      </w:r>
      <w:r>
        <w:rPr>
          <w:rFonts w:ascii="Times New Roman" w:hAnsi="Times New Roman"/>
        </w:rPr>
        <w:t xml:space="preserve">leaves nothing for a jury to resolve on falsity. CSMF ¶ 21.</w:t>
      </w:r>
    </w:p>
    <w:bookmarkEnd w:id="37"/>
    <w:bookmarkStart w:id="38" w:name="the-representations-were-material."/>
    <w:p>
      <w:pPr>
        <w:pStyle w:val="Heading3"/>
      </w:pPr>
      <w:r>
        <w:rPr>
          <w:rFonts w:ascii="Times New Roman" w:hAnsi="Times New Roman"/>
        </w:rPr>
        <w:t xml:space="preserve">2. The representations were material.</w:t>
      </w:r>
    </w:p>
    <w:p>
      <w:pPr>
        <w:pStyle w:val="FirstParagraph"/>
      </w:pPr>
      <w:r>
        <w:rPr>
          <w:rFonts w:ascii="Times New Roman" w:hAnsi="Times New Roman"/>
        </w:rPr>
        <w:t xml:space="preserve">A misrepresentation is material if it is of such character that, had it not been made, the transaction would not have been entered into.</w:t>
      </w:r>
      <w:r>
        <w:rPr>
          <w:rFonts w:ascii="Times New Roman" w:hAnsi="Times New Roman"/>
        </w:rPr>
        <w:t xml:space="preserve"> </w:t>
      </w:r>
      <w:r>
        <w:rPr>
          <w:rFonts w:ascii="Times New Roman" w:hAnsi="Times New Roman"/>
          <w:i/>
          <w:iCs/>
        </w:rPr>
        <w:t xml:space="preserve">See Gibbs</w:t>
      </w:r>
      <w:r>
        <w:rPr>
          <w:rFonts w:ascii="Times New Roman" w:hAnsi="Times New Roman"/>
        </w:rPr>
        <w:t xml:space="preserve">, 647 A.2d at 889. Apex itself told Ridgeline that</w:t>
      </w:r>
      <w:r>
        <w:rPr>
          <w:rFonts w:ascii="Times New Roman" w:hAnsi="Times New Roman"/>
        </w:rPr>
        <w:t xml:space="preserve"> </w:t>
      </w:r>
      <w:r>
        <w:rPr>
          <w:rFonts w:ascii="Times New Roman" w:hAnsi="Times New Roman"/>
        </w:rPr>
        <w:t xml:space="preserve">“</w:t>
      </w:r>
      <w:r>
        <w:rPr>
          <w:rFonts w:ascii="Times New Roman" w:hAnsi="Times New Roman"/>
        </w:rPr>
        <w:t xml:space="preserve">Teamcenter integration 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t>
      </w:r>
      <w:r>
        <w:rPr>
          <w:rFonts w:ascii="Times New Roman" w:hAnsi="Times New Roman"/>
        </w:rPr>
        <w:t xml:space="preserve">AS9100D compliance expertise</w:t>
      </w:r>
      <w:r>
        <w:rPr>
          <w:rFonts w:ascii="Times New Roman" w:hAnsi="Times New Roman"/>
        </w:rPr>
        <w:t xml:space="preserve">”</w:t>
      </w:r>
      <w:r>
        <w:rPr>
          <w:rFonts w:ascii="Times New Roman" w:hAnsi="Times New Roman"/>
        </w:rPr>
        <w:t xml:space="preserve"> </w:t>
      </w:r>
      <w:r>
        <w:rPr>
          <w:rFonts w:ascii="Times New Roman" w:hAnsi="Times New Roman"/>
        </w:rPr>
        <w:t xml:space="preserve">were two of the three reasons Ridgeline should choose Apex. CSMF ¶ 14. Both capabilities were core contractual deliverables. CSMF ¶¶ 36–37. Mr. Szymanski specifically raised the Teamcenter gap before contracting, which is how the Corridor Metals and PrimeTech claims came to be made. CSMF ¶¶ 10–12.</w:t>
      </w:r>
    </w:p>
    <w:bookmarkEnd w:id="38"/>
    <w:bookmarkStart w:id="39" w:name="X3ada219a7c573aaf6dc796dc576ce50085b30f7"/>
    <w:p>
      <w:pPr>
        <w:pStyle w:val="Heading3"/>
      </w:pPr>
      <w:r>
        <w:rPr>
          <w:rFonts w:ascii="Times New Roman" w:hAnsi="Times New Roman"/>
        </w:rPr>
        <w:t xml:space="preserve">3. Apex knew the representations were false.</w:t>
      </w:r>
    </w:p>
    <w:p>
      <w:pPr>
        <w:pStyle w:val="FirstParagraph"/>
      </w:pPr>
      <w:r>
        <w:rPr>
          <w:rFonts w:ascii="Times New Roman" w:hAnsi="Times New Roman"/>
        </w:rPr>
        <w:t xml:space="preserve">Scienter requires knowledge of falsity or reckless indifference to the truth.</w:t>
      </w:r>
      <w:r>
        <w:rPr>
          <w:rFonts w:ascii="Times New Roman" w:hAnsi="Times New Roman"/>
        </w:rPr>
        <w:t xml:space="preserve"> </w:t>
      </w:r>
      <w:r>
        <w:rPr>
          <w:rFonts w:ascii="Times New Roman" w:hAnsi="Times New Roman"/>
          <w:i/>
          <w:iCs/>
        </w:rPr>
        <w:t xml:space="preserve">Gibbs</w:t>
      </w:r>
      <w:r>
        <w:rPr>
          <w:rFonts w:ascii="Times New Roman" w:hAnsi="Times New Roman"/>
        </w:rPr>
        <w:t xml:space="preserve">, 647 A.2d at 889. This case does not require the inferences from circumstantial evidence that usually make intent a jury question. Mr. Ostroff</w:t>
      </w:r>
      <w:r>
        <w:rPr>
          <w:rFonts w:ascii="Times New Roman" w:hAnsi="Times New Roman"/>
        </w:rPr>
        <w:t xml:space="preserve"> </w:t>
      </w:r>
      <w:r>
        <w:rPr>
          <w:rFonts w:ascii="Times New Roman" w:hAnsi="Times New Roman"/>
        </w:rPr>
        <w:t xml:space="preserve">“</w:t>
      </w:r>
      <w:r>
        <w:rPr>
          <w:rFonts w:ascii="Times New Roman" w:hAnsi="Times New Roman"/>
        </w:rPr>
        <w:t xml:space="preserve">knew we hadn’t done those integrations,</w:t>
      </w:r>
      <w:r>
        <w:rPr>
          <w:rFonts w:ascii="Times New Roman" w:hAnsi="Times New Roman"/>
        </w:rPr>
        <w:t xml:space="preserve">”</w:t>
      </w:r>
      <w:r>
        <w:rPr>
          <w:rFonts w:ascii="Times New Roman" w:hAnsi="Times New Roman"/>
        </w:rPr>
        <w:t xml:space="preserve"> </w:t>
      </w:r>
      <w:r>
        <w:rPr>
          <w:rFonts w:ascii="Times New Roman" w:hAnsi="Times New Roman"/>
        </w:rPr>
        <w:t xml:space="preserve">and he told the author of the Proposal so before it was submitted. CSMF ¶¶ 25–27. Ms. Bellingham, who led the Proposal and personally sent the Capability Summary, admits Apex had</w:t>
      </w:r>
      <w:r>
        <w:rPr>
          <w:rFonts w:ascii="Times New Roman" w:hAnsi="Times New Roman"/>
        </w:rPr>
        <w:t xml:space="preserve"> </w:t>
      </w:r>
      <w:r>
        <w:rPr>
          <w:rFonts w:ascii="Times New Roman" w:hAnsi="Times New Roman"/>
        </w:rPr>
        <w:t xml:space="preserve">“</w:t>
      </w:r>
      <w:r>
        <w:rPr>
          <w:rFonts w:ascii="Times New Roman" w:hAnsi="Times New Roman"/>
        </w:rPr>
        <w:t xml:space="preserve">never actually performed a Teamcenter integration for anyone.</w:t>
      </w:r>
      <w:r>
        <w:rPr>
          <w:rFonts w:ascii="Times New Roman" w:hAnsi="Times New Roman"/>
        </w:rPr>
        <w:t xml:space="preserve">”</w:t>
      </w:r>
      <w:r>
        <w:rPr>
          <w:rFonts w:ascii="Times New Roman" w:hAnsi="Times New Roman"/>
        </w:rPr>
        <w:t xml:space="preserve"> </w:t>
      </w:r>
      <w:r>
        <w:rPr>
          <w:rFonts w:ascii="Times New Roman" w:hAnsi="Times New Roman"/>
        </w:rPr>
        <w:t xml:space="preserve">CSMF ¶¶ 5, 13, 18. Mr. Kresch approved the Proposal, knew Apex had exactly one certified AS9100D employee, and nonetheless allowed Ridgeline to receive a deck claiming six. CSMF ¶¶ 5, 13, 22, 28. Apex’s documented need to close $2.5 million in contracts to meet loan covenants supplies the motive. CSMF ¶¶ 29–30. Apex’s post-contract conduct confirms its state of mind. It told its team</w:t>
      </w:r>
      <w:r>
        <w:rPr>
          <w:rFonts w:ascii="Times New Roman" w:hAnsi="Times New Roman"/>
        </w:rPr>
        <w:t xml:space="preserve"> </w:t>
      </w:r>
      <w:r>
        <w:rPr>
          <w:rFonts w:ascii="Times New Roman" w:hAnsi="Times New Roman"/>
        </w:rPr>
        <w:t xml:space="preserve">“</w:t>
      </w:r>
      <w:r>
        <w:rPr>
          <w:rFonts w:ascii="Times New Roman" w:hAnsi="Times New Roman"/>
        </w:rPr>
        <w:t xml:space="preserve">[d]on’t raise this with the client,</w:t>
      </w:r>
      <w:r>
        <w:rPr>
          <w:rFonts w:ascii="Times New Roman" w:hAnsi="Times New Roman"/>
        </w:rPr>
        <w:t xml:space="preserve">”</w:t>
      </w:r>
      <w:r>
        <w:rPr>
          <w:rFonts w:ascii="Times New Roman" w:hAnsi="Times New Roman"/>
        </w:rPr>
        <w:t xml:space="preserve"> </w:t>
      </w:r>
      <w:r>
        <w:rPr>
          <w:rFonts w:ascii="Times New Roman" w:hAnsi="Times New Roman"/>
        </w:rPr>
        <w:t xml:space="preserve">and then told the client that the Teamcenter work was</w:t>
      </w:r>
      <w:r>
        <w:rPr>
          <w:rFonts w:ascii="Times New Roman" w:hAnsi="Times New Roman"/>
        </w:rPr>
        <w:t xml:space="preserve"> </w:t>
      </w:r>
      <w:r>
        <w:rPr>
          <w:rFonts w:ascii="Times New Roman" w:hAnsi="Times New Roman"/>
        </w:rPr>
        <w:t xml:space="preserve">“</w:t>
      </w:r>
      <w:r>
        <w:rPr>
          <w:rFonts w:ascii="Times New Roman" w:hAnsi="Times New Roman"/>
        </w:rPr>
        <w:t xml:space="preserve">[p]rogressing well.</w:t>
      </w:r>
      <w:r>
        <w:rPr>
          <w:rFonts w:ascii="Times New Roman" w:hAnsi="Times New Roman"/>
        </w:rPr>
        <w:t xml:space="preserve">”</w:t>
      </w:r>
      <w:r>
        <w:rPr>
          <w:rFonts w:ascii="Times New Roman" w:hAnsi="Times New Roman"/>
        </w:rPr>
        <w:t xml:space="preserve"> </w:t>
      </w:r>
      <w:r>
        <w:rPr>
          <w:rFonts w:ascii="Times New Roman" w:hAnsi="Times New Roman"/>
        </w:rPr>
        <w:t xml:space="preserve">CSMF ¶¶ 54, 57. No reasonable jury could find that Apex believed its statements were true.</w:t>
      </w:r>
    </w:p>
    <w:bookmarkEnd w:id="39"/>
    <w:bookmarkStart w:id="40" w:name="Xf6286562a2732aab23a4a4c83feb77f82266c31"/>
    <w:p>
      <w:pPr>
        <w:pStyle w:val="Heading3"/>
      </w:pPr>
      <w:r>
        <w:rPr>
          <w:rFonts w:ascii="Times New Roman" w:hAnsi="Times New Roman"/>
        </w:rPr>
        <w:t xml:space="preserve">4. Apex intended Ridgeline to rely on the representations.</w:t>
      </w:r>
    </w:p>
    <w:p>
      <w:pPr>
        <w:pStyle w:val="FirstParagraph"/>
      </w:pPr>
      <w:r>
        <w:rPr>
          <w:rFonts w:ascii="Times New Roman" w:hAnsi="Times New Roman"/>
        </w:rPr>
        <w:t xml:space="preserve">The Proposal and Capability Summary were sales documents prepared</w:t>
      </w:r>
      <w:r>
        <w:rPr>
          <w:rFonts w:ascii="Times New Roman" w:hAnsi="Times New Roman"/>
        </w:rPr>
        <w:t xml:space="preserve"> </w:t>
      </w:r>
      <w:r>
        <w:rPr>
          <w:rFonts w:ascii="Times New Roman" w:hAnsi="Times New Roman"/>
        </w:rPr>
        <w:t xml:space="preserve">“</w:t>
      </w:r>
      <w:r>
        <w:rPr>
          <w:rFonts w:ascii="Times New Roman" w:hAnsi="Times New Roman"/>
        </w:rPr>
        <w:t xml:space="preserve">for Ridgeline</w:t>
      </w:r>
      <w:r>
        <w:rPr>
          <w:rFonts w:ascii="Times New Roman" w:hAnsi="Times New Roman"/>
        </w:rPr>
        <w:t xml:space="preserve">”</w:t>
      </w:r>
      <w:r>
        <w:rPr>
          <w:rFonts w:ascii="Times New Roman" w:hAnsi="Times New Roman"/>
        </w:rPr>
        <w:t xml:space="preserve"> </w:t>
      </w:r>
      <w:r>
        <w:rPr>
          <w:rFonts w:ascii="Times New Roman" w:hAnsi="Times New Roman"/>
        </w:rPr>
        <w:t xml:space="preserve">to win the engagement. The Corridor Metals and PrimeTech names were given in direct response to Ridgeline’s due-diligence question. CSMF ¶¶ 5, 11, 13–14. Ms. Bellingham conceded Apex</w:t>
      </w:r>
      <w:r>
        <w:rPr>
          <w:rFonts w:ascii="Times New Roman" w:hAnsi="Times New Roman"/>
        </w:rPr>
        <w:t xml:space="preserve"> </w:t>
      </w:r>
      <w:r>
        <w:rPr>
          <w:rFonts w:ascii="Times New Roman" w:hAnsi="Times New Roman"/>
        </w:rPr>
        <w:t xml:space="preserve">“</w:t>
      </w:r>
      <w:r>
        <w:rPr>
          <w:rFonts w:ascii="Times New Roman" w:hAnsi="Times New Roman"/>
        </w:rPr>
        <w:t xml:space="preserve">wanted to put our best foot forward</w:t>
      </w:r>
      <w:r>
        <w:rPr>
          <w:rFonts w:ascii="Times New Roman" w:hAnsi="Times New Roman"/>
        </w:rPr>
        <w:t xml:space="preserve">”</w:t>
      </w:r>
      <w:r>
        <w:rPr>
          <w:rFonts w:ascii="Times New Roman" w:hAnsi="Times New Roman"/>
        </w:rPr>
        <w:t xml:space="preserve"> </w:t>
      </w:r>
      <w:r>
        <w:rPr>
          <w:rFonts w:ascii="Times New Roman" w:hAnsi="Times New Roman"/>
        </w:rPr>
        <w:t xml:space="preserve">to close the deal. Bellingham Dep. 43:5–9 (App. Ex. 6). A representation made to induce a specific counterparty to contract is, by definition, intended to be relied upon.</w:t>
      </w:r>
    </w:p>
    <w:bookmarkEnd w:id="40"/>
    <w:bookmarkStart w:id="41" w:name="X617fb01079be07289fa790d6899d4d189c04b9b"/>
    <w:p>
      <w:pPr>
        <w:pStyle w:val="Heading3"/>
      </w:pPr>
      <w:r>
        <w:rPr>
          <w:rFonts w:ascii="Times New Roman" w:hAnsi="Times New Roman"/>
        </w:rPr>
        <w:t xml:space="preserve">5. Ridgeline justifiably relied on the representations.</w:t>
      </w:r>
    </w:p>
    <w:p>
      <w:pPr>
        <w:pStyle w:val="FirstParagraph"/>
      </w:pPr>
      <w:r>
        <w:rPr>
          <w:rFonts w:ascii="Times New Roman" w:hAnsi="Times New Roman"/>
        </w:rPr>
        <w:t xml:space="preserve">Mr. Szymanski testified that he relied on Apex’s representations, did not call the third reference because of Ms. Bellingham’s assurances, and recommended Apex on that basis. The MSA was signed six days after the Capability Summary arrived. CSMF ¶¶ 4, 31–33. Apex’s anticipated argument that Ridgeline should have demanded a proof of concept or independently verified the named projects fails. A recipient of a fraudulent misrepresentation is justified in relying on it</w:t>
      </w:r>
      <w:r>
        <w:rPr>
          <w:rFonts w:ascii="Times New Roman" w:hAnsi="Times New Roman"/>
        </w:rPr>
        <w:t xml:space="preserve"> </w:t>
      </w:r>
      <w:r>
        <w:rPr>
          <w:rFonts w:ascii="Times New Roman" w:hAnsi="Times New Roman"/>
        </w:rPr>
        <w:t xml:space="preserve">“</w:t>
      </w:r>
      <w:r>
        <w:rPr>
          <w:rFonts w:ascii="Times New Roman" w:hAnsi="Times New Roman"/>
        </w:rPr>
        <w:t xml:space="preserve">although he might have ascertained the falsity of the representation had he made an investigation.</w:t>
      </w:r>
      <w:r>
        <w:rPr>
          <w:rFonts w:ascii="Times New Roman" w:hAnsi="Times New Roman"/>
        </w:rPr>
        <w:t xml:space="preserve">”</w:t>
      </w:r>
      <w:r>
        <w:rPr>
          <w:rFonts w:ascii="Times New Roman" w:hAnsi="Times New Roman"/>
        </w:rPr>
        <w:t xml:space="preserve"> </w:t>
      </w:r>
      <w:r>
        <w:rPr>
          <w:rFonts w:ascii="Times New Roman" w:hAnsi="Times New Roman"/>
        </w:rPr>
        <w:t xml:space="preserve">Restatement (Second) of Torts § 540. Nor was the falsity obvious. The claimed engagements came with specific dates and quantified results, and verifying them would have required Ridgeline to contact Apex’s other clients about confidential projects that Apex had chosen to keep off its formal reference list. CSMF ¶¶ 10, 15.</w:t>
      </w:r>
    </w:p>
    <w:bookmarkEnd w:id="41"/>
    <w:bookmarkStart w:id="42" w:name="X80f2833c4afbcc163ab69826c902817fd544a47"/>
    <w:p>
      <w:pPr>
        <w:pStyle w:val="Heading3"/>
      </w:pPr>
      <w:r>
        <w:rPr>
          <w:rFonts w:ascii="Times New Roman" w:hAnsi="Times New Roman"/>
        </w:rPr>
        <w:t xml:space="preserve">6. The MSA’s integration clause does not bar the claim.</w:t>
      </w:r>
    </w:p>
    <w:p>
      <w:pPr>
        <w:pStyle w:val="FirstParagraph"/>
      </w:pPr>
      <w:r>
        <w:rPr>
          <w:rFonts w:ascii="Times New Roman" w:hAnsi="Times New Roman"/>
        </w:rPr>
        <w:t xml:space="preserve">Apex’s principal defense will be MSA § 14.1, which provides that the MSA supersedes prior representations and that each party</w:t>
      </w:r>
      <w:r>
        <w:rPr>
          <w:rFonts w:ascii="Times New Roman" w:hAnsi="Times New Roman"/>
        </w:rPr>
        <w:t xml:space="preserve"> </w:t>
      </w:r>
      <w:r>
        <w:rPr>
          <w:rFonts w:ascii="Times New Roman" w:hAnsi="Times New Roman"/>
        </w:rPr>
        <w:t xml:space="preserve">“</w:t>
      </w:r>
      <w:r>
        <w:rPr>
          <w:rFonts w:ascii="Times New Roman" w:hAnsi="Times New Roman"/>
        </w:rPr>
        <w:t xml:space="preserve">has not relied upon any statement . . . not expressly set forth in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CSMF ¶ 50. Under Pennsylvania’s parol evidence rule, a party to a fully integrated contract generally may not base a fraudulent inducement claim on prior representations concerning matters the contract covers but that the writing omits.</w:t>
      </w:r>
      <w:r>
        <w:rPr>
          <w:rFonts w:ascii="Times New Roman" w:hAnsi="Times New Roman"/>
        </w:rPr>
        <w:t xml:space="preserve"> </w:t>
      </w:r>
      <w:r>
        <w:rPr>
          <w:rFonts w:ascii="Times New Roman" w:hAnsi="Times New Roman"/>
          <w:i/>
          <w:iCs/>
        </w:rPr>
        <w:t xml:space="preserve">Yocca v. Pittsburgh Steelers Sports, Inc.</w:t>
      </w:r>
      <w:r>
        <w:rPr>
          <w:rFonts w:ascii="Times New Roman" w:hAnsi="Times New Roman"/>
        </w:rPr>
        <w:t xml:space="preserve">, 854 A.2d 425, 436–39 (Pa. 2004);</w:t>
      </w:r>
      <w:r>
        <w:rPr>
          <w:rFonts w:ascii="Times New Roman" w:hAnsi="Times New Roman"/>
        </w:rPr>
        <w:t xml:space="preserve"> </w:t>
      </w:r>
      <w:r>
        <w:rPr>
          <w:rFonts w:ascii="Times New Roman" w:hAnsi="Times New Roman"/>
          <w:i/>
          <w:iCs/>
        </w:rPr>
        <w:t xml:space="preserve">Toy v. Metro. Life Ins. Co.</w:t>
      </w:r>
      <w:r>
        <w:rPr>
          <w:rFonts w:ascii="Times New Roman" w:hAnsi="Times New Roman"/>
        </w:rPr>
        <w:t xml:space="preserve">, 928 A.2d 186, 204–05 (Pa. 2007). The rule does not apply here, for three reasons.</w:t>
      </w:r>
    </w:p>
    <w:p>
      <w:pPr>
        <w:pStyle w:val="BodyText"/>
      </w:pPr>
      <w:r>
        <w:rPr>
          <w:rFonts w:ascii="Times New Roman" w:hAnsi="Times New Roman"/>
          <w:i/>
          <w:iCs/>
        </w:rPr>
        <w:t xml:space="preserve">First</w:t>
      </w:r>
      <w:r>
        <w:rPr>
          <w:rFonts w:ascii="Times New Roman" w:hAnsi="Times New Roman"/>
        </w:rPr>
        <w:t xml:space="preserve">, the representation at the heart of this claim is</w:t>
      </w:r>
      <w:r>
        <w:rPr>
          <w:rFonts w:ascii="Times New Roman" w:hAnsi="Times New Roman"/>
        </w:rPr>
        <w:t xml:space="preserve"> </w:t>
      </w:r>
      <w:r>
        <w:rPr>
          <w:rFonts w:ascii="Times New Roman" w:hAnsi="Times New Roman"/>
        </w:rPr>
        <w:t xml:space="preserve">“</w:t>
      </w:r>
      <w:r>
        <w:rPr>
          <w:rFonts w:ascii="Times New Roman" w:hAnsi="Times New Roman"/>
        </w:rPr>
        <w:t xml:space="preserve">expressly set forth in this Agreement.</w:t>
      </w:r>
      <w:r>
        <w:rPr>
          <w:rFonts w:ascii="Times New Roman" w:hAnsi="Times New Roman"/>
        </w:rPr>
        <w:t xml:space="preserve">”</w:t>
      </w:r>
      <w:r>
        <w:rPr>
          <w:rFonts w:ascii="Times New Roman" w:hAnsi="Times New Roman"/>
        </w:rPr>
        <w:t xml:space="preserve"> </w:t>
      </w:r>
      <w:r>
        <w:rPr>
          <w:rFonts w:ascii="Times New Roman" w:hAnsi="Times New Roman"/>
        </w:rPr>
        <w:t xml:space="preserve">In the MSA’s Recitals,</w:t>
      </w:r>
      <w:r>
        <w:rPr>
          <w:rFonts w:ascii="Times New Roman" w:hAnsi="Times New Roman"/>
        </w:rPr>
        <w:t xml:space="preserve"> </w:t>
      </w:r>
      <w:r>
        <w:rPr>
          <w:rFonts w:ascii="Times New Roman" w:hAnsi="Times New Roman"/>
        </w:rPr>
        <w:t xml:space="preserve">“</w:t>
      </w:r>
      <w:r>
        <w:rPr>
          <w:rFonts w:ascii="Times New Roman" w:hAnsi="Times New Roman"/>
        </w:rPr>
        <w:t xml:space="preserve">Apex represents that it . . . possesses the requisite skill, experience, personnel, and technical expertise to perform the implementation services described herein.</w:t>
      </w:r>
      <w:r>
        <w:rPr>
          <w:rFonts w:ascii="Times New Roman" w:hAnsi="Times New Roman"/>
        </w:rPr>
        <w:t xml:space="preserve">”</w:t>
      </w:r>
      <w:r>
        <w:rPr>
          <w:rFonts w:ascii="Times New Roman" w:hAnsi="Times New Roman"/>
        </w:rPr>
        <w:t xml:space="preserve"> </w:t>
      </w:r>
      <w:r>
        <w:rPr>
          <w:rFonts w:ascii="Times New Roman" w:hAnsi="Times New Roman"/>
        </w:rPr>
        <w:t xml:space="preserve">Those services include the Teamcenter integration and the AS9100D module. Section 5.1(a) and (e) repeat that Apex possesses the requisite</w:t>
      </w:r>
      <w:r>
        <w:rPr>
          <w:rFonts w:ascii="Times New Roman" w:hAnsi="Times New Roman"/>
        </w:rPr>
        <w:t xml:space="preserve"> </w:t>
      </w:r>
      <w:r>
        <w:rPr>
          <w:rFonts w:ascii="Times New Roman" w:hAnsi="Times New Roman"/>
        </w:rPr>
        <w:t xml:space="preserve">“</w:t>
      </w:r>
      <w:r>
        <w:rPr>
          <w:rFonts w:ascii="Times New Roman" w:hAnsi="Times New Roman"/>
        </w:rPr>
        <w:t xml:space="preserve">experience</w:t>
      </w:r>
      <w:r>
        <w:rPr>
          <w:rFonts w:ascii="Times New Roman" w:hAnsi="Times New Roman"/>
        </w:rPr>
        <w:t xml:space="preserve">”</w:t>
      </w:r>
      <w:r>
        <w:rPr>
          <w:rFonts w:ascii="Times New Roman" w:hAnsi="Times New Roman"/>
        </w:rPr>
        <w:t xml:space="preserve"> </w:t>
      </w:r>
      <w:r>
        <w:rPr>
          <w:rFonts w:ascii="Times New Roman" w:hAnsi="Times New Roman"/>
        </w:rPr>
        <w:t xml:space="preserve">and that its personnel hold the necessary</w:t>
      </w:r>
      <w:r>
        <w:rPr>
          <w:rFonts w:ascii="Times New Roman" w:hAnsi="Times New Roman"/>
        </w:rPr>
        <w:t xml:space="preserve"> </w:t>
      </w:r>
      <w:r>
        <w:rPr>
          <w:rFonts w:ascii="Times New Roman" w:hAnsi="Times New Roman"/>
        </w:rPr>
        <w:t xml:space="preserve">“</w:t>
      </w:r>
      <w:r>
        <w:rPr>
          <w:rFonts w:ascii="Times New Roman" w:hAnsi="Times New Roman"/>
        </w:rPr>
        <w:t xml:space="preserve">professional certifications.</w:t>
      </w:r>
      <w:r>
        <w:rPr>
          <w:rFonts w:ascii="Times New Roman" w:hAnsi="Times New Roman"/>
        </w:rPr>
        <w:t xml:space="preserve">”</w:t>
      </w:r>
      <w:r>
        <w:rPr>
          <w:rFonts w:ascii="Times New Roman" w:hAnsi="Times New Roman"/>
        </w:rPr>
        <w:t xml:space="preserve"> </w:t>
      </w:r>
      <w:r>
        <w:rPr>
          <w:rFonts w:ascii="Times New Roman" w:hAnsi="Times New Roman"/>
        </w:rPr>
        <w:t xml:space="preserve">CSMF ¶¶ 35–37, 46. By § 14.1’s own terms, Ridgeline’s reliance on those statements is preserved. The rationale of</w:t>
      </w:r>
      <w:r>
        <w:rPr>
          <w:rFonts w:ascii="Times New Roman" w:hAnsi="Times New Roman"/>
        </w:rPr>
        <w:t xml:space="preserve"> </w:t>
      </w:r>
      <w:r>
        <w:rPr>
          <w:rFonts w:ascii="Times New Roman" w:hAnsi="Times New Roman"/>
          <w:i/>
          <w:iCs/>
        </w:rPr>
        <w:t xml:space="preserve">Yocca</w:t>
      </w:r>
      <w:r>
        <w:rPr>
          <w:rFonts w:ascii="Times New Roman" w:hAnsi="Times New Roman"/>
        </w:rPr>
        <w:t xml:space="preserve"> </w:t>
      </w:r>
      <w:r>
        <w:rPr>
          <w:rFonts w:ascii="Times New Roman" w:hAnsi="Times New Roman"/>
        </w:rPr>
        <w:t xml:space="preserve">is that a party who signs an integrated writing cannot claim reliance on promises the writing leaves out.</w:t>
      </w:r>
      <w:r>
        <w:rPr>
          <w:rFonts w:ascii="Times New Roman" w:hAnsi="Times New Roman"/>
        </w:rPr>
        <w:t xml:space="preserve"> </w:t>
      </w:r>
      <w:r>
        <w:rPr>
          <w:rFonts w:ascii="Times New Roman" w:hAnsi="Times New Roman"/>
          <w:i/>
          <w:iCs/>
        </w:rPr>
        <w:t xml:space="preserve">See</w:t>
      </w:r>
      <w:r>
        <w:rPr>
          <w:rFonts w:ascii="Times New Roman" w:hAnsi="Times New Roman"/>
        </w:rPr>
        <w:t xml:space="preserve"> </w:t>
      </w:r>
      <w:r>
        <w:rPr>
          <w:rFonts w:ascii="Times New Roman" w:hAnsi="Times New Roman"/>
        </w:rPr>
        <w:t xml:space="preserve">854 A.2d at 436–37. That rationale does not reach a representation the writing includes.</w:t>
      </w:r>
    </w:p>
    <w:p>
      <w:pPr>
        <w:pStyle w:val="BodyText"/>
      </w:pPr>
      <w:r>
        <w:rPr>
          <w:rFonts w:ascii="Times New Roman" w:hAnsi="Times New Roman"/>
          <w:i/>
          <w:iCs/>
        </w:rPr>
        <w:t xml:space="preserve">Second</w:t>
      </w:r>
      <w:r>
        <w:rPr>
          <w:rFonts w:ascii="Times New Roman" w:hAnsi="Times New Roman"/>
        </w:rPr>
        <w:t xml:space="preserve">, Ridgeline does not offer the Proposal, the February 14 call, or the Capability Summary to add to, vary, or contradict the MSA. It offers them as evidence of what the MSA’s own experience-and-personnel representation meant in context and to prove that the representation was false when made and that Apex knew it. The specific claims (Corridor Metals, PrimeTech,</w:t>
      </w:r>
      <w:r>
        <w:rPr>
          <w:rFonts w:ascii="Times New Roman" w:hAnsi="Times New Roman"/>
        </w:rPr>
        <w:t xml:space="preserve"> </w:t>
      </w:r>
      <w:r>
        <w:rPr>
          <w:rFonts w:ascii="Times New Roman" w:hAnsi="Times New Roman"/>
        </w:rPr>
        <w:t xml:space="preserve">“</w:t>
      </w:r>
      <w:r>
        <w:rPr>
          <w:rFonts w:ascii="Times New Roman" w:hAnsi="Times New Roman"/>
        </w:rPr>
        <w:t xml:space="preserve">6 Certified</w:t>
      </w:r>
      <w:r>
        <w:rPr>
          <w:rFonts w:ascii="Times New Roman" w:hAnsi="Times New Roman"/>
        </w:rPr>
        <w:t xml:space="preserve">”</w:t>
      </w:r>
      <w:r>
        <w:rPr>
          <w:rFonts w:ascii="Times New Roman" w:hAnsi="Times New Roman"/>
        </w:rPr>
        <w:t xml:space="preserve"> </w:t>
      </w:r>
      <w:r>
        <w:rPr>
          <w:rFonts w:ascii="Times New Roman" w:hAnsi="Times New Roman"/>
        </w:rPr>
        <w:t xml:space="preserve">specialists) are the concrete content of the general representation the MSA contains, and Apex’s admissions about them prove the contractual representation false. The parol evidence rule excludes evidence offered to alter the terms of an integrated writing. It does not exclude evidence offered to prove that a term of the writing is a lie.</w:t>
      </w:r>
    </w:p>
    <w:p>
      <w:pPr>
        <w:pStyle w:val="BodyText"/>
      </w:pPr>
      <w:r>
        <w:rPr>
          <w:rFonts w:ascii="Times New Roman" w:hAnsi="Times New Roman"/>
          <w:i/>
          <w:iCs/>
        </w:rPr>
        <w:t xml:space="preserve">Third</w:t>
      </w:r>
      <w:r>
        <w:rPr>
          <w:rFonts w:ascii="Times New Roman" w:hAnsi="Times New Roman"/>
        </w:rPr>
        <w:t xml:space="preserve">, the gist-of-the-action doctrine does not convert this claim into a contract claim. That doctrine asks whether the duty breached arises from the contract or from a broader social duty that exists regardless of the contract.</w:t>
      </w:r>
      <w:r>
        <w:rPr>
          <w:rFonts w:ascii="Times New Roman" w:hAnsi="Times New Roman"/>
        </w:rPr>
        <w:t xml:space="preserve"> </w:t>
      </w:r>
      <w:r>
        <w:rPr>
          <w:rFonts w:ascii="Times New Roman" w:hAnsi="Times New Roman"/>
          <w:i/>
          <w:iCs/>
        </w:rPr>
        <w:t xml:space="preserve">Bruno v. Erie Ins. Co.</w:t>
      </w:r>
      <w:r>
        <w:rPr>
          <w:rFonts w:ascii="Times New Roman" w:hAnsi="Times New Roman"/>
        </w:rPr>
        <w:t xml:space="preserve">, 106 A.3d 48, 68–69 (Pa. 2014). The duty not to lie about one’s existing capabilities to induce a counterparty to sign is a duty imposed by society, not by the contract, and it was breached before the contract existed. Pennsylvania courts have long distinguished fraud in the inducement, which is collateral to the contract, from fraud in the performance of contractual duties.</w:t>
      </w:r>
      <w:r>
        <w:rPr>
          <w:rFonts w:ascii="Times New Roman" w:hAnsi="Times New Roman"/>
        </w:rPr>
        <w:t xml:space="preserve"> </w:t>
      </w:r>
      <w:r>
        <w:rPr>
          <w:rFonts w:ascii="Times New Roman" w:hAnsi="Times New Roman"/>
          <w:i/>
          <w:iCs/>
        </w:rPr>
        <w:t xml:space="preserve">See eToll, Inc. v. Elias/Savion Advert., Inc.</w:t>
      </w:r>
      <w:r>
        <w:rPr>
          <w:rFonts w:ascii="Times New Roman" w:hAnsi="Times New Roman"/>
        </w:rPr>
        <w:t xml:space="preserve">, 811 A.2d 10, 17 (Pa. Super. Ct. 2002). Ridgeline’s claim is one of inducement.</w:t>
      </w:r>
    </w:p>
    <w:p>
      <w:pPr>
        <w:pStyle w:val="BodyText"/>
      </w:pPr>
      <w:r>
        <w:rPr>
          <w:rFonts w:ascii="Times New Roman" w:hAnsi="Times New Roman"/>
        </w:rPr>
        <w:t xml:space="preserve">Ridgeline acknowledges that courts applying</w:t>
      </w:r>
      <w:r>
        <w:rPr>
          <w:rFonts w:ascii="Times New Roman" w:hAnsi="Times New Roman"/>
        </w:rPr>
        <w:t xml:space="preserve"> </w:t>
      </w:r>
      <w:r>
        <w:rPr>
          <w:rFonts w:ascii="Times New Roman" w:hAnsi="Times New Roman"/>
          <w:i/>
          <w:iCs/>
        </w:rPr>
        <w:t xml:space="preserve">Yocca</w:t>
      </w:r>
      <w:r>
        <w:rPr>
          <w:rFonts w:ascii="Times New Roman" w:hAnsi="Times New Roman"/>
        </w:rPr>
        <w:t xml:space="preserve"> </w:t>
      </w:r>
      <w:r>
        <w:rPr>
          <w:rFonts w:ascii="Times New Roman" w:hAnsi="Times New Roman"/>
        </w:rPr>
        <w:t xml:space="preserve">have construed integration and non-reliance clauses broadly, and that Apex will argue that § 14.1 reaches the Proposal and Capability Summary. Even if the Court were to agree, the fraud claim would still rest on the representation contained in the MSA itself. At a minimum, the Court should resolve the scope of § 14.1 now as a question of law, so the parties can try the remaining issues on a defined record.</w:t>
      </w:r>
    </w:p>
    <w:bookmarkEnd w:id="42"/>
    <w:bookmarkStart w:id="43" w:name="injury-and-causation."/>
    <w:p>
      <w:pPr>
        <w:pStyle w:val="Heading3"/>
      </w:pPr>
      <w:r>
        <w:rPr>
          <w:rFonts w:ascii="Times New Roman" w:hAnsi="Times New Roman"/>
        </w:rPr>
        <w:t xml:space="preserve">7. Injury and causation.</w:t>
      </w:r>
    </w:p>
    <w:p>
      <w:pPr>
        <w:pStyle w:val="FirstParagraph"/>
      </w:pPr>
      <w:r>
        <w:rPr>
          <w:rFonts w:ascii="Times New Roman" w:hAnsi="Times New Roman"/>
        </w:rPr>
        <w:t xml:space="preserve">Ridgeline paid $1,282,500 for work it could not use and incurred substantially greater cost and delay to obtain the performance Apex promised. CSMF ¶¶ 63, 85–86. The amount of fraud damages, including consequential losses, is properly reserved for trial. Ridgeline seeks judgment on liability.</w:t>
      </w:r>
    </w:p>
    <w:bookmarkEnd w:id="43"/>
    <w:bookmarkStart w:id="44" w:name="Xc5210c0b9a527bd0bbcc0360e0c38fed2755a47"/>
    <w:p>
      <w:pPr>
        <w:pStyle w:val="Heading3"/>
      </w:pPr>
      <w:r>
        <w:rPr>
          <w:rFonts w:ascii="Times New Roman" w:hAnsi="Times New Roman"/>
        </w:rPr>
        <w:t xml:space="preserve">8. Alternatively, the Court should enter a Rule 56(g) order.</w:t>
      </w:r>
    </w:p>
    <w:p>
      <w:pPr>
        <w:pStyle w:val="FirstParagraph"/>
      </w:pPr>
      <w:r>
        <w:rPr>
          <w:rFonts w:ascii="Times New Roman" w:hAnsi="Times New Roman"/>
        </w:rPr>
        <w:t xml:space="preserve">If the Court concludes that any element, such as justifiable reliance in light of § 14.1, presents a question for trial, Ridgeline requests an order under Rule 56(g) treating the following as established. First, the Proposal, February 14, 2022 statements, and Capability Summary representations identified in CSMF ¶¶ 6–7, 11, and 15–16 were false when made. Second, they were material. Third, Apex, through Ms. Bellingham and Mr. Kresch, knew they were false or made them with reckless indifference to their truth. Apex’s witnesses have conceded each of these points, and trying them would waste the Court’s and a jury’s time.</w:t>
      </w:r>
    </w:p>
    <w:bookmarkEnd w:id="44"/>
    <w:bookmarkEnd w:id="45"/>
    <w:bookmarkStart w:id="46" w:name="Xaba38f26a5a9977e0a63b7d1f04002558a68960"/>
    <w:p>
      <w:pPr>
        <w:pStyle w:val="Heading2"/>
      </w:pPr>
      <w:r>
        <w:rPr>
          <w:rFonts w:ascii="Times New Roman" w:hAnsi="Times New Roman"/>
        </w:rPr>
        <w:t xml:space="preserve">D. MSA § 11.2 Does Not Bar Ridgeline’s Recovery.</w:t>
      </w:r>
    </w:p>
    <w:p>
      <w:pPr>
        <w:pStyle w:val="FirstParagraph"/>
      </w:pPr>
      <w:r>
        <w:rPr>
          <w:rFonts w:ascii="Times New Roman" w:hAnsi="Times New Roman"/>
        </w:rPr>
        <w:t xml:space="preserve">Section 11.2 caps each party’s</w:t>
      </w:r>
      <w:r>
        <w:rPr>
          <w:rFonts w:ascii="Times New Roman" w:hAnsi="Times New Roman"/>
        </w:rPr>
        <w:t xml:space="preserve"> </w:t>
      </w:r>
      <w:r>
        <w:rPr>
          <w:rFonts w:ascii="Times New Roman" w:hAnsi="Times New Roman"/>
        </w:rPr>
        <w:t xml:space="preserve">“</w:t>
      </w:r>
      <w:r>
        <w:rPr>
          <w:rFonts w:ascii="Times New Roman" w:hAnsi="Times New Roman"/>
        </w:rPr>
        <w:t xml:space="preserve">aggregate liability</w:t>
      </w:r>
      <w:r>
        <w:rPr>
          <w:rFonts w:ascii="Times New Roman" w:hAnsi="Times New Roman"/>
        </w:rPr>
        <w:t xml:space="preserve">”</w:t>
      </w:r>
      <w:r>
        <w:rPr>
          <w:rFonts w:ascii="Times New Roman" w:hAnsi="Times New Roman"/>
        </w:rPr>
        <w:t xml:space="preserve"> </w:t>
      </w:r>
      <w:r>
        <w:rPr>
          <w:rFonts w:ascii="Times New Roman" w:hAnsi="Times New Roman"/>
        </w:rPr>
        <w:t xml:space="preserve">at $2,850,000. CSMF ¶ 49. Two points warrant resolution now.</w:t>
      </w:r>
    </w:p>
    <w:p>
      <w:pPr>
        <w:pStyle w:val="BodyText"/>
      </w:pPr>
      <w:r>
        <w:rPr>
          <w:rFonts w:ascii="Times New Roman" w:hAnsi="Times New Roman"/>
          <w:i/>
          <w:iCs/>
        </w:rPr>
        <w:t xml:space="preserve">First</w:t>
      </w:r>
      <w:r>
        <w:rPr>
          <w:rFonts w:ascii="Times New Roman" w:hAnsi="Times New Roman"/>
        </w:rPr>
        <w:t xml:space="preserve">, the cap does not bar or reduce Ridgeline’s direct contract damages. Those damages consist of the $1,282,500 in fees paid plus the $725,000 cost-of-cover differential ($3,575,000 in replacement cost less the $2,850,000 contract price), for a total of $2,007,500. That figure falls below the cap. CSMF ¶¶ 63, 85; App. Ex. 20 § I.C. Apex disputes the amount of these damages, but no amount it could establish would exceed the cap. The cap therefore has no bearing on Ridgeline’s contract recovery.</w:t>
      </w:r>
    </w:p>
    <w:p>
      <w:pPr>
        <w:pStyle w:val="BodyText"/>
      </w:pPr>
      <w:r>
        <w:rPr>
          <w:rFonts w:ascii="Times New Roman" w:hAnsi="Times New Roman"/>
          <w:i/>
          <w:iCs/>
        </w:rPr>
        <w:t xml:space="preserve">Second</w:t>
      </w:r>
      <w:r>
        <w:rPr>
          <w:rFonts w:ascii="Times New Roman" w:hAnsi="Times New Roman"/>
        </w:rPr>
        <w:t xml:space="preserve">, § 11.2 cannot limit Ridgeline’s recovery for Apex’s intentional fraud. Pennsylvania public policy does not allow a party to contract away liability for its own intentional or reckless misconduct.</w:t>
      </w:r>
      <w:r>
        <w:rPr>
          <w:rFonts w:ascii="Times New Roman" w:hAnsi="Times New Roman"/>
        </w:rPr>
        <w:t xml:space="preserve"> </w:t>
      </w:r>
      <w:r>
        <w:rPr>
          <w:rFonts w:ascii="Times New Roman" w:hAnsi="Times New Roman"/>
          <w:i/>
          <w:iCs/>
        </w:rPr>
        <w:t xml:space="preserve">Cf. Tayar v. Camelback Ski Corp.</w:t>
      </w:r>
      <w:r>
        <w:rPr>
          <w:rFonts w:ascii="Times New Roman" w:hAnsi="Times New Roman"/>
        </w:rPr>
        <w:t xml:space="preserve">, 47 A.3d 1190, 1199–1203 (Pa. 2012) (pre-injury release unenforceable as to reckless conduct as against public policy). A limitation clause procured through the very fraud that induced the contract cannot shield the defrauding party from the consequences of that fraud. At a minimum, the Court should hold that § 11.2 does not apply to damages awarded on the fraud claim, leaving the amount of those damages for trial.</w:t>
      </w:r>
    </w:p>
    <w:bookmarkEnd w:id="46"/>
    <w:bookmarkEnd w:id="47"/>
    <w:bookmarkStart w:id="48" w:name="v.-conclusion"/>
    <w:p>
      <w:pPr>
        <w:pStyle w:val="Heading1"/>
      </w:pPr>
      <w:r>
        <w:rPr>
          <w:rFonts w:ascii="Times New Roman" w:hAnsi="Times New Roman"/>
        </w:rPr>
        <w:t xml:space="preserve">V. CONCLUSION</w:t>
      </w:r>
    </w:p>
    <w:p>
      <w:pPr>
        <w:pStyle w:val="FirstParagraph"/>
      </w:pPr>
      <w:r>
        <w:rPr>
          <w:rFonts w:ascii="Times New Roman" w:hAnsi="Times New Roman"/>
        </w:rPr>
        <w:t xml:space="preserve">For these reasons, Ridgeline respectfully requests that the Court enter partial summary judgment in its favor:</w:t>
      </w:r>
    </w:p>
    <w:p>
      <w:pPr>
        <w:numPr>
          <w:ilvl w:val="0"/>
          <w:numId w:val="1002"/>
        </w:numPr>
      </w:pPr>
      <w:r>
        <w:rPr>
          <w:rFonts w:ascii="Times New Roman" w:hAnsi="Times New Roman"/>
        </w:rPr>
        <w:t xml:space="preserve">on liability on Ridgeline’s breach of contract claim [Count __], including a determination that Ridgeline properly terminated the MSA for cause under § 8.2;</w:t>
      </w:r>
    </w:p>
    <w:p>
      <w:pPr>
        <w:numPr>
          <w:ilvl w:val="0"/>
          <w:numId w:val="1002"/>
        </w:numPr>
      </w:pPr>
      <w:r>
        <w:rPr>
          <w:rFonts w:ascii="Times New Roman" w:hAnsi="Times New Roman"/>
        </w:rPr>
        <w:t xml:space="preserve">on Apex’s counterclaim for unpaid milestone fees [Counterclaim Count __], in its entirety;</w:t>
      </w:r>
    </w:p>
    <w:p>
      <w:pPr>
        <w:numPr>
          <w:ilvl w:val="0"/>
          <w:numId w:val="1002"/>
        </w:numPr>
      </w:pPr>
      <w:r>
        <w:rPr>
          <w:rFonts w:ascii="Times New Roman" w:hAnsi="Times New Roman"/>
        </w:rPr>
        <w:t xml:space="preserve">on liability on Ridgeline’s fraudulent inducement claim [Count __] or, in the alternative, an order under Rule 56(g) that falsity, materiality, and Apex’s knowledge of falsity are established; and</w:t>
      </w:r>
    </w:p>
    <w:p>
      <w:pPr>
        <w:numPr>
          <w:ilvl w:val="0"/>
          <w:numId w:val="1002"/>
        </w:numPr>
      </w:pPr>
      <w:r>
        <w:rPr>
          <w:rFonts w:ascii="Times New Roman" w:hAnsi="Times New Roman"/>
        </w:rPr>
        <w:t xml:space="preserve">determining that MSA § 11.2 does not bar Ridgeline’s direct contract damages and does not limit damages recoverable on Ridgeline’s fraud claim.</w:t>
      </w:r>
    </w:p>
    <w:p>
      <w:pPr>
        <w:pStyle w:val="FirstParagraph"/>
      </w:pPr>
      <w:r>
        <w:rPr>
          <w:rFonts w:ascii="Times New Roman" w:hAnsi="Times New Roman"/>
        </w:rPr>
        <w:t xml:space="preserve">Ridgeline further requests that the amount of its damages be set for trial.</w:t>
      </w:r>
    </w:p>
    <w:p>
      <w:pPr>
        <w:pStyle w:val="Signature"/>
        <w:spacing w:line="240" w:lineRule="auto" w:after="200"/>
        <w:ind w:firstLine="0" w:left="5040"/>
      </w:pPr>
      <w:r>
        <w:rPr>
          <w:rFonts w:ascii="Times New Roman" w:hAnsi="Times New Roman"/>
        </w:rPr>
        <w:t xml:space="preserve">Dated: ____________, 2025</w:t>
      </w:r>
    </w:p>
    <w:p>
      <w:pPr>
        <w:pStyle w:val="Signature"/>
        <w:spacing w:line="240" w:lineRule="auto" w:after="200"/>
        <w:ind w:firstLine="0" w:left="5040"/>
      </w:pPr>
      <w:r>
        <w:rPr>
          <w:rFonts w:ascii="Times New Roman" w:hAnsi="Times New Roman"/>
        </w:rPr>
        <w:t xml:space="preserve">Respectfully submitted,</w:t>
      </w:r>
    </w:p>
    <w:p>
      <w:pPr>
        <w:pStyle w:val="Signature"/>
        <w:spacing w:line="240" w:lineRule="auto" w:after="200"/>
        <w:ind w:firstLine="0" w:left="5040"/>
      </w:pPr>
      <w:r>
        <w:rPr>
          <w:rFonts w:ascii="Times New Roman" w:hAnsi="Times New Roman"/>
        </w:rPr>
        <w:t xml:space="preserve">HOLLISTER, VANCE &amp; TRASK LLP</w:t>
      </w:r>
    </w:p>
    <w:p>
      <w:pPr>
        <w:pStyle w:val="Signature"/>
        <w:spacing w:line="240" w:lineRule="auto" w:after="200"/>
        <w:ind w:firstLine="0" w:left="5040"/>
      </w:pPr>
      <w:r>
        <w:rPr>
          <w:rFonts w:ascii="Times New Roman" w:hAnsi="Times New Roman"/>
        </w:rPr>
        <w:t xml:space="preserve">/s/ [signature]</w:t>
      </w:r>
      <w:r>
        <w:rPr>
          <w:rFonts w:ascii="Times New Roman" w:hAnsi="Times New Roman"/>
        </w:rPr>
        <w:br/>
      </w:r>
      <w:r>
        <w:rPr>
          <w:rFonts w:ascii="Times New Roman" w:hAnsi="Times New Roman"/>
        </w:rPr>
        <w:t xml:space="preserve">Catherine Hollister (PA ID No. [______])</w:t>
      </w:r>
      <w:r>
        <w:rPr>
          <w:rFonts w:ascii="Times New Roman" w:hAnsi="Times New Roman"/>
        </w:rPr>
        <w:br/>
      </w:r>
      <w:r>
        <w:rPr>
          <w:rFonts w:ascii="Times New Roman" w:hAnsi="Times New Roman"/>
        </w:rPr>
        <w:t xml:space="preserve">Brian Delacroix (PA ID No. 327841)</w:t>
      </w:r>
      <w:r>
        <w:rPr>
          <w:rFonts w:ascii="Times New Roman" w:hAnsi="Times New Roman"/>
        </w:rPr>
        <w:br/>
      </w:r>
      <w:r>
        <w:rPr>
          <w:rFonts w:ascii="Times New Roman" w:hAnsi="Times New Roman"/>
        </w:rPr>
        <w:t xml:space="preserve">610 Grant Street, Suite 3200</w:t>
      </w:r>
      <w:r>
        <w:rPr>
          <w:rFonts w:ascii="Times New Roman" w:hAnsi="Times New Roman"/>
        </w:rPr>
        <w:br/>
      </w:r>
      <w:r>
        <w:rPr>
          <w:rFonts w:ascii="Times New Roman" w:hAnsi="Times New Roman"/>
        </w:rPr>
        <w:t xml:space="preserve">Pittsburgh, PA 15219</w:t>
      </w:r>
      <w:r>
        <w:rPr>
          <w:rFonts w:ascii="Times New Roman" w:hAnsi="Times New Roman"/>
        </w:rPr>
        <w:br/>
      </w:r>
      <w:r>
        <w:rPr>
          <w:rFonts w:ascii="Times New Roman" w:hAnsi="Times New Roman"/>
        </w:rPr>
        <w:t xml:space="preserve">Telephone: (412) 555-3400</w:t>
      </w:r>
      <w:r>
        <w:rPr>
          <w:rFonts w:ascii="Times New Roman" w:hAnsi="Times New Roman"/>
        </w:rPr>
        <w:br/>
      </w:r>
      <w:r>
        <w:rPr>
          <w:rFonts w:ascii="Times New Roman" w:hAnsi="Times New Roman"/>
        </w:rPr>
        <w:t xml:space="preserve">Facsimile: (412) 555-3401</w:t>
      </w:r>
      <w:r>
        <w:rPr>
          <w:rFonts w:ascii="Times New Roman" w:hAnsi="Times New Roman"/>
        </w:rPr>
        <w:br/>
      </w:r>
      <w:r>
        <w:rPr>
          <w:rFonts w:ascii="Times New Roman" w:hAnsi="Times New Roman"/>
        </w:rPr>
        <w:t xml:space="preserve">khollister@hvtlaw.com</w:t>
      </w:r>
    </w:p>
    <w:p>
      <w:pPr>
        <w:pStyle w:val="Signature"/>
        <w:spacing w:line="240" w:lineRule="auto" w:after="200"/>
        <w:ind w:firstLine="0" w:left="5040"/>
      </w:pPr>
      <w:r>
        <w:rPr>
          <w:rFonts w:ascii="Times New Roman" w:hAnsi="Times New Roman"/>
          <w:i/>
          <w:iCs/>
        </w:rPr>
        <w:t xml:space="preserve">Counsel for Plaintiff and Counterclaim-Defendant Ridgeline Manufacturing Corp.</w:t>
      </w:r>
    </w:p>
    <w:p>
      <w:pPr>
        <w:pStyle w:val="Centered"/>
        <w:spacing w:line="276" w:lineRule="auto" w:after="240"/>
        <w:ind w:firstLine="0"/>
        <w:jc w:val="center"/>
      </w:pPr>
      <w:r>
        <w:rPr>
          <w:rFonts w:ascii="Times New Roman" w:hAnsi="Times New Roman"/>
          <w:b/>
          <w:bCs/>
        </w:rPr>
        <w:t xml:space="preserve">IN THE UNITED STATES DISTRICT COURT</w:t>
      </w:r>
      <w:r>
        <w:rPr>
          <w:rFonts w:ascii="Times New Roman" w:hAnsi="Times New Roman"/>
        </w:rPr>
        <w:br/>
      </w:r>
      <w:r>
        <w:rPr>
          <w:rFonts w:ascii="Times New Roman" w:hAnsi="Times New Roman"/>
          <w:b/>
          <w:bCs/>
        </w:rPr>
        <w:t xml:space="preserve">FOR THE WESTERN DISTRICT OF PENNSYLVANIA</w:t>
      </w:r>
    </w:p>
    <w:p>
      <w:pPr>
        <w:pStyle w:val="Centered"/>
        <w:spacing w:line="276" w:lineRule="auto" w:after="240"/>
        <w:ind w:firstLine="0"/>
        <w:jc w:val="center"/>
      </w:pPr>
      <w:r>
        <w:rPr>
          <w:rFonts w:ascii="Times New Roman" w:hAnsi="Times New Roman"/>
        </w:rPr>
        <w:t xml:space="preserve">RIDGELINE MANUFACTURING CORP. v. APEX DIGITAL SOLUTIONS, INC.</w:t>
      </w:r>
      <w:r>
        <w:rPr>
          <w:rFonts w:ascii="Times New Roman" w:hAnsi="Times New Roman"/>
        </w:rPr>
        <w:br/>
      </w:r>
      <w:r>
        <w:rPr>
          <w:rFonts w:ascii="Times New Roman" w:hAnsi="Times New Roman"/>
        </w:rPr>
        <w:t xml:space="preserve">Civil Action No. 2:23-cv-01487-NMR</w:t>
      </w:r>
    </w:p>
    <w:p>
      <w:pPr>
        <w:pStyle w:val="Centered"/>
        <w:spacing w:line="276" w:lineRule="auto" w:after="240"/>
        <w:ind w:firstLine="0"/>
        <w:jc w:val="center"/>
      </w:pPr>
      <w:r>
        <w:rPr>
          <w:rFonts w:ascii="Times New Roman" w:hAnsi="Times New Roman"/>
          <w:b/>
          <w:bCs/>
        </w:rPr>
        <w:t xml:space="preserve">[PROPOSED] ORDER</w:t>
      </w:r>
    </w:p>
    <w:p>
      <w:pPr>
        <w:pStyle w:val="BodyText"/>
      </w:pPr>
      <w:r>
        <w:rPr>
          <w:rFonts w:ascii="Times New Roman" w:hAnsi="Times New Roman"/>
        </w:rPr>
        <w:t xml:space="preserve">AND NOW, this ____ day of ______________, 2025, upon consideration of Plaintiff Ridgeline Manufacturing Corp.’s Motion for Partial Summary Judgment, the Brief in Support, the Concise Statement of Undisputed Material Facts, the Appendix, and any response and reply thereto, it is hereby ORDERED that the Motion is GRANTED as follows:</w:t>
      </w:r>
    </w:p>
    <w:p>
      <w:pPr>
        <w:numPr>
          <w:ilvl w:val="0"/>
          <w:numId w:val="1003"/>
        </w:numPr>
      </w:pPr>
      <w:r>
        <w:rPr>
          <w:rFonts w:ascii="Times New Roman" w:hAnsi="Times New Roman"/>
        </w:rPr>
        <w:t xml:space="preserve">Judgment on liability is entered in favor of Ridgeline and against Apex Digital Solutions, Inc. on Ridgeline’s claim for breach of contract. Ridgeline properly terminated the Master Services Agreement for cause under § 8.2 effective June 1, 2023.</w:t>
      </w:r>
    </w:p>
    <w:p>
      <w:pPr>
        <w:numPr>
          <w:ilvl w:val="0"/>
          <w:numId w:val="1003"/>
        </w:numPr>
      </w:pPr>
      <w:r>
        <w:rPr>
          <w:rFonts w:ascii="Times New Roman" w:hAnsi="Times New Roman"/>
        </w:rPr>
        <w:t xml:space="preserve">Judgment is entered in favor of Ridgeline and against Apex on Apex’s counterclaim for unpaid milestone fees.</w:t>
      </w:r>
    </w:p>
    <w:p>
      <w:pPr>
        <w:numPr>
          <w:ilvl w:val="0"/>
          <w:numId w:val="1003"/>
        </w:numPr>
      </w:pPr>
      <w:r>
        <w:rPr>
          <w:rFonts w:ascii="Times New Roman" w:hAnsi="Times New Roman"/>
        </w:rPr>
        <w:t xml:space="preserve">Judgment on liability is entered in favor of Ridgeline and against Apex on Ridgeline’s claim for fraudulent inducement. [</w:t>
      </w:r>
      <w:r>
        <w:rPr>
          <w:rFonts w:ascii="Times New Roman" w:hAnsi="Times New Roman"/>
          <w:i/>
          <w:iCs/>
        </w:rPr>
        <w:t xml:space="preserve">Alternative:</w:t>
      </w:r>
      <w:r>
        <w:rPr>
          <w:rFonts w:ascii="Times New Roman" w:hAnsi="Times New Roman"/>
        </w:rPr>
        <w:t xml:space="preserve"> </w:t>
      </w:r>
      <w:r>
        <w:rPr>
          <w:rFonts w:ascii="Times New Roman" w:hAnsi="Times New Roman"/>
        </w:rPr>
        <w:t xml:space="preserve">Pursuant to Fed. R. Civ. P. 56(g), the following facts are established for trial: the representations identified in paragraphs 6, 7, 11, 15, and 16 of Ridgeline’s Concise Statement were false when made, were material, and were made by Apex with knowledge of their falsity or reckless indifference to their truth.]</w:t>
      </w:r>
    </w:p>
    <w:p>
      <w:pPr>
        <w:numPr>
          <w:ilvl w:val="0"/>
          <w:numId w:val="1003"/>
        </w:numPr>
      </w:pPr>
      <w:r>
        <w:rPr>
          <w:rFonts w:ascii="Times New Roman" w:hAnsi="Times New Roman"/>
        </w:rPr>
        <w:t xml:space="preserve">Section 11.2 of the Master Services Agreement does not bar Ridgeline’s recovery of direct contract damages and does not limit damages recoverable on Ridgeline’s fraud claim.</w:t>
      </w:r>
    </w:p>
    <w:p>
      <w:pPr>
        <w:numPr>
          <w:ilvl w:val="0"/>
          <w:numId w:val="1003"/>
        </w:numPr>
      </w:pPr>
      <w:r>
        <w:rPr>
          <w:rFonts w:ascii="Times New Roman" w:hAnsi="Times New Roman"/>
        </w:rPr>
        <w:t xml:space="preserve">The amount of Ridgeline’s damages shall be determined at trial.</w:t>
      </w:r>
    </w:p>
    <w:p>
      <w:pPr>
        <w:pStyle w:val="Signature"/>
        <w:spacing w:line="240" w:lineRule="auto" w:after="200"/>
        <w:ind w:firstLine="0" w:left="5040"/>
      </w:pPr>
      <w:r>
        <w:rPr>
          <w:rFonts w:ascii="Times New Roman" w:hAnsi="Times New Roman"/>
        </w:rPr>
        <w:t xml:space="preserve">BY THE COURT:</w:t>
      </w:r>
    </w:p>
    <w:p>
      <w:pPr>
        <w:pStyle w:val="Signature"/>
        <w:spacing w:line="240" w:lineRule="auto" w:after="200"/>
        <w:ind w:firstLine="0" w:left="5040"/>
      </w:pPr>
      <w:r>
        <w:rPr>
          <w:rFonts w:ascii="Times New Roman" w:hAnsi="Times New Roman"/>
        </w:rPr>
        <w:t xml:space="preserve">_____________________________</w:t>
      </w:r>
      <w:r>
        <w:rPr>
          <w:rFonts w:ascii="Times New Roman" w:hAnsi="Times New Roman"/>
        </w:rPr>
        <w:br/>
      </w:r>
      <w:r>
        <w:rPr>
          <w:rFonts w:ascii="Times New Roman" w:hAnsi="Times New Roman"/>
        </w:rPr>
        <w:t xml:space="preserve">Natalie M. Riegert</w:t>
      </w:r>
      <w:r>
        <w:rPr>
          <w:rFonts w:ascii="Times New Roman" w:hAnsi="Times New Roman"/>
        </w:rPr>
        <w:br/>
      </w:r>
      <w:r>
        <w:rPr>
          <w:rFonts w:ascii="Times New Roman" w:hAnsi="Times New Roman"/>
        </w:rPr>
        <w:t xml:space="preserve">United States District Judge</w:t>
      </w:r>
    </w:p>
    <w:bookmarkEnd w:id="48"/>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480" w:lineRule="auto"/>
    </w:pPr>
    <w:rPr>
      <w:rFonts w:ascii="Times New Roman" w:hAnsi="Times New Roman"/>
      <w:color w:val="000000"/>
      <w:sz w:val="24"/>
    </w:rPr>
  </w:style>
  <w:style w:styleId="BodyText" w:type="paragraph">
    <w:name w:val="Body Text"/>
    <w:basedOn w:val="Normal"/>
    <w:link w:val="BodyTextChar"/>
    <w:qFormat/>
    <w:pPr>
      <w:spacing w:after="160" w:before="180" w:line="480" w:lineRule="auto"/>
      <w:ind w:firstLine="720"/>
    </w:pPr>
    <w:rPr>
      <w:rFonts w:ascii="Times New Roman" w:hAnsi="Times New Roman"/>
      <w:color w:val="000000"/>
      <w:sz w:val="24"/>
    </w:rPr>
  </w:style>
  <w:style w:customStyle="1" w:styleId="FirstParagraph" w:type="paragraph">
    <w:name w:val="First Paragraph"/>
    <w:basedOn w:val="BodyText"/>
    <w:next w:val="BodyText"/>
    <w:qFormat/>
    <w:pPr>
      <w:spacing w:after="160" w:line="480" w:lineRule="auto"/>
      <w:ind w:firstLine="720"/>
    </w:pPr>
    <w:rPr>
      <w:rFonts w:ascii="Times New Roman" w:hAnsi="Times New Roman"/>
      <w:color w:val="000000"/>
      <w:sz w:val="24"/>
    </w:rPr>
  </w:style>
  <w:style w:customStyle="1" w:styleId="Compact" w:type="paragraph">
    <w:name w:val="Compact"/>
    <w:basedOn w:val="BodyText"/>
    <w:qFormat/>
    <w:pPr>
      <w:spacing w:after="160" w:before="36" w:line="276" w:lineRule="auto"/>
    </w:pPr>
    <w:rPr>
      <w:rFonts w:ascii="Times New Roman" w:hAnsi="Times New Roman"/>
      <w:color w:val="000000"/>
      <w:sz w:val="24"/>
    </w:rPr>
  </w:style>
  <w:style w:styleId="Title" w:type="paragraph">
    <w:name w:val="Title"/>
    <w:basedOn w:val="Normal"/>
    <w:next w:val="BodyText"/>
    <w:qFormat/>
    <w:pPr>
      <w:keepNext/>
      <w:keepLines/>
      <w:spacing w:after="160" w:before="240"/>
      <w:jc w:val="center"/>
    </w:pPr>
    <w:rPr>
      <w:rFonts w:ascii="Times New Roman" w:hAnsi="Times New Roman"/>
      <w:b/>
      <w:bCs/>
      <w:i w:val="0"/>
      <w:color w:val="000000"/>
      <w:sz w:val="24"/>
      <w:szCs w:val="36"/>
    </w:rPr>
  </w:style>
  <w:style w:styleId="Subtitle" w:type="paragraph">
    <w:name w:val="Subtitle"/>
    <w:basedOn w:val="Title"/>
    <w:next w:val="BodyText"/>
    <w:qFormat/>
    <w:pPr>
      <w:keepNext/>
      <w:keepLines/>
      <w:spacing w:after="160" w:before="240"/>
      <w:jc w:val="center"/>
    </w:pPr>
    <w:rPr>
      <w:rFonts w:ascii="Times New Roman" w:hAnsi="Times New Roman"/>
      <w:b/>
      <w:i w:val="0"/>
      <w:color w:val="000000"/>
      <w:sz w:val="24"/>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60" w:before="240"/>
      <w:jc w:val="center"/>
      <w:outlineLvl w:val="0"/>
    </w:pPr>
    <w:rPr>
      <w:rFonts w:ascii="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160" w:before="240"/>
      <w:outlineLvl w:val="1"/>
    </w:pPr>
    <w:rPr>
      <w:rFonts w:ascii="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160" w:before="240"/>
      <w:outlineLvl w:val="2"/>
    </w:pPr>
    <w:rPr>
      <w:rFonts w:ascii="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60" w:before="240"/>
      <w:outlineLvl w:val="3"/>
    </w:pPr>
    <w:rPr>
      <w:rFonts w:ascii="Times New Roman" w:hAnsi="Times New Roman"/>
      <w:b/>
      <w:bCs/>
      <w:i w:val="0"/>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val="000000"/>
      <w:sz w:val="24"/>
      <w:szCs w:val="24"/>
    </w:rPr>
  </w:style>
  <w:style w:styleId="BlockText" w:type="paragraph">
    <w:name w:val="Block Text"/>
    <w:basedOn w:val="BodyText"/>
    <w:next w:val="BodyText"/>
    <w:uiPriority w:val="9"/>
    <w:unhideWhenUsed/>
    <w:qFormat/>
    <w:pPr>
      <w:spacing w:after="160" w:before="100" w:line="276" w:lineRule="auto"/>
      <w:ind w:firstLine="0" w:left="1080" w:right="1080"/>
    </w:pPr>
    <w:rPr>
      <w:rFonts w:ascii="Times New Roman" w:hAnsi="Times New Roman"/>
      <w:color w:val="000000"/>
      <w:sz w:val="24"/>
    </w:rPr>
  </w:style>
  <w:style w:styleId="FootnoteText" w:type="paragraph">
    <w:name w:val="Footnote Text"/>
    <w:basedOn w:val="Normal"/>
    <w:next w:val="FootnoteText"/>
    <w:uiPriority w:val="9"/>
    <w:unhideWhenUsed/>
    <w:qFormat/>
    <w:rPr>
      <w:rFonts w:ascii="Times New Roman" w:hAnsi="Times New Roman"/>
      <w:color w:val="000000"/>
      <w:sz w:val="2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val="000000"/>
    </w:rPr>
  </w:style>
  <w:style w:type="paragraph" w:customStyle="1" w:styleId="CaptionBlock">
    <w:name w:val="Caption Block"/>
    <w:basedOn w:val="BodyText"/>
    <w:qFormat/>
  </w:style>
  <w:style w:type="paragraph" w:customStyle="1" w:styleId="Centered">
    <w:name w:val="Centered"/>
    <w:basedOn w:val="BodyText"/>
    <w:qFormat/>
  </w:style>
  <w:style w:type="paragraph" w:customStyle="1" w:styleId="PageBreak">
    <w:name w:val="Page Break"/>
    <w:basedOn w:val="BodyText"/>
    <w:qFormat/>
  </w:style>
  <w:style w:type="paragraph" w:customStyle="1" w:styleId="Signature">
    <w:name w:val="Signatur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2026-09-27T00:59:18Z</dcterms:created>
  <dcterms:modified xsi:type="dcterms:W3CDTF">2026-09-27T00:59:18Z</dcterms:modified>
</cp:coreProperties>
</file>

<file path=docProps/custom.xml><?xml version="1.0" encoding="utf-8"?>
<Properties xmlns="http://schemas.openxmlformats.org/officeDocument/2006/custom-properties" xmlns:vt="http://schemas.openxmlformats.org/officeDocument/2006/docPropsVTypes"/>
</file>