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spacing w:line="276" w:lineRule="auto" w:after="240"/>
        <w:ind w:firstLine="0"/>
        <w:jc w:val="center"/>
      </w:pPr>
      <w:r>
        <w:rPr>
          <w:rFonts w:ascii="Times New Roman" w:hAnsi="Times New Roman"/>
          <w:b/>
          <w:bCs/>
        </w:rPr>
        <w:t xml:space="preserve">IN THE UNITED STATES DISTRICT COURT</w:t>
      </w:r>
      <w:r>
        <w:rPr>
          <w:rFonts w:ascii="Times New Roman" w:hAnsi="Times New Roman"/>
        </w:rPr>
        <w:br/>
      </w:r>
      <w:r>
        <w:rPr>
          <w:rFonts w:ascii="Times New Roman" w:hAnsi="Times New Roman"/>
          <w:b/>
          <w:bCs/>
        </w:rPr>
        <w:t xml:space="preserve">FOR THE WESTERN DISTRICT OF PENNSYLVANIA</w:t>
      </w:r>
    </w:p>
    <w:p>
      <w:pPr>
        <w:pStyle w:val="CaptionBlock"/>
        <w:spacing w:line="240" w:lineRule="auto" w:after="200"/>
        <w:ind w:firstLine="0"/>
      </w:pPr>
      <w:r>
        <w:rPr>
          <w:rFonts w:ascii="Times New Roman" w:hAnsi="Times New Roman"/>
        </w:rPr>
        <w:t xml:space="preserve">RIDGELINE MANUFACTURING CORP.,</w:t>
      </w:r>
      <w:r>
        <w:rPr>
          <w:rFonts w:ascii="Times New Roman" w:hAnsi="Times New Roman"/>
        </w:rPr>
        <w:br/>
      </w:r>
      <w:r>
        <w:rPr>
          <w:rFonts w:ascii="Times New Roman" w:hAnsi="Times New Roman"/>
        </w:rPr>
        <w:t xml:space="preserve">Plaintiff and Counterclaim-Defendant,</w:t>
      </w:r>
      <w:r>
        <w:rPr>
          <w:rFonts w:ascii="Times New Roman" w:hAnsi="Times New Roman"/>
        </w:rPr>
        <w:br/>
      </w:r>
      <w:r>
        <w:rPr>
          <w:rFonts w:ascii="Times New Roman" w:hAnsi="Times New Roman"/>
        </w:rPr>
        <w:br/>
      </w:r>
      <w:r>
        <w:rPr>
          <w:rFonts w:ascii="Times New Roman" w:hAnsi="Times New Roman"/>
        </w:rPr>
        <w:t xml:space="preserve">v.</w:t>
      </w:r>
      <w:r>
        <w:rPr>
          <w:rFonts w:ascii="Times New Roman" w:hAnsi="Times New Roman"/>
        </w:rPr>
        <w:br/>
      </w:r>
      <w:r>
        <w:rPr>
          <w:rFonts w:ascii="Times New Roman" w:hAnsi="Times New Roman"/>
        </w:rPr>
        <w:br/>
      </w:r>
      <w:r>
        <w:rPr>
          <w:rFonts w:ascii="Times New Roman" w:hAnsi="Times New Roman"/>
        </w:rPr>
        <w:t xml:space="preserve">APEX DIGITAL SOLUTIONS, INC.,</w:t>
      </w:r>
      <w:r>
        <w:rPr>
          <w:rFonts w:ascii="Times New Roman" w:hAnsi="Times New Roman"/>
        </w:rPr>
        <w:br/>
      </w:r>
      <w:r>
        <w:rPr>
          <w:rFonts w:ascii="Times New Roman" w:hAnsi="Times New Roman"/>
        </w:rPr>
        <w:t xml:space="preserve">Defendant and Counterclaim-Plaintiff.</w:t>
      </w:r>
    </w:p>
    <w:p>
      <w:pPr>
        <w:pStyle w:val="CaptionBlock"/>
        <w:spacing w:line="240" w:lineRule="auto" w:after="200"/>
        <w:ind w:firstLine="0"/>
      </w:pPr>
      <w:r>
        <w:rPr>
          <w:rFonts w:ascii="Times New Roman" w:hAnsi="Times New Roman"/>
        </w:rPr>
        <w:t xml:space="preserve">Civil Action No. 2:23-cv-01487-NMR</w:t>
      </w:r>
      <w:r>
        <w:rPr>
          <w:rFonts w:ascii="Times New Roman" w:hAnsi="Times New Roman"/>
        </w:rPr>
        <w:br/>
      </w:r>
      <w:r>
        <w:rPr>
          <w:rFonts w:ascii="Times New Roman" w:hAnsi="Times New Roman"/>
        </w:rPr>
        <w:br/>
      </w:r>
      <w:r>
        <w:rPr>
          <w:rFonts w:ascii="Times New Roman" w:hAnsi="Times New Roman"/>
        </w:rPr>
        <w:t xml:space="preserve">Hon. Natalie M. Riegert</w:t>
      </w:r>
      <w:r>
        <w:rPr>
          <w:rFonts w:ascii="Times New Roman" w:hAnsi="Times New Roman"/>
        </w:rPr>
        <w:br/>
      </w:r>
      <w:r>
        <w:rPr>
          <w:rFonts w:ascii="Times New Roman" w:hAnsi="Times New Roman"/>
        </w:rPr>
        <w:br/>
      </w:r>
      <w:r>
        <w:rPr>
          <w:rFonts w:ascii="Times New Roman" w:hAnsi="Times New Roman"/>
          <w:i/>
          <w:iCs/>
        </w:rPr>
        <w:t xml:space="preserve">Electronically Filed</w:t>
      </w:r>
    </w:p>
    <w:p>
      <w:pPr>
        <w:pStyle w:val="Centered"/>
        <w:spacing w:line="276" w:lineRule="auto" w:after="240"/>
        <w:ind w:firstLine="0"/>
        <w:jc w:val="center"/>
      </w:pPr>
      <w:r>
        <w:rPr>
          <w:rFonts w:ascii="Times New Roman" w:hAnsi="Times New Roman"/>
          <w:b/>
          <w:bCs/>
        </w:rPr>
        <w:t xml:space="preserve">PLAINTIFF RIDGELINE MANUFACTURING CORP.’S CONCISE STATEMENT OF UNDISPUTED MATERIAL FACTS IN SUPPORT OF ITS MOTION FOR PARTIAL SUMMARY JUDGMENT</w:t>
      </w:r>
      <w:r>
        <w:rPr>
          <w:rFonts w:ascii="Times New Roman" w:hAnsi="Times New Roman"/>
        </w:rPr>
        <w:br/>
      </w:r>
      <w:r>
        <w:rPr>
          <w:rFonts w:ascii="Times New Roman" w:hAnsi="Times New Roman"/>
          <w:b/>
          <w:bCs/>
        </w:rPr>
        <w:t xml:space="preserve">(Fed. R. Civ. P. 56(c) and LCvR 56.B.1)</w:t>
      </w:r>
    </w:p>
    <w:p>
      <w:pPr>
        <w:pStyle w:val="BodyText"/>
      </w:pPr>
      <w:r>
        <w:rPr>
          <w:rFonts w:ascii="Times New Roman" w:hAnsi="Times New Roman"/>
        </w:rPr>
        <w:t xml:space="preserve">Pursuant to Federal Rule of Civil Procedure 56(c) and Local Civil Rule 56.B.1 of the United States District Court for the Western District of Pennsylvania, Plaintiff and Counterclaim-Defendant Ridgeline Manufacturing Corp. (</w:t>
      </w:r>
      <w:r>
        <w:rPr>
          <w:rFonts w:ascii="Times New Roman" w:hAnsi="Times New Roman"/>
        </w:rPr>
        <w:t xml:space="preserve">“</w:t>
      </w:r>
      <w:r>
        <w:rPr>
          <w:rFonts w:ascii="Times New Roman" w:hAnsi="Times New Roman"/>
        </w:rPr>
        <w:t xml:space="preserve">Ridgeline</w:t>
      </w:r>
      <w:r>
        <w:rPr>
          <w:rFonts w:ascii="Times New Roman" w:hAnsi="Times New Roman"/>
        </w:rPr>
        <w:t xml:space="preserve">”</w:t>
      </w:r>
      <w:r>
        <w:rPr>
          <w:rFonts w:ascii="Times New Roman" w:hAnsi="Times New Roman"/>
        </w:rPr>
        <w:t xml:space="preserve">) submits the following Concise Statement of Undisputed Material Facts in support of its Motion for Partial Summary Judgment against Defendant and Counterclaim-Plaintiff Apex Digital Solutions, Inc. (</w:t>
      </w:r>
      <w:r>
        <w:rPr>
          <w:rFonts w:ascii="Times New Roman" w:hAnsi="Times New Roman"/>
        </w:rPr>
        <w:t xml:space="preserve">“</w:t>
      </w:r>
      <w:r>
        <w:rPr>
          <w:rFonts w:ascii="Times New Roman" w:hAnsi="Times New Roman"/>
        </w:rPr>
        <w:t xml:space="preserve">Apex</w:t>
      </w:r>
      <w:r>
        <w:rPr>
          <w:rFonts w:ascii="Times New Roman" w:hAnsi="Times New Roman"/>
        </w:rPr>
        <w:t xml:space="preserve">”</w:t>
      </w:r>
      <w:r>
        <w:rPr>
          <w:rFonts w:ascii="Times New Roman" w:hAnsi="Times New Roman"/>
        </w:rPr>
        <w:t xml:space="preserve">). Each fact is set forth in a separately numbered paragraph with citation to the record. The cited materials are collected in Ridgeline’s Appendix filed contemporaneously under LCvR 56.B.3 (</w:t>
      </w:r>
      <w:r>
        <w:rPr>
          <w:rFonts w:ascii="Times New Roman" w:hAnsi="Times New Roman"/>
        </w:rPr>
        <w:t xml:space="preserve">“</w:t>
      </w:r>
      <w:r>
        <w:rPr>
          <w:rFonts w:ascii="Times New Roman" w:hAnsi="Times New Roman"/>
        </w:rPr>
        <w:t xml:space="preserve">App. Ex.</w:t>
      </w:r>
      <w:r>
        <w:rPr>
          <w:rFonts w:ascii="Times New Roman" w:hAnsi="Times New Roman"/>
        </w:rPr>
        <w:t xml:space="preserve">”</w:t>
      </w:r>
      <w:r>
        <w:rPr>
          <w:rFonts w:ascii="Times New Roman" w:hAnsi="Times New Roman"/>
        </w:rPr>
        <w:t xml:space="preserve">). An index of Appendix exhibits appears at the end of this Statement. Deposition transcripts are cited as</w:t>
      </w:r>
      <w:r>
        <w:rPr>
          <w:rFonts w:ascii="Times New Roman" w:hAnsi="Times New Roman"/>
        </w:rPr>
        <w:t xml:space="preserve"> </w:t>
      </w:r>
      <w:r>
        <w:rPr>
          <w:rFonts w:ascii="Times New Roman" w:hAnsi="Times New Roman"/>
        </w:rPr>
        <w:t xml:space="preserve">“</w:t>
      </w:r>
      <w:r>
        <w:rPr>
          <w:rFonts w:ascii="Times New Roman" w:hAnsi="Times New Roman"/>
        </w:rPr>
        <w:t xml:space="preserve">[Deponent] Dep. [page]:[line].</w:t>
      </w:r>
      <w:r>
        <w:rPr>
          <w:rFonts w:ascii="Times New Roman" w:hAnsi="Times New Roman"/>
        </w:rPr>
        <w:t xml:space="preserve">”</w:t>
      </w:r>
    </w:p>
    <w:p>
      <w:pPr>
        <w:pStyle w:val="BodyText"/>
      </w:pPr>
      <w:r>
        <w:rPr>
          <w:rFonts w:ascii="Times New Roman" w:hAnsi="Times New Roman"/>
        </w:rPr>
        <w:t xml:space="preserve">Under LCvR 56.E, facts claimed to be undisputed in this Statement are deemed admitted unless specifically denied or otherwise controverted by a separate concise statement of the opposing party.</w:t>
      </w:r>
    </w:p>
    <w:bookmarkStart w:id="20" w:name="i.-the-parties-and-the-procurement"/>
    <w:p>
      <w:pPr>
        <w:pStyle w:val="Heading1"/>
      </w:pPr>
      <w:r>
        <w:rPr>
          <w:rFonts w:ascii="Times New Roman" w:hAnsi="Times New Roman"/>
        </w:rPr>
        <w:t xml:space="preserve">I. THE PARTIES AND THE PROCUREMENT</w:t>
      </w:r>
    </w:p>
    <w:p>
      <w:pPr>
        <w:numPr>
          <w:ilvl w:val="0"/>
          <w:numId w:val="1001"/>
        </w:numPr>
      </w:pPr>
      <w:r>
        <w:rPr>
          <w:rFonts w:ascii="Times New Roman" w:hAnsi="Times New Roman"/>
        </w:rPr>
        <w:t xml:space="preserve">Ridgeline is a Pennsylvania corporation with its principal place of business at 1400 Industrial Parkway, Butler, Pennsylvania 16001. It manufactures precision-machined industrial components for aerospace and automotive original equipment manufacturers at three facilities located in Butler, Pennsylvania; Erie, Pennsylvania; and Youngstown, Ohio. App. Ex. 1 (Master Services Agreement (</w:t>
      </w:r>
      <w:r>
        <w:rPr>
          <w:rFonts w:ascii="Times New Roman" w:hAnsi="Times New Roman"/>
        </w:rPr>
        <w:t xml:space="preserve">“</w:t>
      </w:r>
      <w:r>
        <w:rPr>
          <w:rFonts w:ascii="Times New Roman" w:hAnsi="Times New Roman"/>
        </w:rPr>
        <w:t xml:space="preserve">MSA</w:t>
      </w:r>
      <w:r>
        <w:rPr>
          <w:rFonts w:ascii="Times New Roman" w:hAnsi="Times New Roman"/>
        </w:rPr>
        <w:t xml:space="preserve">”</w:t>
      </w:r>
      <w:r>
        <w:rPr>
          <w:rFonts w:ascii="Times New Roman" w:hAnsi="Times New Roman"/>
        </w:rPr>
        <w:t xml:space="preserve">)), preamble &amp; Recitals;</w:t>
      </w:r>
      <w:r>
        <w:rPr>
          <w:rFonts w:ascii="Times New Roman" w:hAnsi="Times New Roman"/>
        </w:rPr>
        <w:t xml:space="preserve"> </w:t>
      </w:r>
      <w:r>
        <w:rPr>
          <w:rFonts w:ascii="Times New Roman" w:hAnsi="Times New Roman"/>
          <w:i/>
          <w:iCs/>
        </w:rPr>
        <w:t xml:space="preserve">id.</w:t>
      </w:r>
      <w:r>
        <w:rPr>
          <w:rFonts w:ascii="Times New Roman" w:hAnsi="Times New Roman"/>
        </w:rPr>
        <w:t xml:space="preserve"> </w:t>
      </w:r>
      <w:r>
        <w:rPr>
          <w:rFonts w:ascii="Times New Roman" w:hAnsi="Times New Roman"/>
        </w:rPr>
        <w:t xml:space="preserve">§ 2.1.</w:t>
      </w:r>
    </w:p>
    <w:p>
      <w:pPr>
        <w:numPr>
          <w:ilvl w:val="0"/>
          <w:numId w:val="1001"/>
        </w:numPr>
      </w:pPr>
      <w:r>
        <w:rPr>
          <w:rFonts w:ascii="Times New Roman" w:hAnsi="Times New Roman"/>
        </w:rPr>
        <w:t xml:space="preserve">Apex is a Delaware corporation headquartered at 2100 Cornerstone Drive, Suite 400, Reston, Virginia. Its primary line of business is implementing the Stratos ERP platform for mid-market manufacturers. At the time of the Ridgeline engagement it had approximately 140 employees and had completed approximately 14 Stratos ERP implementations. Kresch Dep. 7:3–8:3 (App. Ex. 7); App. Ex. 1, preamble.</w:t>
      </w:r>
    </w:p>
    <w:p>
      <w:pPr>
        <w:numPr>
          <w:ilvl w:val="0"/>
          <w:numId w:val="1001"/>
        </w:numPr>
      </w:pPr>
      <w:r>
        <w:rPr>
          <w:rFonts w:ascii="Times New Roman" w:hAnsi="Times New Roman"/>
        </w:rPr>
        <w:t xml:space="preserve">Jordan Kresch is Apex’s Chief Executive Officer and co-founder. Tara Bellingham has been Apex’s Vice President of Sales since 2019. Ryan Ostroff was the Apex Lead Project Manager assigned to the Ridgeline engagement from March 14, 2022 until January 12, 2023, and reported to Mr. Kresch. Kresch Dep. 7:3–5 (App. Ex. 7); Bellingham Dep. 8:3–7 (App. Ex. 6); Ostroff Dep. 14:3–16 (App. Ex. 5).</w:t>
      </w:r>
    </w:p>
    <w:p>
      <w:pPr>
        <w:numPr>
          <w:ilvl w:val="0"/>
          <w:numId w:val="1001"/>
        </w:numPr>
      </w:pPr>
      <w:r>
        <w:rPr>
          <w:rFonts w:ascii="Times New Roman" w:hAnsi="Times New Roman"/>
        </w:rPr>
        <w:t xml:space="preserve">Paul Szymanski, Ridgeline’s Vice President of Information Technology, drafted Ridgeline’s Request for Proposal for an ERP implementation (the</w:t>
      </w:r>
      <w:r>
        <w:rPr>
          <w:rFonts w:ascii="Times New Roman" w:hAnsi="Times New Roman"/>
        </w:rPr>
        <w:t xml:space="preserve"> </w:t>
      </w:r>
      <w:r>
        <w:rPr>
          <w:rFonts w:ascii="Times New Roman" w:hAnsi="Times New Roman"/>
        </w:rPr>
        <w:t xml:space="preserve">“</w:t>
      </w:r>
      <w:r>
        <w:rPr>
          <w:rFonts w:ascii="Times New Roman" w:hAnsi="Times New Roman"/>
        </w:rPr>
        <w:t xml:space="preserve">RFP</w:t>
      </w:r>
      <w:r>
        <w:rPr>
          <w:rFonts w:ascii="Times New Roman" w:hAnsi="Times New Roman"/>
        </w:rPr>
        <w:t xml:space="preserve">”</w:t>
      </w:r>
      <w:r>
        <w:rPr>
          <w:rFonts w:ascii="Times New Roman" w:hAnsi="Times New Roman"/>
        </w:rPr>
        <w:t xml:space="preserve">), which was issued to five vendors on January 10, 2022. Mr. Szymanski evaluated the responses, conducted reference checks, and recommended Apex to Ridgeline’s Chief Executive Officer, Margaret Calloway, and Chief Financial Officer, Dennis Hargrove. Szymanski Dep. 6:3–17 (App. Ex. 8); App. Ex. 1, Recitals.</w:t>
      </w:r>
    </w:p>
    <w:bookmarkEnd w:id="20"/>
    <w:bookmarkStart w:id="24" w:name="ii.-apexs-pre-contract-representations"/>
    <w:p>
      <w:pPr>
        <w:pStyle w:val="Heading1"/>
      </w:pPr>
      <w:r>
        <w:rPr>
          <w:rFonts w:ascii="Times New Roman" w:hAnsi="Times New Roman"/>
        </w:rPr>
        <w:t xml:space="preserve">II. APEX’S PRE-CONTRACT REPRESENTATIONS</w:t>
      </w:r>
    </w:p>
    <w:bookmarkStart w:id="21" w:name="a.-the-january-28-2022-proposal"/>
    <w:p>
      <w:pPr>
        <w:pStyle w:val="Heading2"/>
      </w:pPr>
      <w:r>
        <w:rPr>
          <w:rFonts w:ascii="Times New Roman" w:hAnsi="Times New Roman"/>
        </w:rPr>
        <w:t xml:space="preserve">A. The January 28, 2022 Proposal</w:t>
      </w:r>
    </w:p>
    <w:p>
      <w:pPr>
        <w:numPr>
          <w:ilvl w:val="0"/>
          <w:numId w:val="1002"/>
        </w:numPr>
      </w:pPr>
      <w:r>
        <w:rPr>
          <w:rFonts w:ascii="Times New Roman" w:hAnsi="Times New Roman"/>
        </w:rPr>
        <w:t xml:space="preserve">On January 28, 2022, Apex submitted a written response to the RFP (the</w:t>
      </w:r>
      <w:r>
        <w:rPr>
          <w:rFonts w:ascii="Times New Roman" w:hAnsi="Times New Roman"/>
        </w:rPr>
        <w:t xml:space="preserve"> </w:t>
      </w:r>
      <w:r>
        <w:rPr>
          <w:rFonts w:ascii="Times New Roman" w:hAnsi="Times New Roman"/>
        </w:rPr>
        <w:t xml:space="preserve">“</w:t>
      </w:r>
      <w:r>
        <w:rPr>
          <w:rFonts w:ascii="Times New Roman" w:hAnsi="Times New Roman"/>
        </w:rPr>
        <w:t xml:space="preserve">Proposal</w:t>
      </w:r>
      <w:r>
        <w:rPr>
          <w:rFonts w:ascii="Times New Roman" w:hAnsi="Times New Roman"/>
        </w:rPr>
        <w:t xml:space="preserve">”</w:t>
      </w:r>
      <w:r>
        <w:rPr>
          <w:rFonts w:ascii="Times New Roman" w:hAnsi="Times New Roman"/>
        </w:rPr>
        <w:t xml:space="preserve">). Ms. Bellingham led the response and was responsible for the Proposal. Mr. Kresch reviewed and approved the Proposal before it was submitted. App. Ex. 2 (Proposal, APEX-000142–188); Bellingham Dep. 8:9–9:3 (App. Ex. 6); Kresch Dep. 28:1–3 (App. Ex. 7).</w:t>
      </w:r>
    </w:p>
    <w:p>
      <w:pPr>
        <w:numPr>
          <w:ilvl w:val="0"/>
          <w:numId w:val="1002"/>
        </w:numPr>
      </w:pPr>
      <w:r>
        <w:rPr>
          <w:rFonts w:ascii="Times New Roman" w:hAnsi="Times New Roman"/>
        </w:rPr>
        <w:t xml:space="preserve">Page 12 of the Proposal states:</w:t>
      </w:r>
      <w:r>
        <w:rPr>
          <w:rFonts w:ascii="Times New Roman" w:hAnsi="Times New Roman"/>
        </w:rPr>
        <w:t xml:space="preserve"> </w:t>
      </w:r>
      <w:r>
        <w:rPr>
          <w:rFonts w:ascii="Times New Roman" w:hAnsi="Times New Roman"/>
        </w:rPr>
        <w:t xml:space="preserve">“</w:t>
      </w:r>
      <w:r>
        <w:rPr>
          <w:rFonts w:ascii="Times New Roman" w:hAnsi="Times New Roman"/>
        </w:rPr>
        <w:t xml:space="preserve">Apex has deep experience integrating Stratos ERP with Siemens Teamcenter and has successfully completed this integration for multiple manufacturing clients.</w:t>
      </w:r>
      <w:r>
        <w:rPr>
          <w:rFonts w:ascii="Times New Roman" w:hAnsi="Times New Roman"/>
        </w:rPr>
        <w:t xml:space="preserve">”</w:t>
      </w:r>
      <w:r>
        <w:rPr>
          <w:rFonts w:ascii="Times New Roman" w:hAnsi="Times New Roman"/>
        </w:rPr>
        <w:t xml:space="preserve"> </w:t>
      </w:r>
      <w:r>
        <w:rPr>
          <w:rFonts w:ascii="Times New Roman" w:hAnsi="Times New Roman"/>
        </w:rPr>
        <w:t xml:space="preserve">App. Ex. 2 at APEX-000153; Ostroff Dep. 15:10–15 (App. Ex. 5).</w:t>
      </w:r>
    </w:p>
    <w:p>
      <w:pPr>
        <w:numPr>
          <w:ilvl w:val="0"/>
          <w:numId w:val="1002"/>
        </w:numPr>
      </w:pPr>
      <w:r>
        <w:rPr>
          <w:rFonts w:ascii="Times New Roman" w:hAnsi="Times New Roman"/>
        </w:rPr>
        <w:t xml:space="preserve">Page 22 of the Proposal states:</w:t>
      </w:r>
      <w:r>
        <w:rPr>
          <w:rFonts w:ascii="Times New Roman" w:hAnsi="Times New Roman"/>
        </w:rPr>
        <w:t xml:space="preserve"> </w:t>
      </w:r>
      <w:r>
        <w:rPr>
          <w:rFonts w:ascii="Times New Roman" w:hAnsi="Times New Roman"/>
        </w:rPr>
        <w:t xml:space="preserve">“</w:t>
      </w:r>
      <w:r>
        <w:rPr>
          <w:rFonts w:ascii="Times New Roman" w:hAnsi="Times New Roman"/>
        </w:rPr>
        <w:t xml:space="preserve">Apex’s team includes certified AS9100D compliance specialists who will configure the quality module to meet all aerospace traceability requirements.</w:t>
      </w:r>
      <w:r>
        <w:rPr>
          <w:rFonts w:ascii="Times New Roman" w:hAnsi="Times New Roman"/>
        </w:rPr>
        <w:t xml:space="preserve">”</w:t>
      </w:r>
      <w:r>
        <w:rPr>
          <w:rFonts w:ascii="Times New Roman" w:hAnsi="Times New Roman"/>
        </w:rPr>
        <w:t xml:space="preserve"> </w:t>
      </w:r>
      <w:r>
        <w:rPr>
          <w:rFonts w:ascii="Times New Roman" w:hAnsi="Times New Roman"/>
        </w:rPr>
        <w:t xml:space="preserve">App. Ex. 2 at APEX-000163.</w:t>
      </w:r>
    </w:p>
    <w:p>
      <w:pPr>
        <w:numPr>
          <w:ilvl w:val="0"/>
          <w:numId w:val="1002"/>
        </w:numPr>
      </w:pPr>
      <w:r>
        <w:rPr>
          <w:rFonts w:ascii="Times New Roman" w:hAnsi="Times New Roman"/>
        </w:rPr>
        <w:t xml:space="preserve">Page 18 of the Proposal states that</w:t>
      </w:r>
      <w:r>
        <w:rPr>
          <w:rFonts w:ascii="Times New Roman" w:hAnsi="Times New Roman"/>
        </w:rPr>
        <w:t xml:space="preserve"> </w:t>
      </w:r>
      <w:r>
        <w:rPr>
          <w:rFonts w:ascii="Times New Roman" w:hAnsi="Times New Roman"/>
        </w:rPr>
        <w:t xml:space="preserve">“</w:t>
      </w:r>
      <w:r>
        <w:rPr>
          <w:rFonts w:ascii="Times New Roman" w:hAnsi="Times New Roman"/>
        </w:rPr>
        <w:t xml:space="preserve">Apex will assign dedicated AS9100D-qualified resources to ensure the quality management module meets all aerospace traceability and compliance requirements,</w:t>
      </w:r>
      <w:r>
        <w:rPr>
          <w:rFonts w:ascii="Times New Roman" w:hAnsi="Times New Roman"/>
        </w:rPr>
        <w:t xml:space="preserve">”</w:t>
      </w:r>
      <w:r>
        <w:rPr>
          <w:rFonts w:ascii="Times New Roman" w:hAnsi="Times New Roman"/>
        </w:rPr>
        <w:t xml:space="preserve"> </w:t>
      </w:r>
      <w:r>
        <w:rPr>
          <w:rFonts w:ascii="Times New Roman" w:hAnsi="Times New Roman"/>
        </w:rPr>
        <w:t xml:space="preserve">and that</w:t>
      </w:r>
      <w:r>
        <w:rPr>
          <w:rFonts w:ascii="Times New Roman" w:hAnsi="Times New Roman"/>
        </w:rPr>
        <w:t xml:space="preserve"> </w:t>
      </w:r>
      <w:r>
        <w:rPr>
          <w:rFonts w:ascii="Times New Roman" w:hAnsi="Times New Roman"/>
        </w:rPr>
        <w:t xml:space="preserve">“</w:t>
      </w:r>
      <w:r>
        <w:rPr>
          <w:rFonts w:ascii="Times New Roman" w:hAnsi="Times New Roman"/>
        </w:rPr>
        <w:t xml:space="preserve">[t]hese resources will be engaged throughout all three phases of the implementation.</w:t>
      </w:r>
      <w:r>
        <w:rPr>
          <w:rFonts w:ascii="Times New Roman" w:hAnsi="Times New Roman"/>
        </w:rPr>
        <w:t xml:space="preserve">”</w:t>
      </w:r>
      <w:r>
        <w:rPr>
          <w:rFonts w:ascii="Times New Roman" w:hAnsi="Times New Roman"/>
        </w:rPr>
        <w:t xml:space="preserve"> </w:t>
      </w:r>
      <w:r>
        <w:rPr>
          <w:rFonts w:ascii="Times New Roman" w:hAnsi="Times New Roman"/>
        </w:rPr>
        <w:t xml:space="preserve">App. Ex. 2 at APEX-000159.</w:t>
      </w:r>
    </w:p>
    <w:p>
      <w:pPr>
        <w:numPr>
          <w:ilvl w:val="0"/>
          <w:numId w:val="1002"/>
        </w:numPr>
      </w:pPr>
      <w:r>
        <w:rPr>
          <w:rFonts w:ascii="Times New Roman" w:hAnsi="Times New Roman"/>
        </w:rPr>
        <w:t xml:space="preserve">Page 15 of the Proposal states that Apex’s methodology</w:t>
      </w:r>
      <w:r>
        <w:rPr>
          <w:rFonts w:ascii="Times New Roman" w:hAnsi="Times New Roman"/>
        </w:rPr>
        <w:t xml:space="preserve"> </w:t>
      </w:r>
      <w:r>
        <w:rPr>
          <w:rFonts w:ascii="Times New Roman" w:hAnsi="Times New Roman"/>
        </w:rPr>
        <w:t xml:space="preserve">“</w:t>
      </w:r>
      <w:r>
        <w:rPr>
          <w:rFonts w:ascii="Times New Roman" w:hAnsi="Times New Roman"/>
        </w:rPr>
        <w:t xml:space="preserve">has been refined over 14 successful Stratos ERP implementations</w:t>
      </w:r>
      <w:r>
        <w:rPr>
          <w:rFonts w:ascii="Times New Roman" w:hAnsi="Times New Roman"/>
        </w:rPr>
        <w:t xml:space="preserve">”</w:t>
      </w:r>
      <w:r>
        <w:rPr>
          <w:rFonts w:ascii="Times New Roman" w:hAnsi="Times New Roman"/>
        </w:rPr>
        <w:t xml:space="preserve"> </w:t>
      </w:r>
      <w:r>
        <w:rPr>
          <w:rFonts w:ascii="Times New Roman" w:hAnsi="Times New Roman"/>
        </w:rPr>
        <w:t xml:space="preserve">and that</w:t>
      </w:r>
      <w:r>
        <w:rPr>
          <w:rFonts w:ascii="Times New Roman" w:hAnsi="Times New Roman"/>
        </w:rPr>
        <w:t xml:space="preserve"> </w:t>
      </w:r>
      <w:r>
        <w:rPr>
          <w:rFonts w:ascii="Times New Roman" w:hAnsi="Times New Roman"/>
        </w:rPr>
        <w:t xml:space="preserve">“</w:t>
      </w:r>
      <w:r>
        <w:rPr>
          <w:rFonts w:ascii="Times New Roman" w:hAnsi="Times New Roman"/>
        </w:rPr>
        <w:t xml:space="preserve">we are confident in delivering full go-live within 12 months of project kickoff.</w:t>
      </w:r>
      <w:r>
        <w:rPr>
          <w:rFonts w:ascii="Times New Roman" w:hAnsi="Times New Roman"/>
        </w:rPr>
        <w:t xml:space="preserve">”</w:t>
      </w:r>
      <w:r>
        <w:rPr>
          <w:rFonts w:ascii="Times New Roman" w:hAnsi="Times New Roman"/>
        </w:rPr>
        <w:t xml:space="preserve"> </w:t>
      </w:r>
      <w:r>
        <w:rPr>
          <w:rFonts w:ascii="Times New Roman" w:hAnsi="Times New Roman"/>
        </w:rPr>
        <w:t xml:space="preserve">App. Ex. 2 at APEX-000156.</w:t>
      </w:r>
    </w:p>
    <w:bookmarkEnd w:id="21"/>
    <w:bookmarkStart w:id="22" w:name="X6e64e120247cb9a6b2cb84d21bf9fc151d3049d"/>
    <w:p>
      <w:pPr>
        <w:pStyle w:val="Heading2"/>
      </w:pPr>
      <w:r>
        <w:rPr>
          <w:rFonts w:ascii="Times New Roman" w:hAnsi="Times New Roman"/>
        </w:rPr>
        <w:t xml:space="preserve">B. Reference Checks and the February 14, 2022 Call</w:t>
      </w:r>
    </w:p>
    <w:p>
      <w:pPr>
        <w:numPr>
          <w:ilvl w:val="0"/>
          <w:numId w:val="1003"/>
        </w:numPr>
      </w:pPr>
      <w:r>
        <w:rPr>
          <w:rFonts w:ascii="Times New Roman" w:hAnsi="Times New Roman"/>
        </w:rPr>
        <w:t xml:space="preserve">The Proposal listed three client references. None of the three involved Teamcenter integration or AS9100D compliance configuration work. Mr. Szymanski spoke with two of the three references; both spoke positively of Apex’s general Stratos implementation work, and neither involved Teamcenter integration or AS9100D compliance work. App. Ex. 2 at APEX-000185–187; Szymanski Dep. 14:1–14 (App. Ex. 8).</w:t>
      </w:r>
    </w:p>
    <w:p>
      <w:pPr>
        <w:numPr>
          <w:ilvl w:val="0"/>
          <w:numId w:val="1003"/>
        </w:numPr>
      </w:pPr>
      <w:r>
        <w:rPr>
          <w:rFonts w:ascii="Times New Roman" w:hAnsi="Times New Roman"/>
        </w:rPr>
        <w:t xml:space="preserve">Because neither reference involved Teamcenter, Mr. Szymanski raised the issue with Ms. Bellingham on a February 14, 2022 telephone call. Ms. Bellingham told him that Apex’s Teamcenter integration experience was based on two prior projects, which she identified as Corridor Metals and PrimeTech Industries. Szymanski Dep. 15:5–11 (App. Ex. 8); Bellingham Dep. 9:9–18 (App. Ex. 6) (admitting she</w:t>
      </w:r>
      <w:r>
        <w:rPr>
          <w:rFonts w:ascii="Times New Roman" w:hAnsi="Times New Roman"/>
        </w:rPr>
        <w:t xml:space="preserve"> </w:t>
      </w:r>
      <w:r>
        <w:rPr>
          <w:rFonts w:ascii="Times New Roman" w:hAnsi="Times New Roman"/>
        </w:rPr>
        <w:t xml:space="preserve">“</w:t>
      </w:r>
      <w:r>
        <w:rPr>
          <w:rFonts w:ascii="Times New Roman" w:hAnsi="Times New Roman"/>
        </w:rPr>
        <w:t xml:space="preserve">referenced them as clients where we had Teamcenter experience</w:t>
      </w:r>
      <w:r>
        <w:rPr>
          <w:rFonts w:ascii="Times New Roman" w:hAnsi="Times New Roman"/>
        </w:rPr>
        <w:t xml:space="preserve">”</w:t>
      </w:r>
      <w:r>
        <w:rPr>
          <w:rFonts w:ascii="Times New Roman" w:hAnsi="Times New Roman"/>
        </w:rPr>
        <w:t xml:space="preserve">).</w:t>
      </w:r>
    </w:p>
    <w:p>
      <w:pPr>
        <w:numPr>
          <w:ilvl w:val="0"/>
          <w:numId w:val="1003"/>
        </w:numPr>
      </w:pPr>
      <w:r>
        <w:rPr>
          <w:rFonts w:ascii="Times New Roman" w:hAnsi="Times New Roman"/>
        </w:rPr>
        <w:t xml:space="preserve">Mr. Szymanski’s contemporaneous notes state:</w:t>
      </w:r>
      <w:r>
        <w:rPr>
          <w:rFonts w:ascii="Times New Roman" w:hAnsi="Times New Roman"/>
        </w:rPr>
        <w:t xml:space="preserve"> </w:t>
      </w:r>
      <w:r>
        <w:rPr>
          <w:rFonts w:ascii="Times New Roman" w:hAnsi="Times New Roman"/>
        </w:rPr>
        <w:t xml:space="preserve">“</w:t>
      </w:r>
      <w:r>
        <w:rPr>
          <w:rFonts w:ascii="Times New Roman" w:hAnsi="Times New Roman"/>
        </w:rPr>
        <w:t xml:space="preserve">References positive but neither had Teamcenter or aerospace QMS. Tara assured me on 2/14/22 call that the proposal references to Teamcenter integration experience were based on two prior projects — she named</w:t>
      </w:r>
      <w:r>
        <w:rPr>
          <w:rFonts w:ascii="Times New Roman" w:hAnsi="Times New Roman"/>
        </w:rPr>
        <w:t xml:space="preserve"> </w:t>
      </w:r>
      <w:r>
        <w:rPr>
          <w:rFonts w:ascii="Times New Roman" w:hAnsi="Times New Roman"/>
        </w:rPr>
        <w:t xml:space="preserve">‘</w:t>
      </w:r>
      <w:r>
        <w:rPr>
          <w:rFonts w:ascii="Times New Roman" w:hAnsi="Times New Roman"/>
        </w:rPr>
        <w:t xml:space="preserve">Corridor Metals</w:t>
      </w:r>
      <w:r>
        <w:rPr>
          <w:rFonts w:ascii="Times New Roman" w:hAnsi="Times New Roman"/>
        </w:rPr>
        <w:t xml:space="preserv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w:t>
      </w:r>
      <w:r>
        <w:rPr>
          <w:rFonts w:ascii="Times New Roman" w:hAnsi="Times New Roman"/>
        </w:rPr>
        <w:t xml:space="preserve">PrimeTech Industries</w:t>
      </w:r>
      <w:r>
        <w:rPr>
          <w:rFonts w:ascii="Times New Roman" w:hAnsi="Times New Roman"/>
        </w:rPr>
        <w:t xml:space="preserve">’</w:t>
      </w:r>
      <w:r>
        <w:rPr>
          <w:rFonts w:ascii="Times New Roman" w:hAnsi="Times New Roman"/>
        </w:rPr>
        <w:t xml:space="preserve"> </w:t>
      </w:r>
      <w:r>
        <w:rPr>
          <w:rFonts w:ascii="Times New Roman" w:hAnsi="Times New Roman"/>
        </w:rPr>
        <w:t xml:space="preserve">as the clients.</w:t>
      </w:r>
      <w:r>
        <w:rPr>
          <w:rFonts w:ascii="Times New Roman" w:hAnsi="Times New Roman"/>
        </w:rPr>
        <w:t xml:space="preserve">”</w:t>
      </w:r>
      <w:r>
        <w:rPr>
          <w:rFonts w:ascii="Times New Roman" w:hAnsi="Times New Roman"/>
        </w:rPr>
        <w:t xml:space="preserve"> </w:t>
      </w:r>
      <w:r>
        <w:rPr>
          <w:rFonts w:ascii="Times New Roman" w:hAnsi="Times New Roman"/>
        </w:rPr>
        <w:t xml:space="preserve">App. Ex. 4 (RMC-000487); Szymanski Dep. 16:1–13 (App. Ex. 8).</w:t>
      </w:r>
    </w:p>
    <w:bookmarkEnd w:id="22"/>
    <w:bookmarkStart w:id="23" w:name="Xe667e9c375bd17c972c540705d15f1920496a7a"/>
    <w:p>
      <w:pPr>
        <w:pStyle w:val="Heading2"/>
      </w:pPr>
      <w:r>
        <w:rPr>
          <w:rFonts w:ascii="Times New Roman" w:hAnsi="Times New Roman"/>
        </w:rPr>
        <w:t xml:space="preserve">C. The February 22, 2022 Capability Summary</w:t>
      </w:r>
    </w:p>
    <w:p>
      <w:pPr>
        <w:numPr>
          <w:ilvl w:val="0"/>
          <w:numId w:val="1004"/>
        </w:numPr>
      </w:pPr>
      <w:r>
        <w:rPr>
          <w:rFonts w:ascii="Times New Roman" w:hAnsi="Times New Roman"/>
        </w:rPr>
        <w:t xml:space="preserve">On February 22, 2022, at 3:47 p.m., Ms. Bellingham emailed Mr. Szymanski a 14-slide</w:t>
      </w:r>
      <w:r>
        <w:rPr>
          <w:rFonts w:ascii="Times New Roman" w:hAnsi="Times New Roman"/>
        </w:rPr>
        <w:t xml:space="preserve"> </w:t>
      </w:r>
      <w:r>
        <w:rPr>
          <w:rFonts w:ascii="Times New Roman" w:hAnsi="Times New Roman"/>
        </w:rPr>
        <w:t xml:space="preserve">“</w:t>
      </w:r>
      <w:r>
        <w:rPr>
          <w:rFonts w:ascii="Times New Roman" w:hAnsi="Times New Roman"/>
        </w:rPr>
        <w:t xml:space="preserve">Capability Summary</w:t>
      </w:r>
      <w:r>
        <w:rPr>
          <w:rFonts w:ascii="Times New Roman" w:hAnsi="Times New Roman"/>
        </w:rPr>
        <w:t xml:space="preserve">”</w:t>
      </w:r>
      <w:r>
        <w:rPr>
          <w:rFonts w:ascii="Times New Roman" w:hAnsi="Times New Roman"/>
        </w:rPr>
        <w:t xml:space="preserve"> </w:t>
      </w:r>
      <w:r>
        <w:rPr>
          <w:rFonts w:ascii="Times New Roman" w:hAnsi="Times New Roman"/>
        </w:rPr>
        <w:t xml:space="preserve">prepared for Ridgeline, under the subject line</w:t>
      </w:r>
      <w:r>
        <w:rPr>
          <w:rFonts w:ascii="Times New Roman" w:hAnsi="Times New Roman"/>
        </w:rPr>
        <w:t xml:space="preserve"> </w:t>
      </w:r>
      <w:r>
        <w:rPr>
          <w:rFonts w:ascii="Times New Roman" w:hAnsi="Times New Roman"/>
        </w:rPr>
        <w:t xml:space="preserve">“</w:t>
      </w:r>
      <w:r>
        <w:rPr>
          <w:rFonts w:ascii="Times New Roman" w:hAnsi="Times New Roman"/>
        </w:rPr>
        <w:t xml:space="preserve">Follow-up: Apex Capabilities for Ridgeline ERP Initiative.</w:t>
      </w:r>
      <w:r>
        <w:rPr>
          <w:rFonts w:ascii="Times New Roman" w:hAnsi="Times New Roman"/>
        </w:rPr>
        <w:t xml:space="preserve">”</w:t>
      </w:r>
      <w:r>
        <w:rPr>
          <w:rFonts w:ascii="Times New Roman" w:hAnsi="Times New Roman"/>
        </w:rPr>
        <w:t xml:space="preserve"> </w:t>
      </w:r>
      <w:r>
        <w:rPr>
          <w:rFonts w:ascii="Times New Roman" w:hAnsi="Times New Roman"/>
        </w:rPr>
        <w:t xml:space="preserve">Mr. Kresch was aware that the Capability Summary was being sent to Ridgeline. App. Ex. 3 (APEX-000201–218); Bellingham Dep. 9:5–7 (App. Ex. 6); Kresch Dep. 28:11–13 (App. Ex. 7); Ostroff Dep. 16:1–10 (App. Ex. 5).</w:t>
      </w:r>
    </w:p>
    <w:p>
      <w:pPr>
        <w:numPr>
          <w:ilvl w:val="0"/>
          <w:numId w:val="1004"/>
        </w:numPr>
      </w:pPr>
      <w:r>
        <w:rPr>
          <w:rFonts w:ascii="Times New Roman" w:hAnsi="Times New Roman"/>
        </w:rPr>
        <w:t xml:space="preserve">Slide 6 of the Capability Summary states:</w:t>
      </w:r>
      <w:r>
        <w:rPr>
          <w:rFonts w:ascii="Times New Roman" w:hAnsi="Times New Roman"/>
        </w:rPr>
        <w:t xml:space="preserve"> </w:t>
      </w:r>
      <w:r>
        <w:rPr>
          <w:rFonts w:ascii="Times New Roman" w:hAnsi="Times New Roman"/>
        </w:rPr>
        <w:t xml:space="preserve">“</w:t>
      </w:r>
      <w:r>
        <w:rPr>
          <w:rFonts w:ascii="Times New Roman" w:hAnsi="Times New Roman"/>
        </w:rPr>
        <w:t xml:space="preserve">Ridgeline requires a partner with proven manufacturing ERP expertise, PLM integration capabilities, and aerospace quality compliance experience. Apex is that partner.</w:t>
      </w:r>
      <w:r>
        <w:rPr>
          <w:rFonts w:ascii="Times New Roman" w:hAnsi="Times New Roman"/>
        </w:rPr>
        <w:t xml:space="preserve">”</w:t>
      </w:r>
      <w:r>
        <w:rPr>
          <w:rFonts w:ascii="Times New Roman" w:hAnsi="Times New Roman"/>
        </w:rPr>
        <w:t xml:space="preserve"> </w:t>
      </w:r>
      <w:r>
        <w:rPr>
          <w:rFonts w:ascii="Times New Roman" w:hAnsi="Times New Roman"/>
        </w:rPr>
        <w:t xml:space="preserve">It lists Apex’s</w:t>
      </w:r>
      <w:r>
        <w:rPr>
          <w:rFonts w:ascii="Times New Roman" w:hAnsi="Times New Roman"/>
        </w:rPr>
        <w:t xml:space="preserve"> </w:t>
      </w:r>
      <w:r>
        <w:rPr>
          <w:rFonts w:ascii="Times New Roman" w:hAnsi="Times New Roman"/>
        </w:rPr>
        <w:t xml:space="preserve">“</w:t>
      </w:r>
      <w:r>
        <w:rPr>
          <w:rFonts w:ascii="Times New Roman" w:hAnsi="Times New Roman"/>
        </w:rPr>
        <w:t xml:space="preserve">Teamcenter integration experience</w:t>
      </w:r>
      <w:r>
        <w:rPr>
          <w:rFonts w:ascii="Times New Roman" w:hAnsi="Times New Roman"/>
        </w:rPr>
        <w:t xml:space="preserv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w:t>
      </w:r>
      <w:r>
        <w:rPr>
          <w:rFonts w:ascii="Times New Roman" w:hAnsi="Times New Roman"/>
        </w:rPr>
        <w:t xml:space="preserve">AS9100D compliance expertise</w:t>
      </w:r>
      <w:r>
        <w:rPr>
          <w:rFonts w:ascii="Times New Roman" w:hAnsi="Times New Roman"/>
        </w:rPr>
        <w:t xml:space="preserve">”</w:t>
      </w:r>
      <w:r>
        <w:rPr>
          <w:rFonts w:ascii="Times New Roman" w:hAnsi="Times New Roman"/>
        </w:rPr>
        <w:t xml:space="preserve"> </w:t>
      </w:r>
      <w:r>
        <w:rPr>
          <w:rFonts w:ascii="Times New Roman" w:hAnsi="Times New Roman"/>
        </w:rPr>
        <w:t xml:space="preserve">as two of three key differentiators. App. Ex. 3 at APEX-000206.</w:t>
      </w:r>
    </w:p>
    <w:p>
      <w:pPr>
        <w:numPr>
          <w:ilvl w:val="0"/>
          <w:numId w:val="1004"/>
        </w:numPr>
      </w:pPr>
      <w:r>
        <w:rPr>
          <w:rFonts w:ascii="Times New Roman" w:hAnsi="Times New Roman"/>
        </w:rPr>
        <w:t xml:space="preserve">Slide 7, titled</w:t>
      </w:r>
      <w:r>
        <w:rPr>
          <w:rFonts w:ascii="Times New Roman" w:hAnsi="Times New Roman"/>
        </w:rPr>
        <w:t xml:space="preserve"> </w:t>
      </w:r>
      <w:r>
        <w:rPr>
          <w:rFonts w:ascii="Times New Roman" w:hAnsi="Times New Roman"/>
        </w:rPr>
        <w:t xml:space="preserve">“</w:t>
      </w:r>
      <w:r>
        <w:rPr>
          <w:rFonts w:ascii="Times New Roman" w:hAnsi="Times New Roman"/>
        </w:rPr>
        <w:t xml:space="preserve">Teamcenter Integration Track Record,</w:t>
      </w:r>
      <w:r>
        <w:rPr>
          <w:rFonts w:ascii="Times New Roman" w:hAnsi="Times New Roman"/>
        </w:rPr>
        <w:t xml:space="preserve">”</w:t>
      </w:r>
      <w:r>
        <w:rPr>
          <w:rFonts w:ascii="Times New Roman" w:hAnsi="Times New Roman"/>
        </w:rPr>
        <w:t xml:space="preserve"> </w:t>
      </w:r>
      <w:r>
        <w:rPr>
          <w:rFonts w:ascii="Times New Roman" w:hAnsi="Times New Roman"/>
        </w:rPr>
        <w:t xml:space="preserve">states that</w:t>
      </w:r>
      <w:r>
        <w:rPr>
          <w:rFonts w:ascii="Times New Roman" w:hAnsi="Times New Roman"/>
        </w:rPr>
        <w:t xml:space="preserve"> </w:t>
      </w:r>
      <w:r>
        <w:rPr>
          <w:rFonts w:ascii="Times New Roman" w:hAnsi="Times New Roman"/>
        </w:rPr>
        <w:t xml:space="preserve">“</w:t>
      </w:r>
      <w:r>
        <w:rPr>
          <w:rFonts w:ascii="Times New Roman" w:hAnsi="Times New Roman"/>
        </w:rPr>
        <w:t xml:space="preserve">Apex has a proven track record of integrating Stratos ERP with Siemens PLM Teamcenter.</w:t>
      </w:r>
      <w:r>
        <w:rPr>
          <w:rFonts w:ascii="Times New Roman" w:hAnsi="Times New Roman"/>
        </w:rPr>
        <w:t xml:space="preserve">”</w:t>
      </w:r>
      <w:r>
        <w:rPr>
          <w:rFonts w:ascii="Times New Roman" w:hAnsi="Times New Roman"/>
        </w:rPr>
        <w:t xml:space="preserve"> </w:t>
      </w:r>
      <w:r>
        <w:rPr>
          <w:rFonts w:ascii="Times New Roman" w:hAnsi="Times New Roman"/>
        </w:rPr>
        <w:t xml:space="preserve">It describes</w:t>
      </w:r>
      <w:r>
        <w:rPr>
          <w:rFonts w:ascii="Times New Roman" w:hAnsi="Times New Roman"/>
        </w:rPr>
        <w:t xml:space="preserve"> </w:t>
      </w:r>
      <w:r>
        <w:rPr>
          <w:rFonts w:ascii="Times New Roman" w:hAnsi="Times New Roman"/>
        </w:rPr>
        <w:t xml:space="preserve">“</w:t>
      </w:r>
      <w:r>
        <w:rPr>
          <w:rFonts w:ascii="Times New Roman" w:hAnsi="Times New Roman"/>
        </w:rPr>
        <w:t xml:space="preserve">Engagement 1: Corridor Metals — Completed 2020. Full Stratos ERP implementation with bi-directional Teamcenter integration,</w:t>
      </w:r>
      <w:r>
        <w:rPr>
          <w:rFonts w:ascii="Times New Roman" w:hAnsi="Times New Roman"/>
        </w:rPr>
        <w:t xml:space="preserve">”</w:t>
      </w:r>
      <w:r>
        <w:rPr>
          <w:rFonts w:ascii="Times New Roman" w:hAnsi="Times New Roman"/>
        </w:rPr>
        <w:t xml:space="preserve"> </w:t>
      </w:r>
      <w:r>
        <w:rPr>
          <w:rFonts w:ascii="Times New Roman" w:hAnsi="Times New Roman"/>
        </w:rPr>
        <w:t xml:space="preserve">with a claimed</w:t>
      </w:r>
      <w:r>
        <w:rPr>
          <w:rFonts w:ascii="Times New Roman" w:hAnsi="Times New Roman"/>
        </w:rPr>
        <w:t xml:space="preserve"> </w:t>
      </w:r>
      <w:r>
        <w:rPr>
          <w:rFonts w:ascii="Times New Roman" w:hAnsi="Times New Roman"/>
        </w:rPr>
        <w:t xml:space="preserve">“</w:t>
      </w:r>
      <w:r>
        <w:rPr>
          <w:rFonts w:ascii="Times New Roman" w:hAnsi="Times New Roman"/>
        </w:rPr>
        <w:t xml:space="preserve">40% reduction in BOM discrepancies and 25% faster ECO processing,</w:t>
      </w:r>
      <w:r>
        <w:rPr>
          <w:rFonts w:ascii="Times New Roman" w:hAnsi="Times New Roman"/>
        </w:rPr>
        <w:t xml:space="preserv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w:t>
      </w:r>
      <w:r>
        <w:rPr>
          <w:rFonts w:ascii="Times New Roman" w:hAnsi="Times New Roman"/>
        </w:rPr>
        <w:t xml:space="preserve">Engagement 2: PrimeTech Industries — Completed 2021. Stratos ERP deployment with Teamcenter integration,</w:t>
      </w:r>
      <w:r>
        <w:rPr>
          <w:rFonts w:ascii="Times New Roman" w:hAnsi="Times New Roman"/>
        </w:rPr>
        <w:t xml:space="preserve">”</w:t>
      </w:r>
      <w:r>
        <w:rPr>
          <w:rFonts w:ascii="Times New Roman" w:hAnsi="Times New Roman"/>
        </w:rPr>
        <w:t xml:space="preserve"> </w:t>
      </w:r>
      <w:r>
        <w:rPr>
          <w:rFonts w:ascii="Times New Roman" w:hAnsi="Times New Roman"/>
        </w:rPr>
        <w:t xml:space="preserve">with a claimed saving of</w:t>
      </w:r>
      <w:r>
        <w:rPr>
          <w:rFonts w:ascii="Times New Roman" w:hAnsi="Times New Roman"/>
        </w:rPr>
        <w:t xml:space="preserve"> </w:t>
      </w:r>
      <w:r>
        <w:rPr>
          <w:rFonts w:ascii="Times New Roman" w:hAnsi="Times New Roman"/>
        </w:rPr>
        <w:t xml:space="preserve">“</w:t>
      </w:r>
      <w:r>
        <w:rPr>
          <w:rFonts w:ascii="Times New Roman" w:hAnsi="Times New Roman"/>
        </w:rPr>
        <w:t xml:space="preserve">approximately 2,000 labor hours annually.</w:t>
      </w:r>
      <w:r>
        <w:rPr>
          <w:rFonts w:ascii="Times New Roman" w:hAnsi="Times New Roman"/>
        </w:rPr>
        <w:t xml:space="preserve">”</w:t>
      </w:r>
      <w:r>
        <w:rPr>
          <w:rFonts w:ascii="Times New Roman" w:hAnsi="Times New Roman"/>
        </w:rPr>
        <w:t xml:space="preserve"> </w:t>
      </w:r>
      <w:r>
        <w:rPr>
          <w:rFonts w:ascii="Times New Roman" w:hAnsi="Times New Roman"/>
        </w:rPr>
        <w:t xml:space="preserve">App. Ex. 3 at APEX-000207.</w:t>
      </w:r>
    </w:p>
    <w:p>
      <w:pPr>
        <w:numPr>
          <w:ilvl w:val="0"/>
          <w:numId w:val="1004"/>
        </w:numPr>
      </w:pPr>
      <w:r>
        <w:rPr>
          <w:rFonts w:ascii="Times New Roman" w:hAnsi="Times New Roman"/>
        </w:rPr>
        <w:t xml:space="preserve">Slide 9, titled</w:t>
      </w:r>
      <w:r>
        <w:rPr>
          <w:rFonts w:ascii="Times New Roman" w:hAnsi="Times New Roman"/>
        </w:rPr>
        <w:t xml:space="preserve"> </w:t>
      </w:r>
      <w:r>
        <w:rPr>
          <w:rFonts w:ascii="Times New Roman" w:hAnsi="Times New Roman"/>
        </w:rPr>
        <w:t xml:space="preserve">“</w:t>
      </w:r>
      <w:r>
        <w:rPr>
          <w:rFonts w:ascii="Times New Roman" w:hAnsi="Times New Roman"/>
        </w:rPr>
        <w:t xml:space="preserve">AS9100D Compliance Expertise,</w:t>
      </w:r>
      <w:r>
        <w:rPr>
          <w:rFonts w:ascii="Times New Roman" w:hAnsi="Times New Roman"/>
        </w:rPr>
        <w:t xml:space="preserve">”</w:t>
      </w:r>
      <w:r>
        <w:rPr>
          <w:rFonts w:ascii="Times New Roman" w:hAnsi="Times New Roman"/>
        </w:rPr>
        <w:t xml:space="preserve"> </w:t>
      </w:r>
      <w:r>
        <w:rPr>
          <w:rFonts w:ascii="Times New Roman" w:hAnsi="Times New Roman"/>
        </w:rPr>
        <w:t xml:space="preserve">states that Apex</w:t>
      </w:r>
      <w:r>
        <w:rPr>
          <w:rFonts w:ascii="Times New Roman" w:hAnsi="Times New Roman"/>
        </w:rPr>
        <w:t xml:space="preserve"> </w:t>
      </w:r>
      <w:r>
        <w:rPr>
          <w:rFonts w:ascii="Times New Roman" w:hAnsi="Times New Roman"/>
        </w:rPr>
        <w:t xml:space="preserve">“</w:t>
      </w:r>
      <w:r>
        <w:rPr>
          <w:rFonts w:ascii="Times New Roman" w:hAnsi="Times New Roman"/>
        </w:rPr>
        <w:t xml:space="preserve">maintains a dedicated team of aerospace quality-management specialists</w:t>
      </w:r>
      <w:r>
        <w:rPr>
          <w:rFonts w:ascii="Times New Roman" w:hAnsi="Times New Roman"/>
        </w:rPr>
        <w:t xml:space="preserve">”</w:t>
      </w:r>
      <w:r>
        <w:rPr>
          <w:rFonts w:ascii="Times New Roman" w:hAnsi="Times New Roman"/>
        </w:rPr>
        <w:t xml:space="preserve"> </w:t>
      </w:r>
      <w:r>
        <w:rPr>
          <w:rFonts w:ascii="Times New Roman" w:hAnsi="Times New Roman"/>
        </w:rPr>
        <w:t xml:space="preserve">and represents:</w:t>
      </w:r>
      <w:r>
        <w:rPr>
          <w:rFonts w:ascii="Times New Roman" w:hAnsi="Times New Roman"/>
        </w:rPr>
        <w:t xml:space="preserve"> </w:t>
      </w:r>
      <w:r>
        <w:rPr>
          <w:rFonts w:ascii="Times New Roman" w:hAnsi="Times New Roman"/>
        </w:rPr>
        <w:t xml:space="preserve">“</w:t>
      </w:r>
      <w:r>
        <w:rPr>
          <w:rFonts w:ascii="Times New Roman" w:hAnsi="Times New Roman"/>
        </w:rPr>
        <w:t xml:space="preserve">6 Certified AS9100D Implementation Specialists on Staff.</w:t>
      </w:r>
      <w:r>
        <w:rPr>
          <w:rFonts w:ascii="Times New Roman" w:hAnsi="Times New Roman"/>
        </w:rPr>
        <w:t xml:space="preserve">”</w:t>
      </w:r>
      <w:r>
        <w:rPr>
          <w:rFonts w:ascii="Times New Roman" w:hAnsi="Times New Roman"/>
        </w:rPr>
        <w:t xml:space="preserve"> </w:t>
      </w:r>
      <w:r>
        <w:rPr>
          <w:rFonts w:ascii="Times New Roman" w:hAnsi="Times New Roman"/>
        </w:rPr>
        <w:t xml:space="preserve">App. Ex. 3 at APEX-000209; Bellingham Dep. 33:1–4 (App. Ex. 6); Kresch Dep. 15:1–4 (App. Ex. 7).</w:t>
      </w:r>
    </w:p>
    <w:p>
      <w:pPr>
        <w:numPr>
          <w:ilvl w:val="0"/>
          <w:numId w:val="1004"/>
        </w:numPr>
      </w:pPr>
      <w:r>
        <w:rPr>
          <w:rFonts w:ascii="Times New Roman" w:hAnsi="Times New Roman"/>
        </w:rPr>
        <w:t xml:space="preserve">Slide 12,</w:t>
      </w:r>
      <w:r>
        <w:rPr>
          <w:rFonts w:ascii="Times New Roman" w:hAnsi="Times New Roman"/>
        </w:rPr>
        <w:t xml:space="preserve"> </w:t>
      </w:r>
      <w:r>
        <w:rPr>
          <w:rFonts w:ascii="Times New Roman" w:hAnsi="Times New Roman"/>
        </w:rPr>
        <w:t xml:space="preserve">“</w:t>
      </w:r>
      <w:r>
        <w:rPr>
          <w:rFonts w:ascii="Times New Roman" w:hAnsi="Times New Roman"/>
        </w:rPr>
        <w:t xml:space="preserve">Your Apex Team,</w:t>
      </w:r>
      <w:r>
        <w:rPr>
          <w:rFonts w:ascii="Times New Roman" w:hAnsi="Times New Roman"/>
        </w:rPr>
        <w:t xml:space="preserve">”</w:t>
      </w:r>
      <w:r>
        <w:rPr>
          <w:rFonts w:ascii="Times New Roman" w:hAnsi="Times New Roman"/>
        </w:rPr>
        <w:t xml:space="preserve"> </w:t>
      </w:r>
      <w:r>
        <w:rPr>
          <w:rFonts w:ascii="Times New Roman" w:hAnsi="Times New Roman"/>
        </w:rPr>
        <w:t xml:space="preserve">identifies Gerald Frisk as Apex’s</w:t>
      </w:r>
      <w:r>
        <w:rPr>
          <w:rFonts w:ascii="Times New Roman" w:hAnsi="Times New Roman"/>
        </w:rPr>
        <w:t xml:space="preserve"> </w:t>
      </w:r>
      <w:r>
        <w:rPr>
          <w:rFonts w:ascii="Times New Roman" w:hAnsi="Times New Roman"/>
        </w:rPr>
        <w:t xml:space="preserve">“</w:t>
      </w:r>
      <w:r>
        <w:rPr>
          <w:rFonts w:ascii="Times New Roman" w:hAnsi="Times New Roman"/>
        </w:rPr>
        <w:t xml:space="preserve">AS9100D Quality Lead</w:t>
      </w:r>
      <w:r>
        <w:rPr>
          <w:rFonts w:ascii="Times New Roman" w:hAnsi="Times New Roman"/>
        </w:rPr>
        <w:t xml:space="preserve">”</w:t>
      </w:r>
      <w:r>
        <w:rPr>
          <w:rFonts w:ascii="Times New Roman" w:hAnsi="Times New Roman"/>
        </w:rPr>
        <w:t xml:space="preserve"> </w:t>
      </w:r>
      <w:r>
        <w:rPr>
          <w:rFonts w:ascii="Times New Roman" w:hAnsi="Times New Roman"/>
        </w:rPr>
        <w:t xml:space="preserve">for the Ridgeline engagement. App. Ex. 3 at APEX-000212.</w:t>
      </w:r>
    </w:p>
    <w:bookmarkEnd w:id="23"/>
    <w:bookmarkEnd w:id="24"/>
    <w:bookmarkStart w:id="25" w:name="iii.-the-representations-were-false"/>
    <w:p>
      <w:pPr>
        <w:pStyle w:val="Heading1"/>
      </w:pPr>
      <w:r>
        <w:rPr>
          <w:rFonts w:ascii="Times New Roman" w:hAnsi="Times New Roman"/>
        </w:rPr>
        <w:t xml:space="preserve">III. THE REPRESENTATIONS WERE FALSE</w:t>
      </w:r>
    </w:p>
    <w:p>
      <w:pPr>
        <w:numPr>
          <w:ilvl w:val="0"/>
          <w:numId w:val="1005"/>
        </w:numPr>
      </w:pPr>
      <w:r>
        <w:rPr>
          <w:rFonts w:ascii="Times New Roman" w:hAnsi="Times New Roman"/>
        </w:rPr>
        <w:t xml:space="preserve">Before the Ridgeline engagement, Apex had never performed a Siemens Teamcenter integration for any client. Ostroff Dep. 25:12–21 (App. Ex. 5); Bellingham Dep. 20:4–9 (App. Ex. 6) (</w:t>
      </w:r>
      <w:r>
        <w:rPr>
          <w:rFonts w:ascii="Times New Roman" w:hAnsi="Times New Roman"/>
        </w:rPr>
        <w:t xml:space="preserve">“</w:t>
      </w:r>
      <w:r>
        <w:rPr>
          <w:rFonts w:ascii="Times New Roman" w:hAnsi="Times New Roman"/>
        </w:rPr>
        <w:t xml:space="preserve">[W]e never actually performed a Teamcenter integration for anyone before Ridgeline.</w:t>
      </w:r>
      <w:r>
        <w:rPr>
          <w:rFonts w:ascii="Times New Roman" w:hAnsi="Times New Roman"/>
        </w:rPr>
        <w:t xml:space="preserve">”</w:t>
      </w:r>
      <w:r>
        <w:rPr>
          <w:rFonts w:ascii="Times New Roman" w:hAnsi="Times New Roman"/>
        </w:rPr>
        <w:t xml:space="preserve">).</w:t>
      </w:r>
    </w:p>
    <w:p>
      <w:pPr>
        <w:numPr>
          <w:ilvl w:val="0"/>
          <w:numId w:val="1005"/>
        </w:numPr>
      </w:pPr>
      <w:r>
        <w:rPr>
          <w:rFonts w:ascii="Times New Roman" w:hAnsi="Times New Roman"/>
        </w:rPr>
        <w:t xml:space="preserve">Apex did not perform a Teamcenter integration for Corridor Metals. Corridor Metals used SAP, not Stratos, and Apex did no Teamcenter work for it. Ostroff Dep. 23:14–24:11 (App. Ex. 5); Bellingham Dep. 18:12–19:11 (App. Ex. 6).</w:t>
      </w:r>
    </w:p>
    <w:p>
      <w:pPr>
        <w:numPr>
          <w:ilvl w:val="0"/>
          <w:numId w:val="1005"/>
        </w:numPr>
      </w:pPr>
      <w:r>
        <w:rPr>
          <w:rFonts w:ascii="Times New Roman" w:hAnsi="Times New Roman"/>
        </w:rPr>
        <w:t xml:space="preserve">Apex did not perform a Teamcenter integration for PrimeTech Industries. Apex’s PrimeTech engagement was a consulting assessment involving, at most, early-stage scoping of what a Teamcenter integration might look like. Ostroff Dep. 24:12–25:10 (App. Ex. 5); Bellingham Dep. 19:12–20:3 (App. Ex. 6).</w:t>
      </w:r>
    </w:p>
    <w:p>
      <w:pPr>
        <w:numPr>
          <w:ilvl w:val="0"/>
          <w:numId w:val="1005"/>
        </w:numPr>
      </w:pPr>
      <w:r>
        <w:rPr>
          <w:rFonts w:ascii="Times New Roman" w:hAnsi="Times New Roman"/>
        </w:rPr>
        <w:t xml:space="preserve">Asked whether Slide 7 was accurate, Ms. Bellingham testified:</w:t>
      </w:r>
      <w:r>
        <w:rPr>
          <w:rFonts w:ascii="Times New Roman" w:hAnsi="Times New Roman"/>
        </w:rPr>
        <w:t xml:space="preserve"> </w:t>
      </w:r>
      <w:r>
        <w:rPr>
          <w:rFonts w:ascii="Times New Roman" w:hAnsi="Times New Roman"/>
        </w:rPr>
        <w:t xml:space="preserve">“</w:t>
      </w:r>
      <w:r>
        <w:rPr>
          <w:rFonts w:ascii="Times New Roman" w:hAnsi="Times New Roman"/>
        </w:rPr>
        <w:t xml:space="preserve">I may have overstated our experience,</w:t>
      </w:r>
      <w:r>
        <w:rPr>
          <w:rFonts w:ascii="Times New Roman" w:hAnsi="Times New Roman"/>
        </w:rPr>
        <w:t xml:space="preserv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w:t>
      </w:r>
      <w:r>
        <w:rPr>
          <w:rFonts w:ascii="Times New Roman" w:hAnsi="Times New Roman"/>
        </w:rPr>
        <w:t xml:space="preserve">it wasn’t entirely accurate.</w:t>
      </w:r>
      <w:r>
        <w:rPr>
          <w:rFonts w:ascii="Times New Roman" w:hAnsi="Times New Roman"/>
        </w:rPr>
        <w:t xml:space="preserve">”</w:t>
      </w:r>
      <w:r>
        <w:rPr>
          <w:rFonts w:ascii="Times New Roman" w:hAnsi="Times New Roman"/>
        </w:rPr>
        <w:t xml:space="preserve"> </w:t>
      </w:r>
      <w:r>
        <w:rPr>
          <w:rFonts w:ascii="Times New Roman" w:hAnsi="Times New Roman"/>
        </w:rPr>
        <w:t xml:space="preserve">She also conceded that Apex never performed a Teamcenter integration for either client she identified to Mr. Szymanski on February 14, 2022. Bellingham Dep. 20:10–21:20 (App. Ex. 6). Mr. Ostroff testified that the listings of both Corridor Metals and PrimeTech on Slide 7 were inaccurate. Ostroff Dep. 24:9–11, 25:8–10 (App. Ex. 5).</w:t>
      </w:r>
    </w:p>
    <w:p>
      <w:pPr>
        <w:numPr>
          <w:ilvl w:val="0"/>
          <w:numId w:val="1005"/>
        </w:numPr>
      </w:pPr>
      <w:r>
        <w:rPr>
          <w:rFonts w:ascii="Times New Roman" w:hAnsi="Times New Roman"/>
        </w:rPr>
        <w:t xml:space="preserve">On February 22, 2022, when the Capability Summary was sent, Apex had one AS9100D-certified employee on staff — Gerald Frisk — not six. Kresch Dep. 15:5–16:11 (App. Ex. 7);</w:t>
      </w:r>
      <w:r>
        <w:rPr>
          <w:rFonts w:ascii="Times New Roman" w:hAnsi="Times New Roman"/>
        </w:rPr>
        <w:t xml:space="preserve"> </w:t>
      </w:r>
      <w:r>
        <w:rPr>
          <w:rFonts w:ascii="Times New Roman" w:hAnsi="Times New Roman"/>
          <w:i/>
          <w:iCs/>
        </w:rPr>
        <w:t xml:space="preserve">see also</w:t>
      </w:r>
      <w:r>
        <w:rPr>
          <w:rFonts w:ascii="Times New Roman" w:hAnsi="Times New Roman"/>
        </w:rPr>
        <w:t xml:space="preserve"> </w:t>
      </w:r>
      <w:r>
        <w:rPr>
          <w:rFonts w:ascii="Times New Roman" w:hAnsi="Times New Roman"/>
        </w:rPr>
        <w:t xml:space="preserve">Bellingham Dep. 33:5–34:11 (App. Ex. 6) (identifying only Mr. Frisk and stating she</w:t>
      </w:r>
      <w:r>
        <w:rPr>
          <w:rFonts w:ascii="Times New Roman" w:hAnsi="Times New Roman"/>
        </w:rPr>
        <w:t xml:space="preserve"> </w:t>
      </w:r>
      <w:r>
        <w:rPr>
          <w:rFonts w:ascii="Times New Roman" w:hAnsi="Times New Roman"/>
        </w:rPr>
        <w:t xml:space="preserve">“</w:t>
      </w:r>
      <w:r>
        <w:rPr>
          <w:rFonts w:ascii="Times New Roman" w:hAnsi="Times New Roman"/>
        </w:rPr>
        <w:t xml:space="preserve">can’t confirm there were six certified specialists at that time</w:t>
      </w:r>
      <w:r>
        <w:rPr>
          <w:rFonts w:ascii="Times New Roman" w:hAnsi="Times New Roman"/>
        </w:rPr>
        <w:t xml:space="preserve">”</w:t>
      </w:r>
      <w:r>
        <w:rPr>
          <w:rFonts w:ascii="Times New Roman" w:hAnsi="Times New Roman"/>
        </w:rPr>
        <w:t xml:space="preserve">).</w:t>
      </w:r>
    </w:p>
    <w:p>
      <w:pPr>
        <w:numPr>
          <w:ilvl w:val="0"/>
          <w:numId w:val="1005"/>
        </w:numPr>
      </w:pPr>
      <w:r>
        <w:rPr>
          <w:rFonts w:ascii="Times New Roman" w:hAnsi="Times New Roman"/>
        </w:rPr>
        <w:t xml:space="preserve">Mr. Kresch testified that the</w:t>
      </w:r>
      <w:r>
        <w:rPr>
          <w:rFonts w:ascii="Times New Roman" w:hAnsi="Times New Roman"/>
        </w:rPr>
        <w:t xml:space="preserve"> </w:t>
      </w:r>
      <w:r>
        <w:rPr>
          <w:rFonts w:ascii="Times New Roman" w:hAnsi="Times New Roman"/>
        </w:rPr>
        <w:t xml:space="preserve">“</w:t>
      </w:r>
      <w:r>
        <w:rPr>
          <w:rFonts w:ascii="Times New Roman" w:hAnsi="Times New Roman"/>
        </w:rPr>
        <w:t xml:space="preserve">6 certified specialists</w:t>
      </w:r>
      <w:r>
        <w:rPr>
          <w:rFonts w:ascii="Times New Roman" w:hAnsi="Times New Roman"/>
        </w:rPr>
        <w:t xml:space="preserve">”</w:t>
      </w:r>
      <w:r>
        <w:rPr>
          <w:rFonts w:ascii="Times New Roman" w:hAnsi="Times New Roman"/>
        </w:rPr>
        <w:t xml:space="preserve"> </w:t>
      </w:r>
      <w:r>
        <w:rPr>
          <w:rFonts w:ascii="Times New Roman" w:hAnsi="Times New Roman"/>
        </w:rPr>
        <w:t xml:space="preserve">statement</w:t>
      </w:r>
      <w:r>
        <w:rPr>
          <w:rFonts w:ascii="Times New Roman" w:hAnsi="Times New Roman"/>
        </w:rPr>
        <w:t xml:space="preserve"> </w:t>
      </w:r>
      <w:r>
        <w:rPr>
          <w:rFonts w:ascii="Times New Roman" w:hAnsi="Times New Roman"/>
        </w:rPr>
        <w:t xml:space="preserve">“</w:t>
      </w:r>
      <w:r>
        <w:rPr>
          <w:rFonts w:ascii="Times New Roman" w:hAnsi="Times New Roman"/>
        </w:rPr>
        <w:t xml:space="preserve">was aspirational — we were planning to hire more AS9100D people,</w:t>
      </w:r>
      <w:r>
        <w:rPr>
          <w:rFonts w:ascii="Times New Roman" w:hAnsi="Times New Roman"/>
        </w:rPr>
        <w:t xml:space="preserve">”</w:t>
      </w:r>
      <w:r>
        <w:rPr>
          <w:rFonts w:ascii="Times New Roman" w:hAnsi="Times New Roman"/>
        </w:rPr>
        <w:t xml:space="preserve"> </w:t>
      </w:r>
      <w:r>
        <w:rPr>
          <w:rFonts w:ascii="Times New Roman" w:hAnsi="Times New Roman"/>
        </w:rPr>
        <w:t xml:space="preserve">and agreed that when the slide was sent Apex</w:t>
      </w:r>
      <w:r>
        <w:rPr>
          <w:rFonts w:ascii="Times New Roman" w:hAnsi="Times New Roman"/>
        </w:rPr>
        <w:t xml:space="preserve"> </w:t>
      </w:r>
      <w:r>
        <w:rPr>
          <w:rFonts w:ascii="Times New Roman" w:hAnsi="Times New Roman"/>
        </w:rPr>
        <w:t xml:space="preserve">“</w:t>
      </w:r>
      <w:r>
        <w:rPr>
          <w:rFonts w:ascii="Times New Roman" w:hAnsi="Times New Roman"/>
        </w:rPr>
        <w:t xml:space="preserve">had one certified specialist, not six.</w:t>
      </w:r>
      <w:r>
        <w:rPr>
          <w:rFonts w:ascii="Times New Roman" w:hAnsi="Times New Roman"/>
        </w:rPr>
        <w:t xml:space="preserve">”</w:t>
      </w:r>
      <w:r>
        <w:rPr>
          <w:rFonts w:ascii="Times New Roman" w:hAnsi="Times New Roman"/>
        </w:rPr>
        <w:t xml:space="preserve"> </w:t>
      </w:r>
      <w:r>
        <w:rPr>
          <w:rFonts w:ascii="Times New Roman" w:hAnsi="Times New Roman"/>
        </w:rPr>
        <w:t xml:space="preserve">Kresch Dep. 16:1–11 (App. Ex. 7). Ms. Bellingham testified that</w:t>
      </w:r>
      <w:r>
        <w:rPr>
          <w:rFonts w:ascii="Times New Roman" w:hAnsi="Times New Roman"/>
        </w:rPr>
        <w:t xml:space="preserve"> </w:t>
      </w:r>
      <w:r>
        <w:rPr>
          <w:rFonts w:ascii="Times New Roman" w:hAnsi="Times New Roman"/>
        </w:rPr>
        <w:t xml:space="preserve">“</w:t>
      </w:r>
      <w:r>
        <w:rPr>
          <w:rFonts w:ascii="Times New Roman" w:hAnsi="Times New Roman"/>
        </w:rPr>
        <w:t xml:space="preserve">the intent was to reflect our planned team capacity.</w:t>
      </w:r>
      <w:r>
        <w:rPr>
          <w:rFonts w:ascii="Times New Roman" w:hAnsi="Times New Roman"/>
        </w:rPr>
        <w:t xml:space="preserve">”</w:t>
      </w:r>
      <w:r>
        <w:rPr>
          <w:rFonts w:ascii="Times New Roman" w:hAnsi="Times New Roman"/>
        </w:rPr>
        <w:t xml:space="preserve"> </w:t>
      </w:r>
      <w:r>
        <w:rPr>
          <w:rFonts w:ascii="Times New Roman" w:hAnsi="Times New Roman"/>
        </w:rPr>
        <w:t xml:space="preserve">Bellingham Dep. 34:4–11 (App. Ex. 6).</w:t>
      </w:r>
    </w:p>
    <w:p>
      <w:pPr>
        <w:numPr>
          <w:ilvl w:val="0"/>
          <w:numId w:val="1005"/>
        </w:numPr>
      </w:pPr>
      <w:r>
        <w:rPr>
          <w:rFonts w:ascii="Times New Roman" w:hAnsi="Times New Roman"/>
        </w:rPr>
        <w:t xml:space="preserve">Neither Apex witness could identify any additional AS9100D-certified specialist hired before Mr. Frisk’s departure. Kresch Dep. 16:12–17 (App. Ex. 7); Bellingham Dep. 34:1–3, 34:16–20 (App. Ex. 6).</w:t>
      </w:r>
    </w:p>
    <w:bookmarkEnd w:id="25"/>
    <w:bookmarkStart w:id="26" w:name="iv.-apexs-knowledge-and-motive"/>
    <w:p>
      <w:pPr>
        <w:pStyle w:val="Heading1"/>
      </w:pPr>
      <w:r>
        <w:rPr>
          <w:rFonts w:ascii="Times New Roman" w:hAnsi="Times New Roman"/>
        </w:rPr>
        <w:t xml:space="preserve">IV. APEX’S KNOWLEDGE AND MOTIVE</w:t>
      </w:r>
    </w:p>
    <w:p>
      <w:pPr>
        <w:numPr>
          <w:ilvl w:val="0"/>
          <w:numId w:val="1006"/>
        </w:numPr>
      </w:pPr>
      <w:r>
        <w:rPr>
          <w:rFonts w:ascii="Times New Roman" w:hAnsi="Times New Roman"/>
        </w:rPr>
        <w:t xml:space="preserve">Mr. Ostroff reviewed the Proposal before it was submitted to Ridgeline, including the page 12 Teamcenter language. Ostroff Dep. 15:7–18 (App. Ex. 5).</w:t>
      </w:r>
    </w:p>
    <w:p>
      <w:pPr>
        <w:numPr>
          <w:ilvl w:val="0"/>
          <w:numId w:val="1006"/>
        </w:numPr>
      </w:pPr>
      <w:r>
        <w:rPr>
          <w:rFonts w:ascii="Times New Roman" w:hAnsi="Times New Roman"/>
        </w:rPr>
        <w:t xml:space="preserve">Before the Proposal was submitted, Mr. Ostroff</w:t>
      </w:r>
      <w:r>
        <w:rPr>
          <w:rFonts w:ascii="Times New Roman" w:hAnsi="Times New Roman"/>
        </w:rPr>
        <w:t xml:space="preserve"> </w:t>
      </w:r>
      <w:r>
        <w:rPr>
          <w:rFonts w:ascii="Times New Roman" w:hAnsi="Times New Roman"/>
        </w:rPr>
        <w:t xml:space="preserve">“</w:t>
      </w:r>
      <w:r>
        <w:rPr>
          <w:rFonts w:ascii="Times New Roman" w:hAnsi="Times New Roman"/>
        </w:rPr>
        <w:t xml:space="preserve">flagged concerns</w:t>
      </w:r>
      <w:r>
        <w:rPr>
          <w:rFonts w:ascii="Times New Roman" w:hAnsi="Times New Roman"/>
        </w:rPr>
        <w:t xml:space="preserve">”</w:t>
      </w:r>
      <w:r>
        <w:rPr>
          <w:rFonts w:ascii="Times New Roman" w:hAnsi="Times New Roman"/>
        </w:rPr>
        <w:t xml:space="preserve"> </w:t>
      </w:r>
      <w:r>
        <w:rPr>
          <w:rFonts w:ascii="Times New Roman" w:hAnsi="Times New Roman"/>
        </w:rPr>
        <w:t xml:space="preserve">to Ms. Bellingham regarding the Teamcenter representations. Ms. Bellingham responded, in words or substance, that</w:t>
      </w:r>
      <w:r>
        <w:rPr>
          <w:rFonts w:ascii="Times New Roman" w:hAnsi="Times New Roman"/>
        </w:rPr>
        <w:t xml:space="preserve"> </w:t>
      </w:r>
      <w:r>
        <w:rPr>
          <w:rFonts w:ascii="Times New Roman" w:hAnsi="Times New Roman"/>
        </w:rPr>
        <w:t xml:space="preserve">“</w:t>
      </w:r>
      <w:r>
        <w:rPr>
          <w:rFonts w:ascii="Times New Roman" w:hAnsi="Times New Roman"/>
        </w:rPr>
        <w:t xml:space="preserve">we’ll figure it out and that the sales team handles the proposal language.</w:t>
      </w:r>
      <w:r>
        <w:rPr>
          <w:rFonts w:ascii="Times New Roman" w:hAnsi="Times New Roman"/>
        </w:rPr>
        <w:t xml:space="preserve">”</w:t>
      </w:r>
      <w:r>
        <w:rPr>
          <w:rFonts w:ascii="Times New Roman" w:hAnsi="Times New Roman"/>
        </w:rPr>
        <w:t xml:space="preserve"> </w:t>
      </w:r>
      <w:r>
        <w:rPr>
          <w:rFonts w:ascii="Times New Roman" w:hAnsi="Times New Roman"/>
        </w:rPr>
        <w:t xml:space="preserve">Ostroff Dep. 26:1–13 (App. Ex. 5).</w:t>
      </w:r>
    </w:p>
    <w:p>
      <w:pPr>
        <w:numPr>
          <w:ilvl w:val="0"/>
          <w:numId w:val="1006"/>
        </w:numPr>
      </w:pPr>
      <w:r>
        <w:rPr>
          <w:rFonts w:ascii="Times New Roman" w:hAnsi="Times New Roman"/>
        </w:rPr>
        <w:t xml:space="preserve">Mr. Ostroff</w:t>
      </w:r>
      <w:r>
        <w:rPr>
          <w:rFonts w:ascii="Times New Roman" w:hAnsi="Times New Roman"/>
        </w:rPr>
        <w:t xml:space="preserve"> </w:t>
      </w:r>
      <w:r>
        <w:rPr>
          <w:rFonts w:ascii="Times New Roman" w:hAnsi="Times New Roman"/>
        </w:rPr>
        <w:t xml:space="preserve">“</w:t>
      </w:r>
      <w:r>
        <w:rPr>
          <w:rFonts w:ascii="Times New Roman" w:hAnsi="Times New Roman"/>
        </w:rPr>
        <w:t xml:space="preserve">knew we hadn’t done those integrations,</w:t>
      </w:r>
      <w:r>
        <w:rPr>
          <w:rFonts w:ascii="Times New Roman" w:hAnsi="Times New Roman"/>
        </w:rPr>
        <w:t xml:space="preserve">”</w:t>
      </w:r>
      <w:r>
        <w:rPr>
          <w:rFonts w:ascii="Times New Roman" w:hAnsi="Times New Roman"/>
        </w:rPr>
        <w:t xml:space="preserve"> </w:t>
      </w:r>
      <w:r>
        <w:rPr>
          <w:rFonts w:ascii="Times New Roman" w:hAnsi="Times New Roman"/>
        </w:rPr>
        <w:t xml:space="preserve">and took no steps to correct the Proposal. Ostroff Dep. 27:1–11 (App. Ex. 5).</w:t>
      </w:r>
    </w:p>
    <w:p>
      <w:pPr>
        <w:numPr>
          <w:ilvl w:val="0"/>
          <w:numId w:val="1006"/>
        </w:numPr>
      </w:pPr>
      <w:r>
        <w:rPr>
          <w:rFonts w:ascii="Times New Roman" w:hAnsi="Times New Roman"/>
        </w:rPr>
        <w:t xml:space="preserve">Mr. Kresch reviewed the Proposal and was</w:t>
      </w:r>
      <w:r>
        <w:rPr>
          <w:rFonts w:ascii="Times New Roman" w:hAnsi="Times New Roman"/>
        </w:rPr>
        <w:t xml:space="preserve"> </w:t>
      </w:r>
      <w:r>
        <w:rPr>
          <w:rFonts w:ascii="Times New Roman" w:hAnsi="Times New Roman"/>
        </w:rPr>
        <w:t xml:space="preserve">“</w:t>
      </w:r>
      <w:r>
        <w:rPr>
          <w:rFonts w:ascii="Times New Roman" w:hAnsi="Times New Roman"/>
        </w:rPr>
        <w:t xml:space="preserve">aware of the general content,</w:t>
      </w:r>
      <w:r>
        <w:rPr>
          <w:rFonts w:ascii="Times New Roman" w:hAnsi="Times New Roman"/>
        </w:rPr>
        <w:t xml:space="preserve">”</w:t>
      </w:r>
      <w:r>
        <w:rPr>
          <w:rFonts w:ascii="Times New Roman" w:hAnsi="Times New Roman"/>
        </w:rPr>
        <w:t xml:space="preserve"> </w:t>
      </w:r>
      <w:r>
        <w:rPr>
          <w:rFonts w:ascii="Times New Roman" w:hAnsi="Times New Roman"/>
        </w:rPr>
        <w:t xml:space="preserve">including the Teamcenter and AS9100D claims, and testified that he</w:t>
      </w:r>
      <w:r>
        <w:rPr>
          <w:rFonts w:ascii="Times New Roman" w:hAnsi="Times New Roman"/>
        </w:rPr>
        <w:t xml:space="preserve"> </w:t>
      </w:r>
      <w:r>
        <w:rPr>
          <w:rFonts w:ascii="Times New Roman" w:hAnsi="Times New Roman"/>
        </w:rPr>
        <w:t xml:space="preserve">“</w:t>
      </w:r>
      <w:r>
        <w:rPr>
          <w:rFonts w:ascii="Times New Roman" w:hAnsi="Times New Roman"/>
        </w:rPr>
        <w:t xml:space="preserve">may have glanced at</w:t>
      </w:r>
      <w:r>
        <w:rPr>
          <w:rFonts w:ascii="Times New Roman" w:hAnsi="Times New Roman"/>
        </w:rPr>
        <w:t xml:space="preserve">”</w:t>
      </w:r>
      <w:r>
        <w:rPr>
          <w:rFonts w:ascii="Times New Roman" w:hAnsi="Times New Roman"/>
        </w:rPr>
        <w:t xml:space="preserve"> </w:t>
      </w:r>
      <w:r>
        <w:rPr>
          <w:rFonts w:ascii="Times New Roman" w:hAnsi="Times New Roman"/>
        </w:rPr>
        <w:t xml:space="preserve">Slide 7 before the Capability Summary was sent. Kresch Dep. 28:1–29:3 (App. Ex. 7).</w:t>
      </w:r>
    </w:p>
    <w:p>
      <w:pPr>
        <w:numPr>
          <w:ilvl w:val="0"/>
          <w:numId w:val="1006"/>
        </w:numPr>
      </w:pPr>
      <w:r>
        <w:rPr>
          <w:rFonts w:ascii="Times New Roman" w:hAnsi="Times New Roman"/>
        </w:rPr>
        <w:t xml:space="preserve">Minutes of Apex’s January 2022 board of directors meeting reference a</w:t>
      </w:r>
      <w:r>
        <w:rPr>
          <w:rFonts w:ascii="Times New Roman" w:hAnsi="Times New Roman"/>
        </w:rPr>
        <w:t xml:space="preserve"> </w:t>
      </w:r>
      <w:r>
        <w:rPr>
          <w:rFonts w:ascii="Times New Roman" w:hAnsi="Times New Roman"/>
        </w:rPr>
        <w:t xml:space="preserve">“</w:t>
      </w:r>
      <w:r>
        <w:rPr>
          <w:rFonts w:ascii="Times New Roman" w:hAnsi="Times New Roman"/>
        </w:rPr>
        <w:t xml:space="preserve">cash-flow shortfall</w:t>
      </w:r>
      <w:r>
        <w:rPr>
          <w:rFonts w:ascii="Times New Roman" w:hAnsi="Times New Roman"/>
        </w:rPr>
        <w:t xml:space="preserve">”</w:t>
      </w:r>
      <w:r>
        <w:rPr>
          <w:rFonts w:ascii="Times New Roman" w:hAnsi="Times New Roman"/>
        </w:rPr>
        <w:t xml:space="preserve"> </w:t>
      </w:r>
      <w:r>
        <w:rPr>
          <w:rFonts w:ascii="Times New Roman" w:hAnsi="Times New Roman"/>
        </w:rPr>
        <w:t xml:space="preserve">and state that Apex needed to</w:t>
      </w:r>
      <w:r>
        <w:rPr>
          <w:rFonts w:ascii="Times New Roman" w:hAnsi="Times New Roman"/>
        </w:rPr>
        <w:t xml:space="preserve"> </w:t>
      </w:r>
      <w:r>
        <w:rPr>
          <w:rFonts w:ascii="Times New Roman" w:hAnsi="Times New Roman"/>
        </w:rPr>
        <w:t xml:space="preserve">“</w:t>
      </w:r>
      <w:r>
        <w:rPr>
          <w:rFonts w:ascii="Times New Roman" w:hAnsi="Times New Roman"/>
        </w:rPr>
        <w:t xml:space="preserve">close at least $2.5 million in new contracts by Q1 2022 to meet loan covenants</w:t>
      </w:r>
      <w:r>
        <w:rPr>
          <w:rFonts w:ascii="Times New Roman" w:hAnsi="Times New Roman"/>
        </w:rPr>
        <w:t xml:space="preserve">”</w:t>
      </w:r>
      <w:r>
        <w:rPr>
          <w:rFonts w:ascii="Times New Roman" w:hAnsi="Times New Roman"/>
        </w:rPr>
        <w:t xml:space="preserve"> </w:t>
      </w:r>
      <w:r>
        <w:rPr>
          <w:rFonts w:ascii="Times New Roman" w:hAnsi="Times New Roman"/>
        </w:rPr>
        <w:t xml:space="preserve">with Piedmont Capital Finance. Kresch Dep. 37:1–14 (App. Ex. 7); App. Ex. 22.</w:t>
      </w:r>
    </w:p>
    <w:p>
      <w:pPr>
        <w:numPr>
          <w:ilvl w:val="0"/>
          <w:numId w:val="1006"/>
        </w:numPr>
      </w:pPr>
      <w:r>
        <w:rPr>
          <w:rFonts w:ascii="Times New Roman" w:hAnsi="Times New Roman"/>
        </w:rPr>
        <w:t xml:space="preserve">The $2,850,000 Ridgeline engagement was the largest pending opportunity in Apex’s pipeline, and on its own exceeded the $2.5 million covenant threshold. Kresch Dep. 38:1–39:3 (App. Ex. 7); Bellingham Dep. 43:1–3 (App. Ex. 6).</w:t>
      </w:r>
    </w:p>
    <w:bookmarkEnd w:id="26"/>
    <w:bookmarkStart w:id="27" w:name="v.-ridgelines-reliance"/>
    <w:p>
      <w:pPr>
        <w:pStyle w:val="Heading1"/>
      </w:pPr>
      <w:r>
        <w:rPr>
          <w:rFonts w:ascii="Times New Roman" w:hAnsi="Times New Roman"/>
        </w:rPr>
        <w:t xml:space="preserve">V. RIDGELINE’S RELIANCE</w:t>
      </w:r>
    </w:p>
    <w:p>
      <w:pPr>
        <w:numPr>
          <w:ilvl w:val="0"/>
          <w:numId w:val="1007"/>
        </w:numPr>
      </w:pPr>
      <w:r>
        <w:rPr>
          <w:rFonts w:ascii="Times New Roman" w:hAnsi="Times New Roman"/>
        </w:rPr>
        <w:t xml:space="preserve">Mr. Szymanski did not independently verify the Corridor Metals and PrimeTech claims; he</w:t>
      </w:r>
      <w:r>
        <w:rPr>
          <w:rFonts w:ascii="Times New Roman" w:hAnsi="Times New Roman"/>
        </w:rPr>
        <w:t xml:space="preserve"> </w:t>
      </w:r>
      <w:r>
        <w:rPr>
          <w:rFonts w:ascii="Times New Roman" w:hAnsi="Times New Roman"/>
        </w:rPr>
        <w:t xml:space="preserve">“</w:t>
      </w:r>
      <w:r>
        <w:rPr>
          <w:rFonts w:ascii="Times New Roman" w:hAnsi="Times New Roman"/>
        </w:rPr>
        <w:t xml:space="preserve">relied on what Apex told me.</w:t>
      </w:r>
      <w:r>
        <w:rPr>
          <w:rFonts w:ascii="Times New Roman" w:hAnsi="Times New Roman"/>
        </w:rPr>
        <w:t xml:space="preserve">”</w:t>
      </w:r>
      <w:r>
        <w:rPr>
          <w:rFonts w:ascii="Times New Roman" w:hAnsi="Times New Roman"/>
        </w:rPr>
        <w:t xml:space="preserve"> </w:t>
      </w:r>
      <w:r>
        <w:rPr>
          <w:rFonts w:ascii="Times New Roman" w:hAnsi="Times New Roman"/>
        </w:rPr>
        <w:t xml:space="preserve">He testified:</w:t>
      </w:r>
      <w:r>
        <w:rPr>
          <w:rFonts w:ascii="Times New Roman" w:hAnsi="Times New Roman"/>
        </w:rPr>
        <w:t xml:space="preserve"> </w:t>
      </w:r>
      <w:r>
        <w:rPr>
          <w:rFonts w:ascii="Times New Roman" w:hAnsi="Times New Roman"/>
        </w:rPr>
        <w:t xml:space="preserve">“</w:t>
      </w:r>
      <w:r>
        <w:rPr>
          <w:rFonts w:ascii="Times New Roman" w:hAnsi="Times New Roman"/>
        </w:rPr>
        <w:t xml:space="preserve">I’m not an expert in Teamcenter APIs — that’s exactly why we hired someone who said they were. We relied on the vendor’s representations about their own capabilities.</w:t>
      </w:r>
      <w:r>
        <w:rPr>
          <w:rFonts w:ascii="Times New Roman" w:hAnsi="Times New Roman"/>
        </w:rPr>
        <w:t xml:space="preserve">”</w:t>
      </w:r>
      <w:r>
        <w:rPr>
          <w:rFonts w:ascii="Times New Roman" w:hAnsi="Times New Roman"/>
        </w:rPr>
        <w:t xml:space="preserve"> </w:t>
      </w:r>
      <w:r>
        <w:rPr>
          <w:rFonts w:ascii="Times New Roman" w:hAnsi="Times New Roman"/>
        </w:rPr>
        <w:t xml:space="preserve">Szymanski Dep. 15:12–14, 17:1–12 (App. Ex. 8).</w:t>
      </w:r>
    </w:p>
    <w:p>
      <w:pPr>
        <w:numPr>
          <w:ilvl w:val="0"/>
          <w:numId w:val="1007"/>
        </w:numPr>
      </w:pPr>
      <w:r>
        <w:rPr>
          <w:rFonts w:ascii="Times New Roman" w:hAnsi="Times New Roman"/>
        </w:rPr>
        <w:t xml:space="preserve">Mr. Szymanski did not contact the third listed reference because he had spoken with two positive references and</w:t>
      </w:r>
      <w:r>
        <w:rPr>
          <w:rFonts w:ascii="Times New Roman" w:hAnsi="Times New Roman"/>
        </w:rPr>
        <w:t xml:space="preserve"> </w:t>
      </w:r>
      <w:r>
        <w:rPr>
          <w:rFonts w:ascii="Times New Roman" w:hAnsi="Times New Roman"/>
        </w:rPr>
        <w:t xml:space="preserve">“</w:t>
      </w:r>
      <w:r>
        <w:rPr>
          <w:rFonts w:ascii="Times New Roman" w:hAnsi="Times New Roman"/>
        </w:rPr>
        <w:t xml:space="preserve">also had Tara Bellingham’s assurances about the Teamcenter experience.</w:t>
      </w:r>
      <w:r>
        <w:rPr>
          <w:rFonts w:ascii="Times New Roman" w:hAnsi="Times New Roman"/>
        </w:rPr>
        <w:t xml:space="preserve">”</w:t>
      </w:r>
      <w:r>
        <w:rPr>
          <w:rFonts w:ascii="Times New Roman" w:hAnsi="Times New Roman"/>
        </w:rPr>
        <w:t xml:space="preserve"> </w:t>
      </w:r>
      <w:r>
        <w:rPr>
          <w:rFonts w:ascii="Times New Roman" w:hAnsi="Times New Roman"/>
        </w:rPr>
        <w:t xml:space="preserve">Szymanski Dep. 15:1–4 (App. Ex. 8).</w:t>
      </w:r>
    </w:p>
    <w:p>
      <w:pPr>
        <w:numPr>
          <w:ilvl w:val="0"/>
          <w:numId w:val="1007"/>
        </w:numPr>
      </w:pPr>
      <w:r>
        <w:rPr>
          <w:rFonts w:ascii="Times New Roman" w:hAnsi="Times New Roman"/>
        </w:rPr>
        <w:t xml:space="preserve">Ridgeline and Apex executed the MSA on February 28, 2022, six days after the Capability Summary was sent. App. Ex. 1 (signature page); Szymanski Dep. 6:18–19 (App. Ex. 8).</w:t>
      </w:r>
    </w:p>
    <w:bookmarkEnd w:id="27"/>
    <w:bookmarkStart w:id="28" w:name="vi.-the-master-services-agreement"/>
    <w:p>
      <w:pPr>
        <w:pStyle w:val="Heading1"/>
      </w:pPr>
      <w:r>
        <w:rPr>
          <w:rFonts w:ascii="Times New Roman" w:hAnsi="Times New Roman"/>
        </w:rPr>
        <w:t xml:space="preserve">VI. THE MASTER SERVICES AGREEMENT</w:t>
      </w:r>
    </w:p>
    <w:p>
      <w:pPr>
        <w:numPr>
          <w:ilvl w:val="0"/>
          <w:numId w:val="1008"/>
        </w:numPr>
      </w:pPr>
      <w:r>
        <w:rPr>
          <w:rFonts w:ascii="Times New Roman" w:hAnsi="Times New Roman"/>
        </w:rPr>
        <w:t xml:space="preserve">The MSA was signed by Margaret A. Calloway for Ridgeline and by Jordan Kresch for Apex on February 28, 2022, and is stated to be entered into and effective as of March 1, 2022. App. Ex. 1, preamble, § 1.5 &amp; signature page.</w:t>
      </w:r>
    </w:p>
    <w:p>
      <w:pPr>
        <w:numPr>
          <w:ilvl w:val="0"/>
          <w:numId w:val="1008"/>
        </w:numPr>
      </w:pPr>
      <w:r>
        <w:rPr>
          <w:rFonts w:ascii="Times New Roman" w:hAnsi="Times New Roman"/>
        </w:rPr>
        <w:t xml:space="preserve">The MSA’s Recitals state that</w:t>
      </w:r>
      <w:r>
        <w:rPr>
          <w:rFonts w:ascii="Times New Roman" w:hAnsi="Times New Roman"/>
        </w:rPr>
        <w:t xml:space="preserve"> </w:t>
      </w:r>
      <w:r>
        <w:rPr>
          <w:rFonts w:ascii="Times New Roman" w:hAnsi="Times New Roman"/>
        </w:rPr>
        <w:t xml:space="preserve">“</w:t>
      </w:r>
      <w:r>
        <w:rPr>
          <w:rFonts w:ascii="Times New Roman" w:hAnsi="Times New Roman"/>
        </w:rPr>
        <w:t xml:space="preserve">Apex represents that it is an experienced ERP implementation services provider specializing in mid-market manufacturing companies and that it possesses the requisite skill, experience, personnel, and technical expertise to perform the implementation services described herein, including implementation of the Stratos Platform in multi-facility manufacturing environments.</w:t>
      </w:r>
      <w:r>
        <w:rPr>
          <w:rFonts w:ascii="Times New Roman" w:hAnsi="Times New Roman"/>
        </w:rPr>
        <w:t xml:space="preserve">”</w:t>
      </w:r>
      <w:r>
        <w:rPr>
          <w:rFonts w:ascii="Times New Roman" w:hAnsi="Times New Roman"/>
        </w:rPr>
        <w:t xml:space="preserve"> </w:t>
      </w:r>
      <w:r>
        <w:rPr>
          <w:rFonts w:ascii="Times New Roman" w:hAnsi="Times New Roman"/>
        </w:rPr>
        <w:t xml:space="preserve">The Recitals also identify the RFP and the Proposal. App. Ex. 1, Recitals.</w:t>
      </w:r>
    </w:p>
    <w:p>
      <w:pPr>
        <w:numPr>
          <w:ilvl w:val="0"/>
          <w:numId w:val="1008"/>
        </w:numPr>
      </w:pPr>
      <w:r>
        <w:rPr>
          <w:rFonts w:ascii="Times New Roman" w:hAnsi="Times New Roman"/>
        </w:rPr>
        <w:t xml:space="preserve">Section 2.2(c) requires Apex to integrate the Stratos Platform with Ridgeline’s existing Siemens PLM Teamcenter system (version 13.2),</w:t>
      </w:r>
      <w:r>
        <w:rPr>
          <w:rFonts w:ascii="Times New Roman" w:hAnsi="Times New Roman"/>
        </w:rPr>
        <w:t xml:space="preserve"> </w:t>
      </w:r>
      <w:r>
        <w:rPr>
          <w:rFonts w:ascii="Times New Roman" w:hAnsi="Times New Roman"/>
        </w:rPr>
        <w:t xml:space="preserve">“</w:t>
      </w:r>
      <w:r>
        <w:rPr>
          <w:rFonts w:ascii="Times New Roman" w:hAnsi="Times New Roman"/>
        </w:rPr>
        <w:t xml:space="preserve">including bidirectional data exchange for engineering change orders, part specifications, revision control, and released-design synchronization,</w:t>
      </w:r>
      <w:r>
        <w:rPr>
          <w:rFonts w:ascii="Times New Roman" w:hAnsi="Times New Roman"/>
        </w:rPr>
        <w:t xml:space="preserve">”</w:t>
      </w:r>
      <w:r>
        <w:rPr>
          <w:rFonts w:ascii="Times New Roman" w:hAnsi="Times New Roman"/>
        </w:rPr>
        <w:t xml:space="preserve"> </w:t>
      </w:r>
      <w:r>
        <w:rPr>
          <w:rFonts w:ascii="Times New Roman" w:hAnsi="Times New Roman"/>
        </w:rPr>
        <w:t xml:space="preserve">enabling</w:t>
      </w:r>
      <w:r>
        <w:rPr>
          <w:rFonts w:ascii="Times New Roman" w:hAnsi="Times New Roman"/>
        </w:rPr>
        <w:t xml:space="preserve"> </w:t>
      </w:r>
      <w:r>
        <w:rPr>
          <w:rFonts w:ascii="Times New Roman" w:hAnsi="Times New Roman"/>
        </w:rPr>
        <w:t xml:space="preserve">“</w:t>
      </w:r>
      <w:r>
        <w:rPr>
          <w:rFonts w:ascii="Times New Roman" w:hAnsi="Times New Roman"/>
        </w:rPr>
        <w:t xml:space="preserve">automated propagation of engineering changes . . . without manual re-entry of data.</w:t>
      </w:r>
      <w:r>
        <w:rPr>
          <w:rFonts w:ascii="Times New Roman" w:hAnsi="Times New Roman"/>
        </w:rPr>
        <w:t xml:space="preserve">”</w:t>
      </w:r>
      <w:r>
        <w:rPr>
          <w:rFonts w:ascii="Times New Roman" w:hAnsi="Times New Roman"/>
        </w:rPr>
        <w:t xml:space="preserve"> </w:t>
      </w:r>
      <w:r>
        <w:rPr>
          <w:rFonts w:ascii="Times New Roman" w:hAnsi="Times New Roman"/>
        </w:rPr>
        <w:t xml:space="preserve">App. Ex. 1 § 2.2(c).</w:t>
      </w:r>
    </w:p>
    <w:p>
      <w:pPr>
        <w:numPr>
          <w:ilvl w:val="0"/>
          <w:numId w:val="1008"/>
        </w:numPr>
      </w:pPr>
      <w:r>
        <w:rPr>
          <w:rFonts w:ascii="Times New Roman" w:hAnsi="Times New Roman"/>
        </w:rPr>
        <w:t xml:space="preserve">Section 2.2(d) requires Apex to configure the AS9100D aerospace quality-management compliance module,</w:t>
      </w:r>
      <w:r>
        <w:rPr>
          <w:rFonts w:ascii="Times New Roman" w:hAnsi="Times New Roman"/>
        </w:rPr>
        <w:t xml:space="preserve"> </w:t>
      </w:r>
      <w:r>
        <w:rPr>
          <w:rFonts w:ascii="Times New Roman" w:hAnsi="Times New Roman"/>
        </w:rPr>
        <w:t xml:space="preserve">“</w:t>
      </w:r>
      <w:r>
        <w:rPr>
          <w:rFonts w:ascii="Times New Roman" w:hAnsi="Times New Roman"/>
        </w:rPr>
        <w:t xml:space="preserve">including lot tracking, serial number tracking, non-conformance reporting (NCR), corrective and preventive action (CAPA) workflows, first article inspection (FAI) management, supplier quality management, and full aerospace traceability functionality meeting the requirements of AS9100D:2016.</w:t>
      </w:r>
      <w:r>
        <w:rPr>
          <w:rFonts w:ascii="Times New Roman" w:hAnsi="Times New Roman"/>
        </w:rPr>
        <w:t xml:space="preserve">”</w:t>
      </w:r>
      <w:r>
        <w:rPr>
          <w:rFonts w:ascii="Times New Roman" w:hAnsi="Times New Roman"/>
        </w:rPr>
        <w:t xml:space="preserve"> </w:t>
      </w:r>
      <w:r>
        <w:rPr>
          <w:rFonts w:ascii="Times New Roman" w:hAnsi="Times New Roman"/>
        </w:rPr>
        <w:t xml:space="preserve">App. Ex. 1 § 2.2(d);</w:t>
      </w:r>
      <w:r>
        <w:rPr>
          <w:rFonts w:ascii="Times New Roman" w:hAnsi="Times New Roman"/>
        </w:rPr>
        <w:t xml:space="preserve"> </w:t>
      </w:r>
      <w:r>
        <w:rPr>
          <w:rFonts w:ascii="Times New Roman" w:hAnsi="Times New Roman"/>
          <w:i/>
          <w:iCs/>
        </w:rPr>
        <w:t xml:space="preserve">see also id.</w:t>
      </w:r>
      <w:r>
        <w:rPr>
          <w:rFonts w:ascii="Times New Roman" w:hAnsi="Times New Roman"/>
        </w:rPr>
        <w:t xml:space="preserve"> </w:t>
      </w:r>
      <w:r>
        <w:rPr>
          <w:rFonts w:ascii="Times New Roman" w:hAnsi="Times New Roman"/>
        </w:rPr>
        <w:t xml:space="preserve">Ex. A, Phase 2 Deliverables 2–3.</w:t>
      </w:r>
    </w:p>
    <w:p>
      <w:pPr>
        <w:numPr>
          <w:ilvl w:val="0"/>
          <w:numId w:val="1008"/>
        </w:numPr>
      </w:pPr>
      <w:r>
        <w:rPr>
          <w:rFonts w:ascii="Times New Roman" w:hAnsi="Times New Roman"/>
        </w:rPr>
        <w:t xml:space="preserve">Section 2.3 provides that Apex</w:t>
      </w:r>
      <w:r>
        <w:rPr>
          <w:rFonts w:ascii="Times New Roman" w:hAnsi="Times New Roman"/>
        </w:rPr>
        <w:t xml:space="preserve"> </w:t>
      </w:r>
      <w:r>
        <w:rPr>
          <w:rFonts w:ascii="Times New Roman" w:hAnsi="Times New Roman"/>
        </w:rPr>
        <w:t xml:space="preserve">“</w:t>
      </w:r>
      <w:r>
        <w:rPr>
          <w:rFonts w:ascii="Times New Roman" w:hAnsi="Times New Roman"/>
        </w:rPr>
        <w:t xml:space="preserve">shall not reassign, remove, or replace any key project personnel (including the project manager . . .) without providing Ridgeline at least fifteen (15) business days’ prior written notice and shall ensure that any replacement personnel possess qualifications and experience at least equivalent to the personnel being replaced.</w:t>
      </w:r>
      <w:r>
        <w:rPr>
          <w:rFonts w:ascii="Times New Roman" w:hAnsi="Times New Roman"/>
        </w:rPr>
        <w:t xml:space="preserve">”</w:t>
      </w:r>
      <w:r>
        <w:rPr>
          <w:rFonts w:ascii="Times New Roman" w:hAnsi="Times New Roman"/>
        </w:rPr>
        <w:t xml:space="preserve"> </w:t>
      </w:r>
      <w:r>
        <w:rPr>
          <w:rFonts w:ascii="Times New Roman" w:hAnsi="Times New Roman"/>
        </w:rPr>
        <w:t xml:space="preserve">App. Ex. 1 § 2.3.</w:t>
      </w:r>
    </w:p>
    <w:p>
      <w:pPr>
        <w:numPr>
          <w:ilvl w:val="0"/>
          <w:numId w:val="1008"/>
        </w:numPr>
      </w:pPr>
      <w:r>
        <w:rPr>
          <w:rFonts w:ascii="Times New Roman" w:hAnsi="Times New Roman"/>
        </w:rPr>
        <w:t xml:space="preserve">The MSA fixes three milestone completion dates: Phase 1 (Design and Configuration) by July 15, 2022; Phase 2 (Integration and Testing, including the Teamcenter Integration and the AS9100D module) by November 30, 2022; and Phase 3 (Go-Live) by March 31, 2023. App. Ex. 1 §§ 3.2–3.4.</w:t>
      </w:r>
    </w:p>
    <w:p>
      <w:pPr>
        <w:numPr>
          <w:ilvl w:val="0"/>
          <w:numId w:val="1008"/>
        </w:numPr>
      </w:pPr>
      <w:r>
        <w:rPr>
          <w:rFonts w:ascii="Times New Roman" w:hAnsi="Times New Roman"/>
        </w:rPr>
        <w:t xml:space="preserve">Section 3.5, captioned</w:t>
      </w:r>
      <w:r>
        <w:rPr>
          <w:rFonts w:ascii="Times New Roman" w:hAnsi="Times New Roman"/>
        </w:rPr>
        <w:t xml:space="preserve"> </w:t>
      </w:r>
      <w:r>
        <w:rPr>
          <w:rFonts w:ascii="Times New Roman" w:hAnsi="Times New Roman"/>
        </w:rPr>
        <w:t xml:space="preserve">“</w:t>
      </w:r>
      <w:r>
        <w:rPr>
          <w:rFonts w:ascii="Times New Roman" w:hAnsi="Times New Roman"/>
        </w:rPr>
        <w:t xml:space="preserve">Time Is of the Essence,</w:t>
      </w:r>
      <w:r>
        <w:rPr>
          <w:rFonts w:ascii="Times New Roman" w:hAnsi="Times New Roman"/>
        </w:rPr>
        <w:t xml:space="preserve">”</w:t>
      </w:r>
      <w:r>
        <w:rPr>
          <w:rFonts w:ascii="Times New Roman" w:hAnsi="Times New Roman"/>
        </w:rPr>
        <w:t xml:space="preserve"> </w:t>
      </w:r>
      <w:r>
        <w:rPr>
          <w:rFonts w:ascii="Times New Roman" w:hAnsi="Times New Roman"/>
        </w:rPr>
        <w:t xml:space="preserve">provides that</w:t>
      </w:r>
      <w:r>
        <w:rPr>
          <w:rFonts w:ascii="Times New Roman" w:hAnsi="Times New Roman"/>
        </w:rPr>
        <w:t xml:space="preserve"> </w:t>
      </w:r>
      <w:r>
        <w:rPr>
          <w:rFonts w:ascii="Times New Roman" w:hAnsi="Times New Roman"/>
        </w:rPr>
        <w:t xml:space="preserve">“</w:t>
      </w:r>
      <w:r>
        <w:rPr>
          <w:rFonts w:ascii="Times New Roman" w:hAnsi="Times New Roman"/>
        </w:rPr>
        <w:t xml:space="preserve">timely completion of the Project is material to this Agreement,</w:t>
      </w:r>
      <w:r>
        <w:rPr>
          <w:rFonts w:ascii="Times New Roman" w:hAnsi="Times New Roman"/>
        </w:rPr>
        <w:t xml:space="preserve">”</w:t>
      </w:r>
      <w:r>
        <w:rPr>
          <w:rFonts w:ascii="Times New Roman" w:hAnsi="Times New Roman"/>
        </w:rPr>
        <w:t xml:space="preserve"> </w:t>
      </w:r>
      <w:r>
        <w:rPr>
          <w:rFonts w:ascii="Times New Roman" w:hAnsi="Times New Roman"/>
        </w:rPr>
        <w:t xml:space="preserve">that</w:t>
      </w:r>
      <w:r>
        <w:rPr>
          <w:rFonts w:ascii="Times New Roman" w:hAnsi="Times New Roman"/>
        </w:rPr>
        <w:t xml:space="preserve"> </w:t>
      </w:r>
      <w:r>
        <w:rPr>
          <w:rFonts w:ascii="Times New Roman" w:hAnsi="Times New Roman"/>
        </w:rPr>
        <w:t xml:space="preserve">“</w:t>
      </w:r>
      <w:r>
        <w:rPr>
          <w:rFonts w:ascii="Times New Roman" w:hAnsi="Times New Roman"/>
        </w:rPr>
        <w:t xml:space="preserve">[t]he milestone dates . . . represent firm commitments by Apex, subject only to adjustment by mutual written agreement in the form of a Change Order,</w:t>
      </w:r>
      <w:r>
        <w:rPr>
          <w:rFonts w:ascii="Times New Roman" w:hAnsi="Times New Roman"/>
        </w:rPr>
        <w:t xml:space="preserve">”</w:t>
      </w:r>
      <w:r>
        <w:rPr>
          <w:rFonts w:ascii="Times New Roman" w:hAnsi="Times New Roman"/>
        </w:rPr>
        <w:t xml:space="preserve"> </w:t>
      </w:r>
      <w:r>
        <w:rPr>
          <w:rFonts w:ascii="Times New Roman" w:hAnsi="Times New Roman"/>
        </w:rPr>
        <w:t xml:space="preserve">and that</w:t>
      </w:r>
      <w:r>
        <w:rPr>
          <w:rFonts w:ascii="Times New Roman" w:hAnsi="Times New Roman"/>
        </w:rPr>
        <w:t xml:space="preserve"> </w:t>
      </w:r>
      <w:r>
        <w:rPr>
          <w:rFonts w:ascii="Times New Roman" w:hAnsi="Times New Roman"/>
        </w:rPr>
        <w:t xml:space="preserve">“</w:t>
      </w:r>
      <w:r>
        <w:rPr>
          <w:rFonts w:ascii="Times New Roman" w:hAnsi="Times New Roman"/>
        </w:rPr>
        <w:t xml:space="preserve">[n]o unilateral extension by either Party shall be effective to modify any milestone date.</w:t>
      </w:r>
      <w:r>
        <w:rPr>
          <w:rFonts w:ascii="Times New Roman" w:hAnsi="Times New Roman"/>
        </w:rPr>
        <w:t xml:space="preserve">”</w:t>
      </w:r>
      <w:r>
        <w:rPr>
          <w:rFonts w:ascii="Times New Roman" w:hAnsi="Times New Roman"/>
        </w:rPr>
        <w:t xml:space="preserve"> </w:t>
      </w:r>
      <w:r>
        <w:rPr>
          <w:rFonts w:ascii="Times New Roman" w:hAnsi="Times New Roman"/>
        </w:rPr>
        <w:t xml:space="preserve">App. Ex. 1 § 3.5.</w:t>
      </w:r>
    </w:p>
    <w:p>
      <w:pPr>
        <w:numPr>
          <w:ilvl w:val="0"/>
          <w:numId w:val="1008"/>
        </w:numPr>
      </w:pPr>
      <w:r>
        <w:rPr>
          <w:rFonts w:ascii="Times New Roman" w:hAnsi="Times New Roman"/>
        </w:rPr>
        <w:t xml:space="preserve">Section 3.6 requires Apex, if it anticipates missing a milestone, to</w:t>
      </w:r>
      <w:r>
        <w:rPr>
          <w:rFonts w:ascii="Times New Roman" w:hAnsi="Times New Roman"/>
        </w:rPr>
        <w:t xml:space="preserve"> </w:t>
      </w:r>
      <w:r>
        <w:rPr>
          <w:rFonts w:ascii="Times New Roman" w:hAnsi="Times New Roman"/>
        </w:rPr>
        <w:t xml:space="preserve">“</w:t>
      </w:r>
      <w:r>
        <w:rPr>
          <w:rFonts w:ascii="Times New Roman" w:hAnsi="Times New Roman"/>
        </w:rPr>
        <w:t xml:space="preserve">promptly notify Ridgeline in writing.</w:t>
      </w:r>
      <w:r>
        <w:rPr>
          <w:rFonts w:ascii="Times New Roman" w:hAnsi="Times New Roman"/>
        </w:rPr>
        <w:t xml:space="preserve">”</w:t>
      </w:r>
      <w:r>
        <w:rPr>
          <w:rFonts w:ascii="Times New Roman" w:hAnsi="Times New Roman"/>
        </w:rPr>
        <w:t xml:space="preserve"> </w:t>
      </w:r>
      <w:r>
        <w:rPr>
          <w:rFonts w:ascii="Times New Roman" w:hAnsi="Times New Roman"/>
        </w:rPr>
        <w:t xml:space="preserve">It provides that Ridgeline-caused delays extend a milestone only if</w:t>
      </w:r>
      <w:r>
        <w:rPr>
          <w:rFonts w:ascii="Times New Roman" w:hAnsi="Times New Roman"/>
        </w:rPr>
        <w:t xml:space="preserve"> </w:t>
      </w:r>
      <w:r>
        <w:rPr>
          <w:rFonts w:ascii="Times New Roman" w:hAnsi="Times New Roman"/>
        </w:rPr>
        <w:t xml:space="preserve">“</w:t>
      </w:r>
      <w:r>
        <w:rPr>
          <w:rFonts w:ascii="Times New Roman" w:hAnsi="Times New Roman"/>
        </w:rPr>
        <w:t xml:space="preserve">(i) Apex gives Ridgeline timely written notice specifying the nature of Ridgeline’s failure and its impact on the schedule, and (ii) Apex uses commercially reasonable efforts to mitigate.</w:t>
      </w:r>
      <w:r>
        <w:rPr>
          <w:rFonts w:ascii="Times New Roman" w:hAnsi="Times New Roman"/>
        </w:rPr>
        <w:t xml:space="preserve">”</w:t>
      </w:r>
      <w:r>
        <w:rPr>
          <w:rFonts w:ascii="Times New Roman" w:hAnsi="Times New Roman"/>
        </w:rPr>
        <w:t xml:space="preserve"> </w:t>
      </w:r>
      <w:r>
        <w:rPr>
          <w:rFonts w:ascii="Times New Roman" w:hAnsi="Times New Roman"/>
        </w:rPr>
        <w:t xml:space="preserve">App. Ex. 1 § 3.6.</w:t>
      </w:r>
    </w:p>
    <w:p>
      <w:pPr>
        <w:numPr>
          <w:ilvl w:val="0"/>
          <w:numId w:val="1008"/>
        </w:numPr>
      </w:pPr>
      <w:r>
        <w:rPr>
          <w:rFonts w:ascii="Times New Roman" w:hAnsi="Times New Roman"/>
        </w:rPr>
        <w:t xml:space="preserve">The MSA provides for a fixed fee of $2,850,000, payable in five milestone installments: $570,000 at signing; $712,500 on written sign-off on Phase 1; $855,000 on written sign-off on Phase 2; $427,500 on written sign-off on UAT; and $285,000 on Go-Live. App. Ex. 1 §§ 4.1–4.2 &amp; Ex. B.</w:t>
      </w:r>
    </w:p>
    <w:p>
      <w:pPr>
        <w:numPr>
          <w:ilvl w:val="0"/>
          <w:numId w:val="1008"/>
        </w:numPr>
      </w:pPr>
      <w:r>
        <w:rPr>
          <w:rFonts w:ascii="Times New Roman" w:hAnsi="Times New Roman"/>
        </w:rPr>
        <w:t xml:space="preserve">Section 4.4 makes each milestone payment</w:t>
      </w:r>
      <w:r>
        <w:rPr>
          <w:rFonts w:ascii="Times New Roman" w:hAnsi="Times New Roman"/>
        </w:rPr>
        <w:t xml:space="preserve"> </w:t>
      </w:r>
      <w:r>
        <w:rPr>
          <w:rFonts w:ascii="Times New Roman" w:hAnsi="Times New Roman"/>
        </w:rPr>
        <w:t xml:space="preserve">“</w:t>
      </w:r>
      <w:r>
        <w:rPr>
          <w:rFonts w:ascii="Times New Roman" w:hAnsi="Times New Roman"/>
        </w:rPr>
        <w:t xml:space="preserve">conditioned upon Apex’s completion of the corresponding Deliverables to Ridgeline’s reasonable satisfaction, as evidenced by Ridgeline’s written sign-off,</w:t>
      </w:r>
      <w:r>
        <w:rPr>
          <w:rFonts w:ascii="Times New Roman" w:hAnsi="Times New Roman"/>
        </w:rPr>
        <w:t xml:space="preserve">”</w:t>
      </w:r>
      <w:r>
        <w:rPr>
          <w:rFonts w:ascii="Times New Roman" w:hAnsi="Times New Roman"/>
        </w:rPr>
        <w:t xml:space="preserve"> </w:t>
      </w:r>
      <w:r>
        <w:rPr>
          <w:rFonts w:ascii="Times New Roman" w:hAnsi="Times New Roman"/>
        </w:rPr>
        <w:t xml:space="preserve">and provides that payment</w:t>
      </w:r>
      <w:r>
        <w:rPr>
          <w:rFonts w:ascii="Times New Roman" w:hAnsi="Times New Roman"/>
        </w:rPr>
        <w:t xml:space="preserve"> </w:t>
      </w:r>
      <w:r>
        <w:rPr>
          <w:rFonts w:ascii="Times New Roman" w:hAnsi="Times New Roman"/>
        </w:rPr>
        <w:t xml:space="preserve">“</w:t>
      </w:r>
      <w:r>
        <w:rPr>
          <w:rFonts w:ascii="Times New Roman" w:hAnsi="Times New Roman"/>
        </w:rPr>
        <w:t xml:space="preserve">shall not constitute acceptance</w:t>
      </w:r>
      <w:r>
        <w:rPr>
          <w:rFonts w:ascii="Times New Roman" w:hAnsi="Times New Roman"/>
        </w:rPr>
        <w:t xml:space="preserve">”</w:t>
      </w:r>
      <w:r>
        <w:rPr>
          <w:rFonts w:ascii="Times New Roman" w:hAnsi="Times New Roman"/>
        </w:rPr>
        <w:t xml:space="preserve"> </w:t>
      </w:r>
      <w:r>
        <w:rPr>
          <w:rFonts w:ascii="Times New Roman" w:hAnsi="Times New Roman"/>
        </w:rPr>
        <w:t xml:space="preserve">or</w:t>
      </w:r>
      <w:r>
        <w:rPr>
          <w:rFonts w:ascii="Times New Roman" w:hAnsi="Times New Roman"/>
        </w:rPr>
        <w:t xml:space="preserve"> </w:t>
      </w:r>
      <w:r>
        <w:rPr>
          <w:rFonts w:ascii="Times New Roman" w:hAnsi="Times New Roman"/>
        </w:rPr>
        <w:t xml:space="preserve">“</w:t>
      </w:r>
      <w:r>
        <w:rPr>
          <w:rFonts w:ascii="Times New Roman" w:hAnsi="Times New Roman"/>
        </w:rPr>
        <w:t xml:space="preserve">a waiver of any deficiency, defect, non-conformance, or breach,</w:t>
      </w:r>
      <w:r>
        <w:rPr>
          <w:rFonts w:ascii="Times New Roman" w:hAnsi="Times New Roman"/>
        </w:rPr>
        <w:t xml:space="preserve">”</w:t>
      </w:r>
      <w:r>
        <w:rPr>
          <w:rFonts w:ascii="Times New Roman" w:hAnsi="Times New Roman"/>
        </w:rPr>
        <w:t xml:space="preserve"> </w:t>
      </w:r>
      <w:r>
        <w:rPr>
          <w:rFonts w:ascii="Times New Roman" w:hAnsi="Times New Roman"/>
        </w:rPr>
        <w:t xml:space="preserve">absent a signed writing specifically referencing § 4.4. App. Ex. 1 § 4.4.</w:t>
      </w:r>
    </w:p>
    <w:p>
      <w:pPr>
        <w:numPr>
          <w:ilvl w:val="0"/>
          <w:numId w:val="1008"/>
        </w:numPr>
      </w:pPr>
      <w:r>
        <w:rPr>
          <w:rFonts w:ascii="Times New Roman" w:hAnsi="Times New Roman"/>
        </w:rPr>
        <w:t xml:space="preserve">Section 4.5 provides that payment</w:t>
      </w:r>
      <w:r>
        <w:rPr>
          <w:rFonts w:ascii="Times New Roman" w:hAnsi="Times New Roman"/>
        </w:rPr>
        <w:t xml:space="preserve"> </w:t>
      </w:r>
      <w:r>
        <w:rPr>
          <w:rFonts w:ascii="Times New Roman" w:hAnsi="Times New Roman"/>
        </w:rPr>
        <w:t xml:space="preserve">“</w:t>
      </w:r>
      <w:r>
        <w:rPr>
          <w:rFonts w:ascii="Times New Roman" w:hAnsi="Times New Roman"/>
        </w:rPr>
        <w:t xml:space="preserve">accompanied by a contemporaneous written reservation of rights or notation of protest, shall not constitute acceptance, waiver, release, or estoppel of any claim.</w:t>
      </w:r>
      <w:r>
        <w:rPr>
          <w:rFonts w:ascii="Times New Roman" w:hAnsi="Times New Roman"/>
        </w:rPr>
        <w:t xml:space="preserve">”</w:t>
      </w:r>
      <w:r>
        <w:rPr>
          <w:rFonts w:ascii="Times New Roman" w:hAnsi="Times New Roman"/>
        </w:rPr>
        <w:t xml:space="preserve"> </w:t>
      </w:r>
      <w:r>
        <w:rPr>
          <w:rFonts w:ascii="Times New Roman" w:hAnsi="Times New Roman"/>
        </w:rPr>
        <w:t xml:space="preserve">Section 14.3 provides that no waiver is effective unless in a signed writing. App. Ex. 1 §§ 4.5, 14.3.</w:t>
      </w:r>
    </w:p>
    <w:p>
      <w:pPr>
        <w:numPr>
          <w:ilvl w:val="0"/>
          <w:numId w:val="1008"/>
        </w:numPr>
      </w:pPr>
      <w:r>
        <w:rPr>
          <w:rFonts w:ascii="Times New Roman" w:hAnsi="Times New Roman"/>
        </w:rPr>
        <w:t xml:space="preserve">Section 4.7 provides that, absent an executed Change Order, Apex is not entitled to any compensation in excess of the fixed fee, which</w:t>
      </w:r>
      <w:r>
        <w:rPr>
          <w:rFonts w:ascii="Times New Roman" w:hAnsi="Times New Roman"/>
        </w:rPr>
        <w:t xml:space="preserve"> </w:t>
      </w:r>
      <w:r>
        <w:rPr>
          <w:rFonts w:ascii="Times New Roman" w:hAnsi="Times New Roman"/>
        </w:rPr>
        <w:t xml:space="preserve">“</w:t>
      </w:r>
      <w:r>
        <w:rPr>
          <w:rFonts w:ascii="Times New Roman" w:hAnsi="Times New Roman"/>
        </w:rPr>
        <w:t xml:space="preserve">encompasses all labor, materials, travel, and other costs required for Apex to perform the Services in their entirety.</w:t>
      </w:r>
      <w:r>
        <w:rPr>
          <w:rFonts w:ascii="Times New Roman" w:hAnsi="Times New Roman"/>
        </w:rPr>
        <w:t xml:space="preserve">”</w:t>
      </w:r>
      <w:r>
        <w:rPr>
          <w:rFonts w:ascii="Times New Roman" w:hAnsi="Times New Roman"/>
        </w:rPr>
        <w:t xml:space="preserve"> </w:t>
      </w:r>
      <w:r>
        <w:rPr>
          <w:rFonts w:ascii="Times New Roman" w:hAnsi="Times New Roman"/>
        </w:rPr>
        <w:t xml:space="preserve">Section 6.3 provides that neither party is obligated to accept a proposed Change Order and that, absent agreement,</w:t>
      </w:r>
      <w:r>
        <w:rPr>
          <w:rFonts w:ascii="Times New Roman" w:hAnsi="Times New Roman"/>
        </w:rPr>
        <w:t xml:space="preserve"> </w:t>
      </w:r>
      <w:r>
        <w:rPr>
          <w:rFonts w:ascii="Times New Roman" w:hAnsi="Times New Roman"/>
        </w:rPr>
        <w:t xml:space="preserve">“</w:t>
      </w:r>
      <w:r>
        <w:rPr>
          <w:rFonts w:ascii="Times New Roman" w:hAnsi="Times New Roman"/>
        </w:rPr>
        <w:t xml:space="preserve">Apex shall continue to perform the Services as originally specified.</w:t>
      </w:r>
      <w:r>
        <w:rPr>
          <w:rFonts w:ascii="Times New Roman" w:hAnsi="Times New Roman"/>
        </w:rPr>
        <w:t xml:space="preserve">”</w:t>
      </w:r>
      <w:r>
        <w:rPr>
          <w:rFonts w:ascii="Times New Roman" w:hAnsi="Times New Roman"/>
        </w:rPr>
        <w:t xml:space="preserve"> </w:t>
      </w:r>
      <w:r>
        <w:rPr>
          <w:rFonts w:ascii="Times New Roman" w:hAnsi="Times New Roman"/>
        </w:rPr>
        <w:t xml:space="preserve">App. Ex. 1 §§ 4.7, 6.3.</w:t>
      </w:r>
    </w:p>
    <w:p>
      <w:pPr>
        <w:numPr>
          <w:ilvl w:val="0"/>
          <w:numId w:val="1008"/>
        </w:numPr>
      </w:pPr>
      <w:r>
        <w:rPr>
          <w:rFonts w:ascii="Times New Roman" w:hAnsi="Times New Roman"/>
        </w:rPr>
        <w:t xml:space="preserve">Section 5.1 contains Apex’s express warranties that: (a) Apex</w:t>
      </w:r>
      <w:r>
        <w:rPr>
          <w:rFonts w:ascii="Times New Roman" w:hAnsi="Times New Roman"/>
        </w:rPr>
        <w:t xml:space="preserve"> </w:t>
      </w:r>
      <w:r>
        <w:rPr>
          <w:rFonts w:ascii="Times New Roman" w:hAnsi="Times New Roman"/>
        </w:rPr>
        <w:t xml:space="preserve">“</w:t>
      </w:r>
      <w:r>
        <w:rPr>
          <w:rFonts w:ascii="Times New Roman" w:hAnsi="Times New Roman"/>
        </w:rPr>
        <w:t xml:space="preserve">possesses the requisite skill, expertise, and experience to perform the Services in a professional and workmanlike manner consistent with generally accepted industry standards for ERP implementation services provided to mid-market manufacturing companies</w:t>
      </w:r>
      <w:r>
        <w:rPr>
          <w:rFonts w:ascii="Times New Roman" w:hAnsi="Times New Roman"/>
        </w:rPr>
        <w:t xml:space="preserve">”</w:t>
      </w:r>
      <w:r>
        <w:rPr>
          <w:rFonts w:ascii="Times New Roman" w:hAnsi="Times New Roman"/>
        </w:rPr>
        <w:t xml:space="preserve">; (b) the Services</w:t>
      </w:r>
      <w:r>
        <w:rPr>
          <w:rFonts w:ascii="Times New Roman" w:hAnsi="Times New Roman"/>
        </w:rPr>
        <w:t xml:space="preserve"> </w:t>
      </w:r>
      <w:r>
        <w:rPr>
          <w:rFonts w:ascii="Times New Roman" w:hAnsi="Times New Roman"/>
        </w:rPr>
        <w:t xml:space="preserve">“</w:t>
      </w:r>
      <w:r>
        <w:rPr>
          <w:rFonts w:ascii="Times New Roman" w:hAnsi="Times New Roman"/>
        </w:rPr>
        <w:t xml:space="preserve">shall conform in all material respects to the specifications, requirements, and functional descriptions set forth in this Agreement</w:t>
      </w:r>
      <w:r>
        <w:rPr>
          <w:rFonts w:ascii="Times New Roman" w:hAnsi="Times New Roman"/>
        </w:rPr>
        <w:t xml:space="preserve">”</w:t>
      </w:r>
      <w:r>
        <w:rPr>
          <w:rFonts w:ascii="Times New Roman" w:hAnsi="Times New Roman"/>
        </w:rPr>
        <w:t xml:space="preserve"> </w:t>
      </w:r>
      <w:r>
        <w:rPr>
          <w:rFonts w:ascii="Times New Roman" w:hAnsi="Times New Roman"/>
        </w:rPr>
        <w:t xml:space="preserve">and Exhibit A; and (e)</w:t>
      </w:r>
      <w:r>
        <w:rPr>
          <w:rFonts w:ascii="Times New Roman" w:hAnsi="Times New Roman"/>
        </w:rPr>
        <w:t xml:space="preserve"> </w:t>
      </w:r>
      <w:r>
        <w:rPr>
          <w:rFonts w:ascii="Times New Roman" w:hAnsi="Times New Roman"/>
        </w:rPr>
        <w:t xml:space="preserve">“</w:t>
      </w:r>
      <w:r>
        <w:rPr>
          <w:rFonts w:ascii="Times New Roman" w:hAnsi="Times New Roman"/>
        </w:rPr>
        <w:t xml:space="preserve">[a]ll personnel assigned to the Project shall possess the qualifications, training, professional certifications, and experience necessary to perform their assigned tasks competently.</w:t>
      </w:r>
      <w:r>
        <w:rPr>
          <w:rFonts w:ascii="Times New Roman" w:hAnsi="Times New Roman"/>
        </w:rPr>
        <w:t xml:space="preserve">”</w:t>
      </w:r>
      <w:r>
        <w:rPr>
          <w:rFonts w:ascii="Times New Roman" w:hAnsi="Times New Roman"/>
        </w:rPr>
        <w:t xml:space="preserve"> </w:t>
      </w:r>
      <w:r>
        <w:rPr>
          <w:rFonts w:ascii="Times New Roman" w:hAnsi="Times New Roman"/>
        </w:rPr>
        <w:t xml:space="preserve">App. Ex. 1 § 5.1(a), (b), (e).</w:t>
      </w:r>
    </w:p>
    <w:p>
      <w:pPr>
        <w:numPr>
          <w:ilvl w:val="0"/>
          <w:numId w:val="1008"/>
        </w:numPr>
      </w:pPr>
      <w:r>
        <w:rPr>
          <w:rFonts w:ascii="Times New Roman" w:hAnsi="Times New Roman"/>
        </w:rPr>
        <w:t xml:space="preserve">Section 8.2 permits termination for cause on thirty days’ written notice of an uncured material breach, and provides:</w:t>
      </w:r>
      <w:r>
        <w:rPr>
          <w:rFonts w:ascii="Times New Roman" w:hAnsi="Times New Roman"/>
        </w:rPr>
        <w:t xml:space="preserve"> </w:t>
      </w:r>
      <w:r>
        <w:rPr>
          <w:rFonts w:ascii="Times New Roman" w:hAnsi="Times New Roman"/>
        </w:rPr>
        <w:t xml:space="preserve">“</w:t>
      </w:r>
      <w:r>
        <w:rPr>
          <w:rFonts w:ascii="Times New Roman" w:hAnsi="Times New Roman"/>
        </w:rPr>
        <w:t xml:space="preserve">For the avoidance of doubt, a response to a notice of breach that conditions cure upon the non-breaching Party’s agreement to modify the terms of this Agreement, approve additional fees, or approve an extension of the project timeline shall not constitute cure of the identified breach.</w:t>
      </w:r>
      <w:r>
        <w:rPr>
          <w:rFonts w:ascii="Times New Roman" w:hAnsi="Times New Roman"/>
        </w:rPr>
        <w:t xml:space="preserve">”</w:t>
      </w:r>
      <w:r>
        <w:rPr>
          <w:rFonts w:ascii="Times New Roman" w:hAnsi="Times New Roman"/>
        </w:rPr>
        <w:t xml:space="preserve"> </w:t>
      </w:r>
      <w:r>
        <w:rPr>
          <w:rFonts w:ascii="Times New Roman" w:hAnsi="Times New Roman"/>
        </w:rPr>
        <w:t xml:space="preserve">App. Ex. 1 § 8.2.</w:t>
      </w:r>
    </w:p>
    <w:p>
      <w:pPr>
        <w:numPr>
          <w:ilvl w:val="0"/>
          <w:numId w:val="1008"/>
        </w:numPr>
      </w:pPr>
      <w:r>
        <w:rPr>
          <w:rFonts w:ascii="Times New Roman" w:hAnsi="Times New Roman"/>
        </w:rPr>
        <w:t xml:space="preserve">Sections 8.4(d) and 8.5 preserve all rights and remedies for pre-termination breaches. Section 8.4(b) obligates Ridgeline upon termination to pay only</w:t>
      </w:r>
      <w:r>
        <w:rPr>
          <w:rFonts w:ascii="Times New Roman" w:hAnsi="Times New Roman"/>
        </w:rPr>
        <w:t xml:space="preserve"> </w:t>
      </w:r>
      <w:r>
        <w:rPr>
          <w:rFonts w:ascii="Times New Roman" w:hAnsi="Times New Roman"/>
        </w:rPr>
        <w:t xml:space="preserve">“</w:t>
      </w:r>
      <w:r>
        <w:rPr>
          <w:rFonts w:ascii="Times New Roman" w:hAnsi="Times New Roman"/>
        </w:rPr>
        <w:t xml:space="preserve">amounts due and owing for Services properly performed and accepted by Ridgeline,</w:t>
      </w:r>
      <w:r>
        <w:rPr>
          <w:rFonts w:ascii="Times New Roman" w:hAnsi="Times New Roman"/>
        </w:rPr>
        <w:t xml:space="preserve">”</w:t>
      </w:r>
      <w:r>
        <w:rPr>
          <w:rFonts w:ascii="Times New Roman" w:hAnsi="Times New Roman"/>
        </w:rPr>
        <w:t xml:space="preserve"> </w:t>
      </w:r>
      <w:r>
        <w:rPr>
          <w:rFonts w:ascii="Times New Roman" w:hAnsi="Times New Roman"/>
        </w:rPr>
        <w:t xml:space="preserve">subject to setoff and recoupment. App. Ex. 1 §§ 8.4(b), (d), 8.5.</w:t>
      </w:r>
    </w:p>
    <w:p>
      <w:pPr>
        <w:numPr>
          <w:ilvl w:val="0"/>
          <w:numId w:val="1008"/>
        </w:numPr>
      </w:pPr>
      <w:r>
        <w:rPr>
          <w:rFonts w:ascii="Times New Roman" w:hAnsi="Times New Roman"/>
        </w:rPr>
        <w:t xml:space="preserve">Section 11.2 caps</w:t>
      </w:r>
      <w:r>
        <w:rPr>
          <w:rFonts w:ascii="Times New Roman" w:hAnsi="Times New Roman"/>
        </w:rPr>
        <w:t xml:space="preserve"> </w:t>
      </w:r>
      <w:r>
        <w:rPr>
          <w:rFonts w:ascii="Times New Roman" w:hAnsi="Times New Roman"/>
        </w:rPr>
        <w:t xml:space="preserve">“</w:t>
      </w:r>
      <w:r>
        <w:rPr>
          <w:rFonts w:ascii="Times New Roman" w:hAnsi="Times New Roman"/>
        </w:rPr>
        <w:t xml:space="preserve">either Party’s aggregate liability arising out of or related to this Agreement</w:t>
      </w:r>
      <w:r>
        <w:rPr>
          <w:rFonts w:ascii="Times New Roman" w:hAnsi="Times New Roman"/>
        </w:rPr>
        <w:t xml:space="preserve">”</w:t>
      </w:r>
      <w:r>
        <w:rPr>
          <w:rFonts w:ascii="Times New Roman" w:hAnsi="Times New Roman"/>
        </w:rPr>
        <w:t xml:space="preserve"> </w:t>
      </w:r>
      <w:r>
        <w:rPr>
          <w:rFonts w:ascii="Times New Roman" w:hAnsi="Times New Roman"/>
        </w:rPr>
        <w:t xml:space="preserve">at</w:t>
      </w:r>
      <w:r>
        <w:rPr>
          <w:rFonts w:ascii="Times New Roman" w:hAnsi="Times New Roman"/>
        </w:rPr>
        <w:t xml:space="preserve"> </w:t>
      </w:r>
      <w:r>
        <w:rPr>
          <w:rFonts w:ascii="Times New Roman" w:hAnsi="Times New Roman"/>
        </w:rPr>
        <w:t xml:space="preserve">“</w:t>
      </w:r>
      <w:r>
        <w:rPr>
          <w:rFonts w:ascii="Times New Roman" w:hAnsi="Times New Roman"/>
        </w:rPr>
        <w:t xml:space="preserve">the total fees paid or payable under this Agreement (i.e., . . . $2,850,000).</w:t>
      </w:r>
      <w:r>
        <w:rPr>
          <w:rFonts w:ascii="Times New Roman" w:hAnsi="Times New Roman"/>
        </w:rPr>
        <w:t xml:space="preserve">”</w:t>
      </w:r>
      <w:r>
        <w:rPr>
          <w:rFonts w:ascii="Times New Roman" w:hAnsi="Times New Roman"/>
        </w:rPr>
        <w:t xml:space="preserve"> </w:t>
      </w:r>
      <w:r>
        <w:rPr>
          <w:rFonts w:ascii="Times New Roman" w:hAnsi="Times New Roman"/>
        </w:rPr>
        <w:t xml:space="preserve">App. Ex. 1 § 11.2.</w:t>
      </w:r>
    </w:p>
    <w:p>
      <w:pPr>
        <w:numPr>
          <w:ilvl w:val="0"/>
          <w:numId w:val="1008"/>
        </w:numPr>
      </w:pPr>
      <w:r>
        <w:rPr>
          <w:rFonts w:ascii="Times New Roman" w:hAnsi="Times New Roman"/>
        </w:rPr>
        <w:t xml:space="preserve">Section 14.1 provides:</w:t>
      </w:r>
      <w:r>
        <w:rPr>
          <w:rFonts w:ascii="Times New Roman" w:hAnsi="Times New Roman"/>
        </w:rPr>
        <w:t xml:space="preserve"> </w:t>
      </w:r>
      <w:r>
        <w:rPr>
          <w:rFonts w:ascii="Times New Roman" w:hAnsi="Times New Roman"/>
        </w:rPr>
        <w:t xml:space="preserve">“</w:t>
      </w:r>
      <w:r>
        <w:rPr>
          <w:rFonts w:ascii="Times New Roman" w:hAnsi="Times New Roman"/>
        </w:rPr>
        <w:t xml:space="preserve">This Agreement, together with all Statements of Work and Change Orders, constitutes the entire agreement between the parties and supersedes all prior negotiations, representations, warranties, commitments, offers, and agreements, whether written or oral. Each Party acknowledges that it has not relied upon any statement, representation, promise, or agreement not expressly set forth in this Agreement in deciding to enter into this Agreement.</w:t>
      </w:r>
      <w:r>
        <w:rPr>
          <w:rFonts w:ascii="Times New Roman" w:hAnsi="Times New Roman"/>
        </w:rPr>
        <w:t xml:space="preserve">”</w:t>
      </w:r>
      <w:r>
        <w:rPr>
          <w:rFonts w:ascii="Times New Roman" w:hAnsi="Times New Roman"/>
        </w:rPr>
        <w:t xml:space="preserve"> </w:t>
      </w:r>
      <w:r>
        <w:rPr>
          <w:rFonts w:ascii="Times New Roman" w:hAnsi="Times New Roman"/>
        </w:rPr>
        <w:t xml:space="preserve">App. Ex. 1 § 14.1.</w:t>
      </w:r>
    </w:p>
    <w:p>
      <w:pPr>
        <w:numPr>
          <w:ilvl w:val="0"/>
          <w:numId w:val="1008"/>
        </w:numPr>
      </w:pPr>
      <w:r>
        <w:rPr>
          <w:rFonts w:ascii="Times New Roman" w:hAnsi="Times New Roman"/>
        </w:rPr>
        <w:t xml:space="preserve">The MSA is governed by Pennsylvania law. App. Ex. 1 § 13.1.</w:t>
      </w:r>
    </w:p>
    <w:bookmarkEnd w:id="28"/>
    <w:bookmarkStart w:id="33" w:name="vii.-apexs-performance"/>
    <w:p>
      <w:pPr>
        <w:pStyle w:val="Heading1"/>
      </w:pPr>
      <w:r>
        <w:rPr>
          <w:rFonts w:ascii="Times New Roman" w:hAnsi="Times New Roman"/>
        </w:rPr>
        <w:t xml:space="preserve">VII. APEX’S PERFORMANCE</w:t>
      </w:r>
    </w:p>
    <w:bookmarkStart w:id="29" w:name="a.-phase-1"/>
    <w:p>
      <w:pPr>
        <w:pStyle w:val="Heading2"/>
      </w:pPr>
      <w:r>
        <w:rPr>
          <w:rFonts w:ascii="Times New Roman" w:hAnsi="Times New Roman"/>
        </w:rPr>
        <w:t xml:space="preserve">A. Phase 1</w:t>
      </w:r>
    </w:p>
    <w:p>
      <w:pPr>
        <w:numPr>
          <w:ilvl w:val="0"/>
          <w:numId w:val="1009"/>
        </w:numPr>
      </w:pPr>
      <w:r>
        <w:rPr>
          <w:rFonts w:ascii="Times New Roman" w:hAnsi="Times New Roman"/>
        </w:rPr>
        <w:t xml:space="preserve">Project kickoff occurred on March 14, 2022. Ostroff Dep. 14:9–10 (App. Ex. 5); App. Ex. 1 § 3.1.</w:t>
      </w:r>
    </w:p>
    <w:p>
      <w:pPr>
        <w:numPr>
          <w:ilvl w:val="0"/>
          <w:numId w:val="1009"/>
        </w:numPr>
      </w:pPr>
      <w:r>
        <w:rPr>
          <w:rFonts w:ascii="Times New Roman" w:hAnsi="Times New Roman"/>
        </w:rPr>
        <w:t xml:space="preserve">Gerald Frisk left Apex in April 2022, approximately one month after kickoff. He had done</w:t>
      </w:r>
      <w:r>
        <w:rPr>
          <w:rFonts w:ascii="Times New Roman" w:hAnsi="Times New Roman"/>
        </w:rPr>
        <w:t xml:space="preserve"> </w:t>
      </w:r>
      <w:r>
        <w:rPr>
          <w:rFonts w:ascii="Times New Roman" w:hAnsi="Times New Roman"/>
        </w:rPr>
        <w:t xml:space="preserve">“</w:t>
      </w:r>
      <w:r>
        <w:rPr>
          <w:rFonts w:ascii="Times New Roman" w:hAnsi="Times New Roman"/>
        </w:rPr>
        <w:t xml:space="preserve">some initial consulting on the AS9100D configuration</w:t>
      </w:r>
      <w:r>
        <w:rPr>
          <w:rFonts w:ascii="Times New Roman" w:hAnsi="Times New Roman"/>
        </w:rPr>
        <w:t xml:space="preserv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w:t>
      </w:r>
      <w:r>
        <w:rPr>
          <w:rFonts w:ascii="Times New Roman" w:hAnsi="Times New Roman"/>
        </w:rPr>
        <w:t xml:space="preserve">wasn’t a full-time resource on the project.</w:t>
      </w:r>
      <w:r>
        <w:rPr>
          <w:rFonts w:ascii="Times New Roman" w:hAnsi="Times New Roman"/>
        </w:rPr>
        <w:t xml:space="preserve">”</w:t>
      </w:r>
      <w:r>
        <w:rPr>
          <w:rFonts w:ascii="Times New Roman" w:hAnsi="Times New Roman"/>
        </w:rPr>
        <w:t xml:space="preserve"> </w:t>
      </w:r>
      <w:r>
        <w:rPr>
          <w:rFonts w:ascii="Times New Roman" w:hAnsi="Times New Roman"/>
        </w:rPr>
        <w:t xml:space="preserve">After his departure, Apex had no AS9100D-certified specialist assigned to the Ridgeline project, and Ms. Bellingham is not aware that Apex filled the position. Kresch Dep. 17:1–13 (App. Ex. 7); Bellingham Dep. 34:13–20 (App. Ex. 6).</w:t>
      </w:r>
    </w:p>
    <w:p>
      <w:pPr>
        <w:numPr>
          <w:ilvl w:val="0"/>
          <w:numId w:val="1009"/>
        </w:numPr>
      </w:pPr>
      <w:r>
        <w:rPr>
          <w:rFonts w:ascii="Times New Roman" w:hAnsi="Times New Roman"/>
        </w:rPr>
        <w:t xml:space="preserve">On May 3, 2022, Mr. Ostroff wrote in an Apex internal Slack message:</w:t>
      </w:r>
      <w:r>
        <w:rPr>
          <w:rFonts w:ascii="Times New Roman" w:hAnsi="Times New Roman"/>
        </w:rPr>
        <w:t xml:space="preserve"> </w:t>
      </w:r>
      <w:r>
        <w:rPr>
          <w:rFonts w:ascii="Times New Roman" w:hAnsi="Times New Roman"/>
        </w:rPr>
        <w:t xml:space="preserve">“</w:t>
      </w:r>
      <w:r>
        <w:rPr>
          <w:rFonts w:ascii="Times New Roman" w:hAnsi="Times New Roman"/>
        </w:rPr>
        <w:t xml:space="preserve">We have zero experience with Teamcenter. I’ve been Googling the API docs for two weeks. We need to bring in a subcontractor or this is going to blow up.</w:t>
      </w:r>
      <w:r>
        <w:rPr>
          <w:rFonts w:ascii="Times New Roman" w:hAnsi="Times New Roman"/>
        </w:rPr>
        <w:t xml:space="preserve">”</w:t>
      </w:r>
      <w:r>
        <w:rPr>
          <w:rFonts w:ascii="Times New Roman" w:hAnsi="Times New Roman"/>
        </w:rPr>
        <w:t xml:space="preserve"> </w:t>
      </w:r>
      <w:r>
        <w:rPr>
          <w:rFonts w:ascii="Times New Roman" w:hAnsi="Times New Roman"/>
        </w:rPr>
        <w:t xml:space="preserve">The same message states:</w:t>
      </w:r>
      <w:r>
        <w:rPr>
          <w:rFonts w:ascii="Times New Roman" w:hAnsi="Times New Roman"/>
        </w:rPr>
        <w:t xml:space="preserve"> </w:t>
      </w:r>
      <w:r>
        <w:rPr>
          <w:rFonts w:ascii="Times New Roman" w:hAnsi="Times New Roman"/>
        </w:rPr>
        <w:t xml:space="preserve">“</w:t>
      </w:r>
      <w:r>
        <w:rPr>
          <w:rFonts w:ascii="Times New Roman" w:hAnsi="Times New Roman"/>
        </w:rPr>
        <w:t xml:space="preserve">We need someone who has actually built one of these integrations before, because right now we are flying blind,</w:t>
      </w:r>
      <w:r>
        <w:rPr>
          <w:rFonts w:ascii="Times New Roman" w:hAnsi="Times New Roman"/>
        </w:rPr>
        <w:t xml:space="preserv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w:t>
      </w:r>
      <w:r>
        <w:rPr>
          <w:rFonts w:ascii="Times New Roman" w:hAnsi="Times New Roman"/>
        </w:rPr>
        <w:t xml:space="preserve">Don’t raise this with the client yet — I want to figure out our options first.</w:t>
      </w:r>
      <w:r>
        <w:rPr>
          <w:rFonts w:ascii="Times New Roman" w:hAnsi="Times New Roman"/>
        </w:rPr>
        <w:t xml:space="preserve">”</w:t>
      </w:r>
      <w:r>
        <w:rPr>
          <w:rFonts w:ascii="Times New Roman" w:hAnsi="Times New Roman"/>
        </w:rPr>
        <w:t xml:space="preserve"> </w:t>
      </w:r>
      <w:r>
        <w:rPr>
          <w:rFonts w:ascii="Times New Roman" w:hAnsi="Times New Roman"/>
        </w:rPr>
        <w:t xml:space="preserve">App. Ex. 9 (APEX-00004782); Ostroff Dep. 38:1–18 (App. Ex. 5).</w:t>
      </w:r>
    </w:p>
    <w:p>
      <w:pPr>
        <w:numPr>
          <w:ilvl w:val="0"/>
          <w:numId w:val="1009"/>
        </w:numPr>
      </w:pPr>
      <w:r>
        <w:rPr>
          <w:rFonts w:ascii="Times New Roman" w:hAnsi="Times New Roman"/>
        </w:rPr>
        <w:t xml:space="preserve">As produced by Apex, the May 3, 2022 message was posted to the private Slack channel</w:t>
      </w:r>
      <w:r>
        <w:rPr>
          <w:rFonts w:ascii="Times New Roman" w:hAnsi="Times New Roman"/>
        </w:rPr>
        <w:t xml:space="preserve"> </w:t>
      </w:r>
      <w:r>
        <w:rPr>
          <w:rFonts w:ascii="Times New Roman" w:hAnsi="Times New Roman"/>
        </w:rPr>
        <w:t xml:space="preserve">“</w:t>
      </w:r>
      <w:r>
        <w:rPr>
          <w:rFonts w:ascii="Times New Roman" w:hAnsi="Times New Roman"/>
        </w:rPr>
        <w:t xml:space="preserve">#ridgeline-project,</w:t>
      </w:r>
      <w:r>
        <w:rPr>
          <w:rFonts w:ascii="Times New Roman" w:hAnsi="Times New Roman"/>
        </w:rPr>
        <w:t xml:space="preserve">”</w:t>
      </w:r>
      <w:r>
        <w:rPr>
          <w:rFonts w:ascii="Times New Roman" w:hAnsi="Times New Roman"/>
        </w:rPr>
        <w:t xml:space="preserve"> </w:t>
      </w:r>
      <w:r>
        <w:rPr>
          <w:rFonts w:ascii="Times New Roman" w:hAnsi="Times New Roman"/>
        </w:rPr>
        <w:t xml:space="preserve">whose listed members included Ms. Bellingham and Dana Cho. App. Ex. 9 (APEX-00004782).</w:t>
      </w:r>
    </w:p>
    <w:p>
      <w:pPr>
        <w:numPr>
          <w:ilvl w:val="0"/>
          <w:numId w:val="1009"/>
        </w:numPr>
      </w:pPr>
      <w:r>
        <w:rPr>
          <w:rFonts w:ascii="Times New Roman" w:hAnsi="Times New Roman"/>
        </w:rPr>
        <w:t xml:space="preserve">Apex never brought in a Teamcenter subcontractor, and Mr. Ostroff never shared his concerns about Apex’s lack of Teamcenter experience with anyone at Ridgeline. Ostroff Dep. 39:1–3, 40:1–6 (App. Ex. 5). Asked whether the message reflected Apex’s capabilities when the Proposal was submitted, Mr. Ostroff testified:</w:t>
      </w:r>
      <w:r>
        <w:rPr>
          <w:rFonts w:ascii="Times New Roman" w:hAnsi="Times New Roman"/>
        </w:rPr>
        <w:t xml:space="preserve"> </w:t>
      </w:r>
      <w:r>
        <w:rPr>
          <w:rFonts w:ascii="Times New Roman" w:hAnsi="Times New Roman"/>
        </w:rPr>
        <w:t xml:space="preserve">“</w:t>
      </w:r>
      <w:r>
        <w:rPr>
          <w:rFonts w:ascii="Times New Roman" w:hAnsi="Times New Roman"/>
        </w:rPr>
        <w:t xml:space="preserve">we didn’t have the experience we said we did.</w:t>
      </w:r>
      <w:r>
        <w:rPr>
          <w:rFonts w:ascii="Times New Roman" w:hAnsi="Times New Roman"/>
        </w:rPr>
        <w:t xml:space="preserve">”</w:t>
      </w:r>
      <w:r>
        <w:rPr>
          <w:rFonts w:ascii="Times New Roman" w:hAnsi="Times New Roman"/>
        </w:rPr>
        <w:t xml:space="preserve"> </w:t>
      </w:r>
      <w:r>
        <w:rPr>
          <w:rFonts w:ascii="Times New Roman" w:hAnsi="Times New Roman"/>
          <w:i/>
          <w:iCs/>
        </w:rPr>
        <w:t xml:space="preserve">Id.</w:t>
      </w:r>
      <w:r>
        <w:rPr>
          <w:rFonts w:ascii="Times New Roman" w:hAnsi="Times New Roman"/>
        </w:rPr>
        <w:t xml:space="preserve"> </w:t>
      </w:r>
      <w:r>
        <w:rPr>
          <w:rFonts w:ascii="Times New Roman" w:hAnsi="Times New Roman"/>
        </w:rPr>
        <w:t xml:space="preserve">39:4–12.</w:t>
      </w:r>
    </w:p>
    <w:p>
      <w:pPr>
        <w:numPr>
          <w:ilvl w:val="0"/>
          <w:numId w:val="1009"/>
        </w:numPr>
      </w:pPr>
      <w:r>
        <w:rPr>
          <w:rFonts w:ascii="Times New Roman" w:hAnsi="Times New Roman"/>
        </w:rPr>
        <w:t xml:space="preserve">On June 10, 2022, Mr. Ostroff emailed Mr. Szymanski (copying Ms. Bellingham) that</w:t>
      </w:r>
      <w:r>
        <w:rPr>
          <w:rFonts w:ascii="Times New Roman" w:hAnsi="Times New Roman"/>
        </w:rPr>
        <w:t xml:space="preserve"> </w:t>
      </w:r>
      <w:r>
        <w:rPr>
          <w:rFonts w:ascii="Times New Roman" w:hAnsi="Times New Roman"/>
        </w:rPr>
        <w:t xml:space="preserve">“</w:t>
      </w:r>
      <w:r>
        <w:rPr>
          <w:rFonts w:ascii="Times New Roman" w:hAnsi="Times New Roman"/>
        </w:rPr>
        <w:t xml:space="preserve">Phase 1 is on track for completion by end of July,</w:t>
      </w:r>
      <w:r>
        <w:rPr>
          <w:rFonts w:ascii="Times New Roman" w:hAnsi="Times New Roman"/>
        </w:rPr>
        <w:t xml:space="preserve">”</w:t>
      </w:r>
      <w:r>
        <w:rPr>
          <w:rFonts w:ascii="Times New Roman" w:hAnsi="Times New Roman"/>
        </w:rPr>
        <w:t xml:space="preserve"> </w:t>
      </w:r>
      <w:r>
        <w:rPr>
          <w:rFonts w:ascii="Times New Roman" w:hAnsi="Times New Roman"/>
        </w:rPr>
        <w:t xml:space="preserve">that the Teamcenter integration architecture was</w:t>
      </w:r>
      <w:r>
        <w:rPr>
          <w:rFonts w:ascii="Times New Roman" w:hAnsi="Times New Roman"/>
        </w:rPr>
        <w:t xml:space="preserve"> </w:t>
      </w:r>
      <w:r>
        <w:rPr>
          <w:rFonts w:ascii="Times New Roman" w:hAnsi="Times New Roman"/>
        </w:rPr>
        <w:t xml:space="preserve">“</w:t>
      </w:r>
      <w:r>
        <w:rPr>
          <w:rFonts w:ascii="Times New Roman" w:hAnsi="Times New Roman"/>
        </w:rPr>
        <w:t xml:space="preserve">[p]rogressing well,</w:t>
      </w:r>
      <w:r>
        <w:rPr>
          <w:rFonts w:ascii="Times New Roman" w:hAnsi="Times New Roman"/>
        </w:rPr>
        <w:t xml:space="preserv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w:t>
      </w:r>
      <w:r>
        <w:rPr>
          <w:rFonts w:ascii="Times New Roman" w:hAnsi="Times New Roman"/>
        </w:rPr>
        <w:t xml:space="preserve">I don’t anticipate any issues meeting our Phase 1 milestone targets.</w:t>
      </w:r>
      <w:r>
        <w:rPr>
          <w:rFonts w:ascii="Times New Roman" w:hAnsi="Times New Roman"/>
        </w:rPr>
        <w:t xml:space="preserve">”</w:t>
      </w:r>
      <w:r>
        <w:rPr>
          <w:rFonts w:ascii="Times New Roman" w:hAnsi="Times New Roman"/>
        </w:rPr>
        <w:t xml:space="preserve"> </w:t>
      </w:r>
      <w:r>
        <w:rPr>
          <w:rFonts w:ascii="Times New Roman" w:hAnsi="Times New Roman"/>
        </w:rPr>
        <w:t xml:space="preserve">App. Ex. 10 (APEX-00005114).</w:t>
      </w:r>
    </w:p>
    <w:p>
      <w:pPr>
        <w:numPr>
          <w:ilvl w:val="0"/>
          <w:numId w:val="1009"/>
        </w:numPr>
      </w:pPr>
      <w:r>
        <w:rPr>
          <w:rFonts w:ascii="Times New Roman" w:hAnsi="Times New Roman"/>
        </w:rPr>
        <w:t xml:space="preserve">When he sent that email, Phase 1 was</w:t>
      </w:r>
      <w:r>
        <w:rPr>
          <w:rFonts w:ascii="Times New Roman" w:hAnsi="Times New Roman"/>
        </w:rPr>
        <w:t xml:space="preserve"> </w:t>
      </w:r>
      <w:r>
        <w:rPr>
          <w:rFonts w:ascii="Times New Roman" w:hAnsi="Times New Roman"/>
        </w:rPr>
        <w:t xml:space="preserve">“</w:t>
      </w:r>
      <w:r>
        <w:rPr>
          <w:rFonts w:ascii="Times New Roman" w:hAnsi="Times New Roman"/>
        </w:rPr>
        <w:t xml:space="preserve">[n]ot really</w:t>
      </w:r>
      <w:r>
        <w:rPr>
          <w:rFonts w:ascii="Times New Roman" w:hAnsi="Times New Roman"/>
        </w:rPr>
        <w:t xml:space="preserve">”</w:t>
      </w:r>
      <w:r>
        <w:rPr>
          <w:rFonts w:ascii="Times New Roman" w:hAnsi="Times New Roman"/>
        </w:rPr>
        <w:t xml:space="preserve"> </w:t>
      </w:r>
      <w:r>
        <w:rPr>
          <w:rFonts w:ascii="Times New Roman" w:hAnsi="Times New Roman"/>
        </w:rPr>
        <w:t xml:space="preserve">on track; Apex</w:t>
      </w:r>
      <w:r>
        <w:rPr>
          <w:rFonts w:ascii="Times New Roman" w:hAnsi="Times New Roman"/>
        </w:rPr>
        <w:t xml:space="preserve"> </w:t>
      </w:r>
      <w:r>
        <w:rPr>
          <w:rFonts w:ascii="Times New Roman" w:hAnsi="Times New Roman"/>
        </w:rPr>
        <w:t xml:space="preserve">“</w:t>
      </w:r>
      <w:r>
        <w:rPr>
          <w:rFonts w:ascii="Times New Roman" w:hAnsi="Times New Roman"/>
        </w:rPr>
        <w:t xml:space="preserve">w[as] behind</w:t>
      </w:r>
      <w:r>
        <w:rPr>
          <w:rFonts w:ascii="Times New Roman" w:hAnsi="Times New Roman"/>
        </w:rPr>
        <w:t xml:space="preserve">”</w:t>
      </w:r>
      <w:r>
        <w:rPr>
          <w:rFonts w:ascii="Times New Roman" w:hAnsi="Times New Roman"/>
        </w:rPr>
        <w:t xml:space="preserve"> </w:t>
      </w:r>
      <w:r>
        <w:rPr>
          <w:rFonts w:ascii="Times New Roman" w:hAnsi="Times New Roman"/>
        </w:rPr>
        <w:t xml:space="preserve">specifically on the Teamcenter integration design, and Apex’s lack of prior Teamcenter experience</w:t>
      </w:r>
      <w:r>
        <w:rPr>
          <w:rFonts w:ascii="Times New Roman" w:hAnsi="Times New Roman"/>
        </w:rPr>
        <w:t xml:space="preserve"> </w:t>
      </w:r>
      <w:r>
        <w:rPr>
          <w:rFonts w:ascii="Times New Roman" w:hAnsi="Times New Roman"/>
        </w:rPr>
        <w:t xml:space="preserve">“</w:t>
      </w:r>
      <w:r>
        <w:rPr>
          <w:rFonts w:ascii="Times New Roman" w:hAnsi="Times New Roman"/>
        </w:rPr>
        <w:t xml:space="preserve">was a factor.</w:t>
      </w:r>
      <w:r>
        <w:rPr>
          <w:rFonts w:ascii="Times New Roman" w:hAnsi="Times New Roman"/>
        </w:rPr>
        <w:t xml:space="preserve">”</w:t>
      </w:r>
      <w:r>
        <w:rPr>
          <w:rFonts w:ascii="Times New Roman" w:hAnsi="Times New Roman"/>
        </w:rPr>
        <w:t xml:space="preserve"> </w:t>
      </w:r>
      <w:r>
        <w:rPr>
          <w:rFonts w:ascii="Times New Roman" w:hAnsi="Times New Roman"/>
        </w:rPr>
        <w:t xml:space="preserve">Ostroff Dep. 40:12–41:15 (App. Ex. 5). Mr. Szymanski relied on the June 10 status report. Szymanski Dep. 36:10–17 (App. Ex. 8).</w:t>
      </w:r>
    </w:p>
    <w:p>
      <w:pPr>
        <w:numPr>
          <w:ilvl w:val="0"/>
          <w:numId w:val="1009"/>
        </w:numPr>
      </w:pPr>
      <w:r>
        <w:rPr>
          <w:rFonts w:ascii="Times New Roman" w:hAnsi="Times New Roman"/>
        </w:rPr>
        <w:t xml:space="preserve">Phase 1 was not signed off until October 3, 2022, approximately eleven weeks after the July 15, 2022 contractual date. The primary cause of the delay was the Teamcenter integration design. Ostroff Dep. 58:1–11 (App. Ex. 5); App. Ex. 11.</w:t>
      </w:r>
    </w:p>
    <w:p>
      <w:pPr>
        <w:numPr>
          <w:ilvl w:val="0"/>
          <w:numId w:val="1009"/>
        </w:numPr>
      </w:pPr>
      <w:r>
        <w:rPr>
          <w:rFonts w:ascii="Times New Roman" w:hAnsi="Times New Roman"/>
        </w:rPr>
        <w:t xml:space="preserve">Ridgeline’s technical requirements were</w:t>
      </w:r>
      <w:r>
        <w:rPr>
          <w:rFonts w:ascii="Times New Roman" w:hAnsi="Times New Roman"/>
        </w:rPr>
        <w:t xml:space="preserve"> </w:t>
      </w:r>
      <w:r>
        <w:rPr>
          <w:rFonts w:ascii="Times New Roman" w:hAnsi="Times New Roman"/>
        </w:rPr>
        <w:t xml:space="preserve">“</w:t>
      </w:r>
      <w:r>
        <w:rPr>
          <w:rFonts w:ascii="Times New Roman" w:hAnsi="Times New Roman"/>
        </w:rPr>
        <w:t xml:space="preserve">fairly standard for that type of manufacturing environment.</w:t>
      </w:r>
      <w:r>
        <w:rPr>
          <w:rFonts w:ascii="Times New Roman" w:hAnsi="Times New Roman"/>
        </w:rPr>
        <w:t xml:space="preserve">”</w:t>
      </w:r>
      <w:r>
        <w:rPr>
          <w:rFonts w:ascii="Times New Roman" w:hAnsi="Times New Roman"/>
        </w:rPr>
        <w:t xml:space="preserve"> </w:t>
      </w:r>
      <w:r>
        <w:rPr>
          <w:rFonts w:ascii="Times New Roman" w:hAnsi="Times New Roman"/>
        </w:rPr>
        <w:t xml:space="preserve">The Teamcenter work proved more complicated than Apex anticipated</w:t>
      </w:r>
      <w:r>
        <w:rPr>
          <w:rFonts w:ascii="Times New Roman" w:hAnsi="Times New Roman"/>
        </w:rPr>
        <w:t xml:space="preserve"> </w:t>
      </w:r>
      <w:r>
        <w:rPr>
          <w:rFonts w:ascii="Times New Roman" w:hAnsi="Times New Roman"/>
        </w:rPr>
        <w:t xml:space="preserve">“</w:t>
      </w:r>
      <w:r>
        <w:rPr>
          <w:rFonts w:ascii="Times New Roman" w:hAnsi="Times New Roman"/>
        </w:rPr>
        <w:t xml:space="preserve">[b]ecause we had never done it before.</w:t>
      </w:r>
      <w:r>
        <w:rPr>
          <w:rFonts w:ascii="Times New Roman" w:hAnsi="Times New Roman"/>
        </w:rPr>
        <w:t xml:space="preserve">”</w:t>
      </w:r>
      <w:r>
        <w:rPr>
          <w:rFonts w:ascii="Times New Roman" w:hAnsi="Times New Roman"/>
        </w:rPr>
        <w:t xml:space="preserve"> </w:t>
      </w:r>
      <w:r>
        <w:rPr>
          <w:rFonts w:ascii="Times New Roman" w:hAnsi="Times New Roman"/>
        </w:rPr>
        <w:t xml:space="preserve">Ostroff Dep. 59:1–10 (App. Ex. 5).</w:t>
      </w:r>
    </w:p>
    <w:p>
      <w:pPr>
        <w:numPr>
          <w:ilvl w:val="0"/>
          <w:numId w:val="1009"/>
        </w:numPr>
      </w:pPr>
      <w:r>
        <w:rPr>
          <w:rFonts w:ascii="Times New Roman" w:hAnsi="Times New Roman"/>
        </w:rPr>
        <w:t xml:space="preserve">During Phase 1,</w:t>
      </w:r>
      <w:r>
        <w:rPr>
          <w:rFonts w:ascii="Times New Roman" w:hAnsi="Times New Roman"/>
        </w:rPr>
        <w:t xml:space="preserve"> </w:t>
      </w:r>
      <w:r>
        <w:rPr>
          <w:rFonts w:ascii="Times New Roman" w:hAnsi="Times New Roman"/>
        </w:rPr>
        <w:t xml:space="preserve">“</w:t>
      </w:r>
      <w:r>
        <w:rPr>
          <w:rFonts w:ascii="Times New Roman" w:hAnsi="Times New Roman"/>
        </w:rPr>
        <w:t xml:space="preserve">Ridgeline was pretty responsive. The delays were on our side.</w:t>
      </w:r>
      <w:r>
        <w:rPr>
          <w:rFonts w:ascii="Times New Roman" w:hAnsi="Times New Roman"/>
        </w:rPr>
        <w:t xml:space="preserve">”</w:t>
      </w:r>
      <w:r>
        <w:rPr>
          <w:rFonts w:ascii="Times New Roman" w:hAnsi="Times New Roman"/>
        </w:rPr>
        <w:t xml:space="preserve"> </w:t>
      </w:r>
      <w:r>
        <w:rPr>
          <w:rFonts w:ascii="Times New Roman" w:hAnsi="Times New Roman"/>
        </w:rPr>
        <w:t xml:space="preserve">Any minor Ridgeline delays</w:t>
      </w:r>
      <w:r>
        <w:rPr>
          <w:rFonts w:ascii="Times New Roman" w:hAnsi="Times New Roman"/>
        </w:rPr>
        <w:t xml:space="preserve"> </w:t>
      </w:r>
      <w:r>
        <w:rPr>
          <w:rFonts w:ascii="Times New Roman" w:hAnsi="Times New Roman"/>
        </w:rPr>
        <w:t xml:space="preserve">“</w:t>
      </w:r>
      <w:r>
        <w:rPr>
          <w:rFonts w:ascii="Times New Roman" w:hAnsi="Times New Roman"/>
        </w:rPr>
        <w:t xml:space="preserve">weren’t the reason we missed the Phase 1 deadline. The problem was the Teamcenter integration.</w:t>
      </w:r>
      <w:r>
        <w:rPr>
          <w:rFonts w:ascii="Times New Roman" w:hAnsi="Times New Roman"/>
        </w:rPr>
        <w:t xml:space="preserve">”</w:t>
      </w:r>
      <w:r>
        <w:rPr>
          <w:rFonts w:ascii="Times New Roman" w:hAnsi="Times New Roman"/>
        </w:rPr>
        <w:t xml:space="preserve"> </w:t>
      </w:r>
      <w:r>
        <w:rPr>
          <w:rFonts w:ascii="Times New Roman" w:hAnsi="Times New Roman"/>
        </w:rPr>
        <w:t xml:space="preserve">Ostroff Dep. 59:11–14, 60:8–10 (App. Ex. 5);</w:t>
      </w:r>
      <w:r>
        <w:rPr>
          <w:rFonts w:ascii="Times New Roman" w:hAnsi="Times New Roman"/>
        </w:rPr>
        <w:t xml:space="preserve"> </w:t>
      </w:r>
      <w:r>
        <w:rPr>
          <w:rFonts w:ascii="Times New Roman" w:hAnsi="Times New Roman"/>
          <w:i/>
          <w:iCs/>
        </w:rPr>
        <w:t xml:space="preserve">accord</w:t>
      </w:r>
      <w:r>
        <w:rPr>
          <w:rFonts w:ascii="Times New Roman" w:hAnsi="Times New Roman"/>
        </w:rPr>
        <w:t xml:space="preserve"> </w:t>
      </w:r>
      <w:r>
        <w:rPr>
          <w:rFonts w:ascii="Times New Roman" w:hAnsi="Times New Roman"/>
        </w:rPr>
        <w:t xml:space="preserve">Szymanski Dep. 37:4–8 (App. Ex. 8).</w:t>
      </w:r>
    </w:p>
    <w:p>
      <w:pPr>
        <w:numPr>
          <w:ilvl w:val="0"/>
          <w:numId w:val="1009"/>
        </w:numPr>
      </w:pPr>
      <w:r>
        <w:rPr>
          <w:rFonts w:ascii="Times New Roman" w:hAnsi="Times New Roman"/>
        </w:rPr>
        <w:t xml:space="preserve">On October 3, 2022, Mr. Szymanski authorized the $712,500 Phase 1 payment by email copied to Apex’s CEO, stating:</w:t>
      </w:r>
      <w:r>
        <w:rPr>
          <w:rFonts w:ascii="Times New Roman" w:hAnsi="Times New Roman"/>
        </w:rPr>
        <w:t xml:space="preserve"> </w:t>
      </w:r>
      <w:r>
        <w:rPr>
          <w:rFonts w:ascii="Times New Roman" w:hAnsi="Times New Roman"/>
        </w:rPr>
        <w:t xml:space="preserve">“</w:t>
      </w:r>
      <w:r>
        <w:rPr>
          <w:rFonts w:ascii="Times New Roman" w:hAnsi="Times New Roman"/>
        </w:rPr>
        <w:t xml:space="preserve">We are paying this milestone to keep the project moving, but we reserve all rights regarding the delay and the incomplete Teamcenter integration design,</w:t>
      </w:r>
      <w:r>
        <w:rPr>
          <w:rFonts w:ascii="Times New Roman" w:hAnsi="Times New Roman"/>
        </w:rPr>
        <w:t xml:space="preserve">”</w:t>
      </w:r>
      <w:r>
        <w:rPr>
          <w:rFonts w:ascii="Times New Roman" w:hAnsi="Times New Roman"/>
        </w:rPr>
        <w:t xml:space="preserve"> </w:t>
      </w:r>
      <w:r>
        <w:rPr>
          <w:rFonts w:ascii="Times New Roman" w:hAnsi="Times New Roman"/>
        </w:rPr>
        <w:t xml:space="preserve">and that the payment</w:t>
      </w:r>
      <w:r>
        <w:rPr>
          <w:rFonts w:ascii="Times New Roman" w:hAnsi="Times New Roman"/>
        </w:rPr>
        <w:t xml:space="preserve"> </w:t>
      </w:r>
      <w:r>
        <w:rPr>
          <w:rFonts w:ascii="Times New Roman" w:hAnsi="Times New Roman"/>
        </w:rPr>
        <w:t xml:space="preserve">“</w:t>
      </w:r>
      <w:r>
        <w:rPr>
          <w:rFonts w:ascii="Times New Roman" w:hAnsi="Times New Roman"/>
        </w:rPr>
        <w:t xml:space="preserve">should not be construed as acceptance of the Phase 1 deliverables, satisfaction with Apex’s performance, or a waiver of any of Ridgeline’s claims, rights, or remedies.</w:t>
      </w:r>
      <w:r>
        <w:rPr>
          <w:rFonts w:ascii="Times New Roman" w:hAnsi="Times New Roman"/>
        </w:rPr>
        <w:t xml:space="preserve">”</w:t>
      </w:r>
      <w:r>
        <w:rPr>
          <w:rFonts w:ascii="Times New Roman" w:hAnsi="Times New Roman"/>
        </w:rPr>
        <w:t xml:space="preserve"> </w:t>
      </w:r>
      <w:r>
        <w:rPr>
          <w:rFonts w:ascii="Times New Roman" w:hAnsi="Times New Roman"/>
        </w:rPr>
        <w:t xml:space="preserve">App. Ex. 11 (RMC-00008231); Szymanski Dep. 27:1–29:3 (App. Ex. 8).</w:t>
      </w:r>
    </w:p>
    <w:p>
      <w:pPr>
        <w:numPr>
          <w:ilvl w:val="0"/>
          <w:numId w:val="1009"/>
        </w:numPr>
      </w:pPr>
      <w:r>
        <w:rPr>
          <w:rFonts w:ascii="Times New Roman" w:hAnsi="Times New Roman"/>
        </w:rPr>
        <w:t xml:space="preserve">Ridgeline has paid Apex a total of $1,282,500 under the MSA: $570,000 at signing and $712,500 for Phase 1. App. Ex. 17 (RMC-00013502); App. Ex. 16 (APEX-00011234) (Apex asserting that the remaining $1,567,500 is unpaid).</w:t>
      </w:r>
    </w:p>
    <w:bookmarkEnd w:id="29"/>
    <w:bookmarkStart w:id="30" w:name="Xfb50f5e2aac4663d66099106c1146bb2ef21e63"/>
    <w:p>
      <w:pPr>
        <w:pStyle w:val="Heading2"/>
      </w:pPr>
      <w:r>
        <w:rPr>
          <w:rFonts w:ascii="Times New Roman" w:hAnsi="Times New Roman"/>
        </w:rPr>
        <w:t xml:space="preserve">B. Phase 2, Change Order Request #4, and the Reassignment of the Project Manager</w:t>
      </w:r>
    </w:p>
    <w:p>
      <w:pPr>
        <w:numPr>
          <w:ilvl w:val="0"/>
          <w:numId w:val="1010"/>
        </w:numPr>
      </w:pPr>
      <w:r>
        <w:rPr>
          <w:rFonts w:ascii="Times New Roman" w:hAnsi="Times New Roman"/>
        </w:rPr>
        <w:t xml:space="preserve">Phase 2 was not completed by November 30, 2022. Ridgeline never gave written sign-off on the Phase 2 Deliverables, and as of January 2023</w:t>
      </w:r>
      <w:r>
        <w:rPr>
          <w:rFonts w:ascii="Times New Roman" w:hAnsi="Times New Roman"/>
        </w:rPr>
        <w:t xml:space="preserve"> </w:t>
      </w:r>
      <w:r>
        <w:rPr>
          <w:rFonts w:ascii="Times New Roman" w:hAnsi="Times New Roman"/>
        </w:rPr>
        <w:t xml:space="preserve">“</w:t>
      </w:r>
      <w:r>
        <w:rPr>
          <w:rFonts w:ascii="Times New Roman" w:hAnsi="Times New Roman"/>
        </w:rPr>
        <w:t xml:space="preserve">[t]he Phase 2 milestones hadn’t been achieved, so there was no billing.</w:t>
      </w:r>
      <w:r>
        <w:rPr>
          <w:rFonts w:ascii="Times New Roman" w:hAnsi="Times New Roman"/>
        </w:rPr>
        <w:t xml:space="preserve">”</w:t>
      </w:r>
      <w:r>
        <w:rPr>
          <w:rFonts w:ascii="Times New Roman" w:hAnsi="Times New Roman"/>
        </w:rPr>
        <w:t xml:space="preserve"> </w:t>
      </w:r>
      <w:r>
        <w:rPr>
          <w:rFonts w:ascii="Times New Roman" w:hAnsi="Times New Roman"/>
        </w:rPr>
        <w:t xml:space="preserve">Ostroff Dep. 52:7–16 (App. Ex. 5); Kresch Dep. 58:16–21 (App. Ex. 7); App. Ex. 16.</w:t>
      </w:r>
    </w:p>
    <w:p>
      <w:pPr>
        <w:numPr>
          <w:ilvl w:val="0"/>
          <w:numId w:val="1010"/>
        </w:numPr>
      </w:pPr>
      <w:r>
        <w:rPr>
          <w:rFonts w:ascii="Times New Roman" w:hAnsi="Times New Roman"/>
        </w:rPr>
        <w:t xml:space="preserve">On December 19, 2022, Apex submitted Change Order Request #4 (</w:t>
      </w:r>
      <w:r>
        <w:rPr>
          <w:rFonts w:ascii="Times New Roman" w:hAnsi="Times New Roman"/>
        </w:rPr>
        <w:t xml:space="preserve">“</w:t>
      </w:r>
      <w:r>
        <w:rPr>
          <w:rFonts w:ascii="Times New Roman" w:hAnsi="Times New Roman"/>
        </w:rPr>
        <w:t xml:space="preserve">CO-004</w:t>
      </w:r>
      <w:r>
        <w:rPr>
          <w:rFonts w:ascii="Times New Roman" w:hAnsi="Times New Roman"/>
        </w:rPr>
        <w:t xml:space="preserve">”</w:t>
      </w:r>
      <w:r>
        <w:rPr>
          <w:rFonts w:ascii="Times New Roman" w:hAnsi="Times New Roman"/>
        </w:rPr>
        <w:t xml:space="preserve">), seeking $680,000 in additional fees and a five-month extension of Go-Live to August 31, 2023, to replace Apex’s</w:t>
      </w:r>
      <w:r>
        <w:rPr>
          <w:rFonts w:ascii="Times New Roman" w:hAnsi="Times New Roman"/>
        </w:rPr>
        <w:t xml:space="preserve"> </w:t>
      </w:r>
      <w:r>
        <w:rPr>
          <w:rFonts w:ascii="Times New Roman" w:hAnsi="Times New Roman"/>
        </w:rPr>
        <w:t xml:space="preserve">“</w:t>
      </w:r>
      <w:r>
        <w:rPr>
          <w:rFonts w:ascii="Times New Roman" w:hAnsi="Times New Roman"/>
        </w:rPr>
        <w:t xml:space="preserve">current direct API-to-API approach</w:t>
      </w:r>
      <w:r>
        <w:rPr>
          <w:rFonts w:ascii="Times New Roman" w:hAnsi="Times New Roman"/>
        </w:rPr>
        <w:t xml:space="preserve">”</w:t>
      </w:r>
      <w:r>
        <w:rPr>
          <w:rFonts w:ascii="Times New Roman" w:hAnsi="Times New Roman"/>
        </w:rPr>
        <w:t xml:space="preserve"> </w:t>
      </w:r>
      <w:r>
        <w:rPr>
          <w:rFonts w:ascii="Times New Roman" w:hAnsi="Times New Roman"/>
        </w:rPr>
        <w:t xml:space="preserve">with a</w:t>
      </w:r>
      <w:r>
        <w:rPr>
          <w:rFonts w:ascii="Times New Roman" w:hAnsi="Times New Roman"/>
        </w:rPr>
        <w:t xml:space="preserve"> </w:t>
      </w:r>
      <w:r>
        <w:rPr>
          <w:rFonts w:ascii="Times New Roman" w:hAnsi="Times New Roman"/>
        </w:rPr>
        <w:t xml:space="preserve">“</w:t>
      </w:r>
      <w:r>
        <w:rPr>
          <w:rFonts w:ascii="Times New Roman" w:hAnsi="Times New Roman"/>
        </w:rPr>
        <w:t xml:space="preserve">middleware-based re-architecture</w:t>
      </w:r>
      <w:r>
        <w:rPr>
          <w:rFonts w:ascii="Times New Roman" w:hAnsi="Times New Roman"/>
        </w:rPr>
        <w:t xml:space="preserve">”</w:t>
      </w:r>
      <w:r>
        <w:rPr>
          <w:rFonts w:ascii="Times New Roman" w:hAnsi="Times New Roman"/>
        </w:rPr>
        <w:t xml:space="preserve"> </w:t>
      </w:r>
      <w:r>
        <w:rPr>
          <w:rFonts w:ascii="Times New Roman" w:hAnsi="Times New Roman"/>
        </w:rPr>
        <w:t xml:space="preserve">of the Teamcenter integration. App. Ex. 12 (APEX-00007493–98). Mr. Kresch testified that</w:t>
      </w:r>
      <w:r>
        <w:rPr>
          <w:rFonts w:ascii="Times New Roman" w:hAnsi="Times New Roman"/>
        </w:rPr>
        <w:t xml:space="preserve"> </w:t>
      </w:r>
      <w:r>
        <w:rPr>
          <w:rFonts w:ascii="Times New Roman" w:hAnsi="Times New Roman"/>
        </w:rPr>
        <w:t xml:space="preserve">“</w:t>
      </w:r>
      <w:r>
        <w:rPr>
          <w:rFonts w:ascii="Times New Roman" w:hAnsi="Times New Roman"/>
        </w:rPr>
        <w:t xml:space="preserve">[t]he initial approach needed to be revised.</w:t>
      </w:r>
      <w:r>
        <w:rPr>
          <w:rFonts w:ascii="Times New Roman" w:hAnsi="Times New Roman"/>
        </w:rPr>
        <w:t xml:space="preserve">”</w:t>
      </w:r>
      <w:r>
        <w:rPr>
          <w:rFonts w:ascii="Times New Roman" w:hAnsi="Times New Roman"/>
        </w:rPr>
        <w:t xml:space="preserve"> </w:t>
      </w:r>
      <w:r>
        <w:rPr>
          <w:rFonts w:ascii="Times New Roman" w:hAnsi="Times New Roman"/>
        </w:rPr>
        <w:t xml:space="preserve">Kresch Dep. 50:1–17 (App. Ex. 7).</w:t>
      </w:r>
    </w:p>
    <w:p>
      <w:pPr>
        <w:numPr>
          <w:ilvl w:val="0"/>
          <w:numId w:val="1010"/>
        </w:numPr>
      </w:pPr>
      <w:r>
        <w:rPr>
          <w:rFonts w:ascii="Times New Roman" w:hAnsi="Times New Roman"/>
        </w:rPr>
        <w:t xml:space="preserve">On January 9, 2023, Ridgeline rejected CO-004 in writing. App. Ex. 13 (RMC-00010447). No Change Order modifying any milestone date or the fee was ever executed. [Szymanski Decl. ¶ __ (App. Ex. 23).]</w:t>
      </w:r>
    </w:p>
    <w:p>
      <w:pPr>
        <w:numPr>
          <w:ilvl w:val="0"/>
          <w:numId w:val="1010"/>
        </w:numPr>
      </w:pPr>
      <w:r>
        <w:rPr>
          <w:rFonts w:ascii="Times New Roman" w:hAnsi="Times New Roman"/>
        </w:rPr>
        <w:t xml:space="preserve">On January 12, 2023, Apex reassigned Mr. Ostroff to another project</w:t>
      </w:r>
      <w:r>
        <w:rPr>
          <w:rFonts w:ascii="Times New Roman" w:hAnsi="Times New Roman"/>
        </w:rPr>
        <w:t xml:space="preserve"> </w:t>
      </w:r>
      <w:r>
        <w:rPr>
          <w:rFonts w:ascii="Times New Roman" w:hAnsi="Times New Roman"/>
        </w:rPr>
        <w:t xml:space="preserve">“</w:t>
      </w:r>
      <w:r>
        <w:rPr>
          <w:rFonts w:ascii="Times New Roman" w:hAnsi="Times New Roman"/>
        </w:rPr>
        <w:t xml:space="preserve">that was generating revenue</w:t>
      </w:r>
      <w:r>
        <w:rPr>
          <w:rFonts w:ascii="Times New Roman" w:hAnsi="Times New Roman"/>
        </w:rPr>
        <w:t xml:space="preserve">”</w:t>
      </w:r>
      <w:r>
        <w:rPr>
          <w:rFonts w:ascii="Times New Roman" w:hAnsi="Times New Roman"/>
        </w:rPr>
        <w:t xml:space="preserve"> </w:t>
      </w:r>
      <w:r>
        <w:rPr>
          <w:rFonts w:ascii="Times New Roman" w:hAnsi="Times New Roman"/>
        </w:rPr>
        <w:t xml:space="preserve">and replaced him with Dana Cho. Ostroff Dep. 51:1–5, 52:7–9 (App. Ex. 5); Kresch Dep. 58:1–21 (App. Ex. 7).</w:t>
      </w:r>
    </w:p>
    <w:p>
      <w:pPr>
        <w:numPr>
          <w:ilvl w:val="0"/>
          <w:numId w:val="1010"/>
        </w:numPr>
      </w:pPr>
      <w:r>
        <w:rPr>
          <w:rFonts w:ascii="Times New Roman" w:hAnsi="Times New Roman"/>
        </w:rPr>
        <w:t xml:space="preserve">When assigned, Ms. Cho had been at Apex for about five months and had never led an implementation of the Ridgeline project’s complexity. She had no prior Teamcenter integration experience and, as to AS9100D,</w:t>
      </w:r>
      <w:r>
        <w:rPr>
          <w:rFonts w:ascii="Times New Roman" w:hAnsi="Times New Roman"/>
        </w:rPr>
        <w:t xml:space="preserve"> </w:t>
      </w:r>
      <w:r>
        <w:rPr>
          <w:rFonts w:ascii="Times New Roman" w:hAnsi="Times New Roman"/>
        </w:rPr>
        <w:t xml:space="preserve">“</w:t>
      </w:r>
      <w:r>
        <w:rPr>
          <w:rFonts w:ascii="Times New Roman" w:hAnsi="Times New Roman"/>
        </w:rPr>
        <w:t xml:space="preserve">was learning.</w:t>
      </w:r>
      <w:r>
        <w:rPr>
          <w:rFonts w:ascii="Times New Roman" w:hAnsi="Times New Roman"/>
        </w:rPr>
        <w:t xml:space="preserve">”</w:t>
      </w:r>
      <w:r>
        <w:rPr>
          <w:rFonts w:ascii="Times New Roman" w:hAnsi="Times New Roman"/>
        </w:rPr>
        <w:t xml:space="preserve"> </w:t>
      </w:r>
      <w:r>
        <w:rPr>
          <w:rFonts w:ascii="Times New Roman" w:hAnsi="Times New Roman"/>
        </w:rPr>
        <w:t xml:space="preserve">Ostroff Dep. 51:6–12 (App. Ex. 5); Kresch Dep. 58:4–15 (App. Ex. 7).</w:t>
      </w:r>
    </w:p>
    <w:p>
      <w:pPr>
        <w:numPr>
          <w:ilvl w:val="0"/>
          <w:numId w:val="1010"/>
        </w:numPr>
      </w:pPr>
      <w:r>
        <w:rPr>
          <w:rFonts w:ascii="Times New Roman" w:hAnsi="Times New Roman"/>
        </w:rPr>
        <w:t xml:space="preserve">Mr. Ostroff told Mr. Kresch that</w:t>
      </w:r>
      <w:r>
        <w:rPr>
          <w:rFonts w:ascii="Times New Roman" w:hAnsi="Times New Roman"/>
        </w:rPr>
        <w:t xml:space="preserve"> </w:t>
      </w:r>
      <w:r>
        <w:rPr>
          <w:rFonts w:ascii="Times New Roman" w:hAnsi="Times New Roman"/>
        </w:rPr>
        <w:t xml:space="preserve">“</w:t>
      </w:r>
      <w:r>
        <w:rPr>
          <w:rFonts w:ascii="Times New Roman" w:hAnsi="Times New Roman"/>
        </w:rPr>
        <w:t xml:space="preserve">this project needed someone with more experience</w:t>
      </w:r>
      <w:r>
        <w:rPr>
          <w:rFonts w:ascii="Times New Roman" w:hAnsi="Times New Roman"/>
        </w:rPr>
        <w:t xml:space="preserve">”</w:t>
      </w:r>
      <w:r>
        <w:rPr>
          <w:rFonts w:ascii="Times New Roman" w:hAnsi="Times New Roman"/>
        </w:rPr>
        <w:t xml:space="preserve">; Mr. Kresch responded that</w:t>
      </w:r>
      <w:r>
        <w:rPr>
          <w:rFonts w:ascii="Times New Roman" w:hAnsi="Times New Roman"/>
        </w:rPr>
        <w:t xml:space="preserve"> </w:t>
      </w:r>
      <w:r>
        <w:rPr>
          <w:rFonts w:ascii="Times New Roman" w:hAnsi="Times New Roman"/>
        </w:rPr>
        <w:t xml:space="preserve">“</w:t>
      </w:r>
      <w:r>
        <w:rPr>
          <w:rFonts w:ascii="Times New Roman" w:hAnsi="Times New Roman"/>
        </w:rPr>
        <w:t xml:space="preserve">the decision was made.</w:t>
      </w:r>
      <w:r>
        <w:rPr>
          <w:rFonts w:ascii="Times New Roman" w:hAnsi="Times New Roman"/>
        </w:rPr>
        <w:t xml:space="preserve">”</w:t>
      </w:r>
      <w:r>
        <w:rPr>
          <w:rFonts w:ascii="Times New Roman" w:hAnsi="Times New Roman"/>
        </w:rPr>
        <w:t xml:space="preserve"> </w:t>
      </w:r>
      <w:r>
        <w:rPr>
          <w:rFonts w:ascii="Times New Roman" w:hAnsi="Times New Roman"/>
        </w:rPr>
        <w:t xml:space="preserve">Ostroff Dep. 52:1–6 (App. Ex. 5).</w:t>
      </w:r>
    </w:p>
    <w:p>
      <w:pPr>
        <w:numPr>
          <w:ilvl w:val="0"/>
          <w:numId w:val="1010"/>
        </w:numPr>
      </w:pPr>
      <w:r>
        <w:rPr>
          <w:rFonts w:ascii="Times New Roman" w:hAnsi="Times New Roman"/>
        </w:rPr>
        <w:t xml:space="preserve">Apex did not give Ridgeline fifteen business days’ prior written notice of Mr. Ostroff’s replacement. [Szymanski Decl. ¶ __ (App. Ex. 23).] In responding to Ridgeline’s notice of breach, which charged that the reassignment was made</w:t>
      </w:r>
      <w:r>
        <w:rPr>
          <w:rFonts w:ascii="Times New Roman" w:hAnsi="Times New Roman"/>
        </w:rPr>
        <w:t xml:space="preserve"> </w:t>
      </w:r>
      <w:r>
        <w:rPr>
          <w:rFonts w:ascii="Times New Roman" w:hAnsi="Times New Roman"/>
        </w:rPr>
        <w:t xml:space="preserve">“</w:t>
      </w:r>
      <w:r>
        <w:rPr>
          <w:rFonts w:ascii="Times New Roman" w:hAnsi="Times New Roman"/>
        </w:rPr>
        <w:t xml:space="preserve">without Ridgeline’s consent or input,</w:t>
      </w:r>
      <w:r>
        <w:rPr>
          <w:rFonts w:ascii="Times New Roman" w:hAnsi="Times New Roman"/>
        </w:rPr>
        <w:t xml:space="preserve">”</w:t>
      </w:r>
      <w:r>
        <w:rPr>
          <w:rFonts w:ascii="Times New Roman" w:hAnsi="Times New Roman"/>
        </w:rPr>
        <w:t xml:space="preserve"> </w:t>
      </w:r>
      <w:r>
        <w:rPr>
          <w:rFonts w:ascii="Times New Roman" w:hAnsi="Times New Roman"/>
        </w:rPr>
        <w:t xml:space="preserve">Apex did not contend that it had given notice, asserting instead that</w:t>
      </w:r>
      <w:r>
        <w:rPr>
          <w:rFonts w:ascii="Times New Roman" w:hAnsi="Times New Roman"/>
        </w:rPr>
        <w:t xml:space="preserve"> </w:t>
      </w:r>
      <w:r>
        <w:rPr>
          <w:rFonts w:ascii="Times New Roman" w:hAnsi="Times New Roman"/>
        </w:rPr>
        <w:t xml:space="preserve">“</w:t>
      </w:r>
      <w:r>
        <w:rPr>
          <w:rFonts w:ascii="Times New Roman" w:hAnsi="Times New Roman"/>
        </w:rPr>
        <w:t xml:space="preserve">staffing decisions are within Apex’s discretion under the MSA.</w:t>
      </w:r>
      <w:r>
        <w:rPr>
          <w:rFonts w:ascii="Times New Roman" w:hAnsi="Times New Roman"/>
        </w:rPr>
        <w:t xml:space="preserve">”</w:t>
      </w:r>
      <w:r>
        <w:rPr>
          <w:rFonts w:ascii="Times New Roman" w:hAnsi="Times New Roman"/>
        </w:rPr>
        <w:t xml:space="preserve"> </w:t>
      </w:r>
      <w:r>
        <w:rPr>
          <w:rFonts w:ascii="Times New Roman" w:hAnsi="Times New Roman"/>
        </w:rPr>
        <w:t xml:space="preserve">App. Ex. 15 (RMC-00012876); App. Ex. 16 (APEX-00011234).</w:t>
      </w:r>
    </w:p>
    <w:p>
      <w:pPr>
        <w:numPr>
          <w:ilvl w:val="0"/>
          <w:numId w:val="1010"/>
        </w:numPr>
      </w:pPr>
      <w:r>
        <w:rPr>
          <w:rFonts w:ascii="Times New Roman" w:hAnsi="Times New Roman"/>
        </w:rPr>
        <w:t xml:space="preserve">On February 6, 2023, Mr. Kresch proposed to Ms. Calloway a</w:t>
      </w:r>
      <w:r>
        <w:rPr>
          <w:rFonts w:ascii="Times New Roman" w:hAnsi="Times New Roman"/>
        </w:rPr>
        <w:t xml:space="preserve"> </w:t>
      </w:r>
      <w:r>
        <w:rPr>
          <w:rFonts w:ascii="Times New Roman" w:hAnsi="Times New Roman"/>
        </w:rPr>
        <w:t xml:space="preserve">“</w:t>
      </w:r>
      <w:r>
        <w:rPr>
          <w:rFonts w:ascii="Times New Roman" w:hAnsi="Times New Roman"/>
        </w:rPr>
        <w:t xml:space="preserve">revised partnership framework</w:t>
      </w:r>
      <w:r>
        <w:rPr>
          <w:rFonts w:ascii="Times New Roman" w:hAnsi="Times New Roman"/>
        </w:rPr>
        <w:t xml:space="preserve">”</w:t>
      </w:r>
      <w:r>
        <w:rPr>
          <w:rFonts w:ascii="Times New Roman" w:hAnsi="Times New Roman"/>
        </w:rPr>
        <w:t xml:space="preserve"> </w:t>
      </w:r>
      <w:r>
        <w:rPr>
          <w:rFonts w:ascii="Times New Roman" w:hAnsi="Times New Roman"/>
        </w:rPr>
        <w:t xml:space="preserve">requiring $1,200,000 in additional fees (subsuming CO-004) and a new Go-Live date of December 31, 2023. App. Ex. 14 (APEX-00009002); Kresch Dep. 49:1–7 (App. Ex. 7). Ridgeline did not accept it. Szymanski Dep. 47:13–17 (App. Ex. 8).</w:t>
      </w:r>
    </w:p>
    <w:bookmarkEnd w:id="30"/>
    <w:bookmarkStart w:id="31" w:name="c.-the-as9100d-module"/>
    <w:p>
      <w:pPr>
        <w:pStyle w:val="Heading2"/>
      </w:pPr>
      <w:r>
        <w:rPr>
          <w:rFonts w:ascii="Times New Roman" w:hAnsi="Times New Roman"/>
        </w:rPr>
        <w:t xml:space="preserve">C. The AS9100D Module</w:t>
      </w:r>
    </w:p>
    <w:p>
      <w:pPr>
        <w:numPr>
          <w:ilvl w:val="0"/>
          <w:numId w:val="1011"/>
        </w:numPr>
      </w:pPr>
      <w:r>
        <w:rPr>
          <w:rFonts w:ascii="Times New Roman" w:hAnsi="Times New Roman"/>
        </w:rPr>
        <w:t xml:space="preserve">By memorandum dated April 18, 2023, Ridgeline’s Quality Director, Anita Flores, documented that seven of twelve critical AS9100D traceability requirements in the module configured by Apex were non-functional or fundamentally misconfigured: (1) lot tracking and serialization (multi-plant lot genealogy broken); (2) non-conformance reporting (no Material Review Board disposition routing); (3) first article inspection (no AS9102 formatting); (4) supplier quality traceability; (5) calibration management; (6) process change control; and (7) customer-specific requirements flowdown. App. Ex. 18 (Flores Mem.) § 3.</w:t>
      </w:r>
    </w:p>
    <w:p>
      <w:pPr>
        <w:numPr>
          <w:ilvl w:val="0"/>
          <w:numId w:val="1011"/>
        </w:numPr>
      </w:pPr>
      <w:r>
        <w:rPr>
          <w:rFonts w:ascii="Times New Roman" w:hAnsi="Times New Roman"/>
        </w:rPr>
        <w:t xml:space="preserve">Ms. Flores raised these deficiencies with Ms. Cho on March 7, March 22, and April 4, 2023. Apex delivered no remediation or remediation plan, and Ms. Cho could not identify any Apex employee with AS9100D expertise assigned to the project. App. Ex. 18 § 4.</w:t>
      </w:r>
    </w:p>
    <w:p>
      <w:pPr>
        <w:numPr>
          <w:ilvl w:val="0"/>
          <w:numId w:val="1011"/>
        </w:numPr>
      </w:pPr>
      <w:r>
        <w:rPr>
          <w:rFonts w:ascii="Times New Roman" w:hAnsi="Times New Roman"/>
        </w:rPr>
        <w:t xml:space="preserve">In its May 15, 2023 response to Ridgeline’s notice of breach, Apex</w:t>
      </w:r>
      <w:r>
        <w:rPr>
          <w:rFonts w:ascii="Times New Roman" w:hAnsi="Times New Roman"/>
        </w:rPr>
        <w:t xml:space="preserve"> </w:t>
      </w:r>
      <w:r>
        <w:rPr>
          <w:rFonts w:ascii="Times New Roman" w:hAnsi="Times New Roman"/>
        </w:rPr>
        <w:t xml:space="preserve">“</w:t>
      </w:r>
      <w:r>
        <w:rPr>
          <w:rFonts w:ascii="Times New Roman" w:hAnsi="Times New Roman"/>
        </w:rPr>
        <w:t xml:space="preserve">acknowledge[d] that certain AS9100D configuration items remain in progress.</w:t>
      </w:r>
      <w:r>
        <w:rPr>
          <w:rFonts w:ascii="Times New Roman" w:hAnsi="Times New Roman"/>
        </w:rPr>
        <w:t xml:space="preserve">”</w:t>
      </w:r>
      <w:r>
        <w:rPr>
          <w:rFonts w:ascii="Times New Roman" w:hAnsi="Times New Roman"/>
        </w:rPr>
        <w:t xml:space="preserve"> </w:t>
      </w:r>
      <w:r>
        <w:rPr>
          <w:rFonts w:ascii="Times New Roman" w:hAnsi="Times New Roman"/>
        </w:rPr>
        <w:t xml:space="preserve">App. Ex. 16 (APEX-00011234).</w:t>
      </w:r>
    </w:p>
    <w:bookmarkEnd w:id="31"/>
    <w:bookmarkStart w:id="32" w:name="d.-uncontroverted-expert-testimony"/>
    <w:p>
      <w:pPr>
        <w:pStyle w:val="Heading2"/>
      </w:pPr>
      <w:r>
        <w:rPr>
          <w:rFonts w:ascii="Times New Roman" w:hAnsi="Times New Roman"/>
        </w:rPr>
        <w:t xml:space="preserve">D. Uncontroverted Expert Testimony</w:t>
      </w:r>
    </w:p>
    <w:p>
      <w:pPr>
        <w:numPr>
          <w:ilvl w:val="0"/>
          <w:numId w:val="1012"/>
        </w:numPr>
      </w:pPr>
      <w:r>
        <w:rPr>
          <w:rFonts w:ascii="Times New Roman" w:hAnsi="Times New Roman"/>
        </w:rPr>
        <w:t xml:space="preserve">Ridgeline’s technical expert, Marcus Tran, has completed four Stratos–Teamcenter integrations and is a certified AS9100D lead auditor. App. Ex. 19 (Tran Rep.) § II.A. Apex did not move to exclude his testimony.</w:t>
      </w:r>
      <w:r>
        <w:rPr>
          <w:rFonts w:ascii="Times New Roman" w:hAnsi="Times New Roman"/>
        </w:rPr>
        <w:t xml:space="preserve"> </w:t>
      </w:r>
      <w:r>
        <w:rPr>
          <w:rFonts w:ascii="Times New Roman" w:hAnsi="Times New Roman"/>
          <w:i/>
          <w:iCs/>
        </w:rPr>
        <w:t xml:space="preserve">Id.</w:t>
      </w:r>
    </w:p>
    <w:p>
      <w:pPr>
        <w:numPr>
          <w:ilvl w:val="0"/>
          <w:numId w:val="1012"/>
        </w:numPr>
      </w:pPr>
      <w:r>
        <w:rPr>
          <w:rFonts w:ascii="Times New Roman" w:hAnsi="Times New Roman"/>
        </w:rPr>
        <w:t xml:space="preserve">Mr. Tran opines that Apex’s Phase 1 design proposed a</w:t>
      </w:r>
      <w:r>
        <w:rPr>
          <w:rFonts w:ascii="Times New Roman" w:hAnsi="Times New Roman"/>
        </w:rPr>
        <w:t xml:space="preserve"> </w:t>
      </w:r>
      <w:r>
        <w:rPr>
          <w:rFonts w:ascii="Times New Roman" w:hAnsi="Times New Roman"/>
        </w:rPr>
        <w:t xml:space="preserve">“</w:t>
      </w:r>
      <w:r>
        <w:rPr>
          <w:rFonts w:ascii="Times New Roman" w:hAnsi="Times New Roman"/>
        </w:rPr>
        <w:t xml:space="preserve">direct database-level integration</w:t>
      </w:r>
      <w:r>
        <w:rPr>
          <w:rFonts w:ascii="Times New Roman" w:hAnsi="Times New Roman"/>
        </w:rPr>
        <w:t xml:space="preserve">”</w:t>
      </w:r>
      <w:r>
        <w:rPr>
          <w:rFonts w:ascii="Times New Roman" w:hAnsi="Times New Roman"/>
        </w:rPr>
        <w:t xml:space="preserve"> </w:t>
      </w:r>
      <w:r>
        <w:rPr>
          <w:rFonts w:ascii="Times New Roman" w:hAnsi="Times New Roman"/>
        </w:rPr>
        <w:t xml:space="preserve">between Stratos and Teamcenter — a deprecated and unsupported approach that no competent Teamcenter integrator would have proposed after 2018 — and that Apex’s design documents contained fundamental errors regarding Teamcenter’s data model, item revisions, BOM structures, and change-management workflows. App. Ex. 19, Opinion 1.</w:t>
      </w:r>
    </w:p>
    <w:p>
      <w:pPr>
        <w:numPr>
          <w:ilvl w:val="0"/>
          <w:numId w:val="1012"/>
        </w:numPr>
      </w:pPr>
      <w:r>
        <w:rPr>
          <w:rFonts w:ascii="Times New Roman" w:hAnsi="Times New Roman"/>
        </w:rPr>
        <w:t xml:space="preserve">Mr. Tran opines that Apex configured lot tracking using a</w:t>
      </w:r>
      <w:r>
        <w:rPr>
          <w:rFonts w:ascii="Times New Roman" w:hAnsi="Times New Roman"/>
        </w:rPr>
        <w:t xml:space="preserve"> </w:t>
      </w:r>
      <w:r>
        <w:rPr>
          <w:rFonts w:ascii="Times New Roman" w:hAnsi="Times New Roman"/>
        </w:rPr>
        <w:t xml:space="preserve">“</w:t>
      </w:r>
      <w:r>
        <w:rPr>
          <w:rFonts w:ascii="Times New Roman" w:hAnsi="Times New Roman"/>
        </w:rPr>
        <w:t xml:space="preserve">batch-level</w:t>
      </w:r>
      <w:r>
        <w:rPr>
          <w:rFonts w:ascii="Times New Roman" w:hAnsi="Times New Roman"/>
        </w:rPr>
        <w:t xml:space="preserve">”</w:t>
      </w:r>
      <w:r>
        <w:rPr>
          <w:rFonts w:ascii="Times New Roman" w:hAnsi="Times New Roman"/>
        </w:rPr>
        <w:t xml:space="preserve"> </w:t>
      </w:r>
      <w:r>
        <w:rPr>
          <w:rFonts w:ascii="Times New Roman" w:hAnsi="Times New Roman"/>
        </w:rPr>
        <w:t xml:space="preserve">approach rather than the</w:t>
      </w:r>
      <w:r>
        <w:rPr>
          <w:rFonts w:ascii="Times New Roman" w:hAnsi="Times New Roman"/>
        </w:rPr>
        <w:t xml:space="preserve"> </w:t>
      </w:r>
      <w:r>
        <w:rPr>
          <w:rFonts w:ascii="Times New Roman" w:hAnsi="Times New Roman"/>
        </w:rPr>
        <w:t xml:space="preserve">“</w:t>
      </w:r>
      <w:r>
        <w:rPr>
          <w:rFonts w:ascii="Times New Roman" w:hAnsi="Times New Roman"/>
        </w:rPr>
        <w:t xml:space="preserve">serialized lot</w:t>
      </w:r>
      <w:r>
        <w:rPr>
          <w:rFonts w:ascii="Times New Roman" w:hAnsi="Times New Roman"/>
        </w:rPr>
        <w:t xml:space="preserve">”</w:t>
      </w:r>
      <w:r>
        <w:rPr>
          <w:rFonts w:ascii="Times New Roman" w:hAnsi="Times New Roman"/>
        </w:rPr>
        <w:t xml:space="preserve"> </w:t>
      </w:r>
      <w:r>
        <w:rPr>
          <w:rFonts w:ascii="Times New Roman" w:hAnsi="Times New Roman"/>
        </w:rPr>
        <w:t xml:space="preserve">tracking AS9100D aerospace traceability requires, that the NCR module lacked the required linkage to corrective-action workflows, and that these were</w:t>
      </w:r>
      <w:r>
        <w:rPr>
          <w:rFonts w:ascii="Times New Roman" w:hAnsi="Times New Roman"/>
        </w:rPr>
        <w:t xml:space="preserve"> </w:t>
      </w:r>
      <w:r>
        <w:rPr>
          <w:rFonts w:ascii="Times New Roman" w:hAnsi="Times New Roman"/>
        </w:rPr>
        <w:t xml:space="preserve">“</w:t>
      </w:r>
      <w:r>
        <w:rPr>
          <w:rFonts w:ascii="Times New Roman" w:hAnsi="Times New Roman"/>
        </w:rPr>
        <w:t xml:space="preserve">architectural choices that reflect a lack of understanding of what AS9100D requires,</w:t>
      </w:r>
      <w:r>
        <w:rPr>
          <w:rFonts w:ascii="Times New Roman" w:hAnsi="Times New Roman"/>
        </w:rPr>
        <w:t xml:space="preserve">”</w:t>
      </w:r>
      <w:r>
        <w:rPr>
          <w:rFonts w:ascii="Times New Roman" w:hAnsi="Times New Roman"/>
        </w:rPr>
        <w:t xml:space="preserve"> </w:t>
      </w:r>
      <w:r>
        <w:rPr>
          <w:rFonts w:ascii="Times New Roman" w:hAnsi="Times New Roman"/>
        </w:rPr>
        <w:t xml:space="preserve">not bugs. App. Ex. 19, Opinion 2.</w:t>
      </w:r>
    </w:p>
    <w:p>
      <w:pPr>
        <w:numPr>
          <w:ilvl w:val="0"/>
          <w:numId w:val="1012"/>
        </w:numPr>
      </w:pPr>
      <w:r>
        <w:rPr>
          <w:rFonts w:ascii="Times New Roman" w:hAnsi="Times New Roman"/>
        </w:rPr>
        <w:t xml:space="preserve">Mr. Tran opines that Apex’s performance did not meet</w:t>
      </w:r>
      <w:r>
        <w:rPr>
          <w:rFonts w:ascii="Times New Roman" w:hAnsi="Times New Roman"/>
        </w:rPr>
        <w:t xml:space="preserve"> </w:t>
      </w:r>
      <w:r>
        <w:rPr>
          <w:rFonts w:ascii="Times New Roman" w:hAnsi="Times New Roman"/>
        </w:rPr>
        <w:t xml:space="preserve">“</w:t>
      </w:r>
      <w:r>
        <w:rPr>
          <w:rFonts w:ascii="Times New Roman" w:hAnsi="Times New Roman"/>
        </w:rPr>
        <w:t xml:space="preserve">generally accepted industry standards</w:t>
      </w:r>
      <w:r>
        <w:rPr>
          <w:rFonts w:ascii="Times New Roman" w:hAnsi="Times New Roman"/>
        </w:rPr>
        <w:t xml:space="preserve">”</w:t>
      </w:r>
      <w:r>
        <w:rPr>
          <w:rFonts w:ascii="Times New Roman" w:hAnsi="Times New Roman"/>
        </w:rPr>
        <w:t xml:space="preserve"> </w:t>
      </w:r>
      <w:r>
        <w:rPr>
          <w:rFonts w:ascii="Times New Roman" w:hAnsi="Times New Roman"/>
        </w:rPr>
        <w:t xml:space="preserve">for ERP implementation within the meaning of MSA § 5.1(a) and was not</w:t>
      </w:r>
      <w:r>
        <w:rPr>
          <w:rFonts w:ascii="Times New Roman" w:hAnsi="Times New Roman"/>
        </w:rPr>
        <w:t xml:space="preserve"> </w:t>
      </w:r>
      <w:r>
        <w:rPr>
          <w:rFonts w:ascii="Times New Roman" w:hAnsi="Times New Roman"/>
        </w:rPr>
        <w:t xml:space="preserve">“</w:t>
      </w:r>
      <w:r>
        <w:rPr>
          <w:rFonts w:ascii="Times New Roman" w:hAnsi="Times New Roman"/>
        </w:rPr>
        <w:t xml:space="preserve">professional and workmanlike.</w:t>
      </w:r>
      <w:r>
        <w:rPr>
          <w:rFonts w:ascii="Times New Roman" w:hAnsi="Times New Roman"/>
        </w:rPr>
        <w:t xml:space="preserve">”</w:t>
      </w:r>
      <w:r>
        <w:rPr>
          <w:rFonts w:ascii="Times New Roman" w:hAnsi="Times New Roman"/>
        </w:rPr>
        <w:t xml:space="preserve"> </w:t>
      </w:r>
      <w:r>
        <w:rPr>
          <w:rFonts w:ascii="Times New Roman" w:hAnsi="Times New Roman"/>
        </w:rPr>
        <w:t xml:space="preserve">App. Ex. 19, Opinion 3.</w:t>
      </w:r>
    </w:p>
    <w:p>
      <w:pPr>
        <w:numPr>
          <w:ilvl w:val="0"/>
          <w:numId w:val="1012"/>
        </w:numPr>
      </w:pPr>
      <w:r>
        <w:rPr>
          <w:rFonts w:ascii="Times New Roman" w:hAnsi="Times New Roman"/>
        </w:rPr>
        <w:t xml:space="preserve">Mr. Tran found that, of more than forty Apex data requests, Ridgeline’s responses were late on two occasions, by three to five business days, with</w:t>
      </w:r>
      <w:r>
        <w:rPr>
          <w:rFonts w:ascii="Times New Roman" w:hAnsi="Times New Roman"/>
        </w:rPr>
        <w:t xml:space="preserve"> </w:t>
      </w:r>
      <w:r>
        <w:rPr>
          <w:rFonts w:ascii="Times New Roman" w:hAnsi="Times New Roman"/>
        </w:rPr>
        <w:t xml:space="preserve">“</w:t>
      </w:r>
      <w:r>
        <w:rPr>
          <w:rFonts w:ascii="Times New Roman" w:hAnsi="Times New Roman"/>
        </w:rPr>
        <w:t xml:space="preserve">no material impact on the project timeline.</w:t>
      </w:r>
      <w:r>
        <w:rPr>
          <w:rFonts w:ascii="Times New Roman" w:hAnsi="Times New Roman"/>
        </w:rPr>
        <w:t xml:space="preserve">”</w:t>
      </w:r>
      <w:r>
        <w:rPr>
          <w:rFonts w:ascii="Times New Roman" w:hAnsi="Times New Roman"/>
        </w:rPr>
        <w:t xml:space="preserve"> </w:t>
      </w:r>
      <w:r>
        <w:rPr>
          <w:rFonts w:ascii="Times New Roman" w:hAnsi="Times New Roman"/>
        </w:rPr>
        <w:t xml:space="preserve">App. Ex. 19 § II.E.</w:t>
      </w:r>
    </w:p>
    <w:p>
      <w:pPr>
        <w:numPr>
          <w:ilvl w:val="0"/>
          <w:numId w:val="1012"/>
        </w:numPr>
      </w:pPr>
      <w:r>
        <w:rPr>
          <w:rFonts w:ascii="Times New Roman" w:hAnsi="Times New Roman"/>
        </w:rPr>
        <w:t xml:space="preserve">Apex’s expert, Dr. Raj Anand, does not address MSA § 5.1, does not offer any opinion that Apex’s performance met generally accepted industry standards, and does not respond to Mr. Tran’s findings regarding the Teamcenter design or the AS9100D configuration. App. Ex. 21 (Anand Rep.)</w:t>
      </w:r>
      <w:r>
        <w:rPr>
          <w:rFonts w:ascii="Times New Roman" w:hAnsi="Times New Roman"/>
        </w:rPr>
        <w:t xml:space="preserve"> </w:t>
      </w:r>
      <w:r>
        <w:rPr>
          <w:rFonts w:ascii="Times New Roman" w:hAnsi="Times New Roman"/>
          <w:i/>
          <w:iCs/>
        </w:rPr>
        <w:t xml:space="preserve">passim</w:t>
      </w:r>
      <w:r>
        <w:rPr>
          <w:rFonts w:ascii="Times New Roman" w:hAnsi="Times New Roman"/>
        </w:rPr>
        <w:t xml:space="preserve">.</w:t>
      </w:r>
    </w:p>
    <w:p>
      <w:pPr>
        <w:numPr>
          <w:ilvl w:val="0"/>
          <w:numId w:val="1012"/>
        </w:numPr>
      </w:pPr>
      <w:r>
        <w:rPr>
          <w:rFonts w:ascii="Times New Roman" w:hAnsi="Times New Roman"/>
        </w:rPr>
        <w:t xml:space="preserve">Dr. Anand attributes, at most, three to four weeks of Phase 1 delay to Ridgeline (two late data deliveries and three rescheduled workshops). App. Ex. 21, Opinion 2. Dr. Anand’s opinion that the integration was unexpectedly complex rests on the premise that Ridgeline ran</w:t>
      </w:r>
      <w:r>
        <w:rPr>
          <w:rFonts w:ascii="Times New Roman" w:hAnsi="Times New Roman"/>
        </w:rPr>
        <w:t xml:space="preserve"> </w:t>
      </w:r>
      <w:r>
        <w:rPr>
          <w:rFonts w:ascii="Times New Roman" w:hAnsi="Times New Roman"/>
        </w:rPr>
        <w:t xml:space="preserve">“</w:t>
      </w:r>
      <w:r>
        <w:rPr>
          <w:rFonts w:ascii="Times New Roman" w:hAnsi="Times New Roman"/>
        </w:rPr>
        <w:t xml:space="preserve">Teamcenter 12.0</w:t>
      </w:r>
      <w:r>
        <w:rPr>
          <w:rFonts w:ascii="Times New Roman" w:hAnsi="Times New Roman"/>
        </w:rPr>
        <w:t xml:space="preserve">”</w:t>
      </w:r>
      <w:r>
        <w:rPr>
          <w:rFonts w:ascii="Times New Roman" w:hAnsi="Times New Roman"/>
        </w:rPr>
        <w:t xml:space="preserve">; the MSA identifies Ridgeline’s system as Teamcenter version 13.2.</w:t>
      </w:r>
      <w:r>
        <w:rPr>
          <w:rFonts w:ascii="Times New Roman" w:hAnsi="Times New Roman"/>
        </w:rPr>
        <w:t xml:space="preserve"> </w:t>
      </w:r>
      <w:r>
        <w:rPr>
          <w:rFonts w:ascii="Times New Roman" w:hAnsi="Times New Roman"/>
          <w:i/>
          <w:iCs/>
        </w:rPr>
        <w:t xml:space="preserve">Id.</w:t>
      </w:r>
      <w:r>
        <w:rPr>
          <w:rFonts w:ascii="Times New Roman" w:hAnsi="Times New Roman"/>
        </w:rPr>
        <w:t xml:space="preserve">, Opinion 1; App. Ex. 1 § 2.2(c).</w:t>
      </w:r>
    </w:p>
    <w:bookmarkEnd w:id="32"/>
    <w:bookmarkEnd w:id="33"/>
    <w:bookmarkStart w:id="34" w:name="viii.-notice-of-breach-and-termination"/>
    <w:p>
      <w:pPr>
        <w:pStyle w:val="Heading1"/>
      </w:pPr>
      <w:r>
        <w:rPr>
          <w:rFonts w:ascii="Times New Roman" w:hAnsi="Times New Roman"/>
        </w:rPr>
        <w:t xml:space="preserve">VIII. NOTICE OF BREACH AND TERMINATION</w:t>
      </w:r>
    </w:p>
    <w:p>
      <w:pPr>
        <w:numPr>
          <w:ilvl w:val="0"/>
          <w:numId w:val="1013"/>
        </w:numPr>
      </w:pPr>
      <w:r>
        <w:rPr>
          <w:rFonts w:ascii="Times New Roman" w:hAnsi="Times New Roman"/>
        </w:rPr>
        <w:t xml:space="preserve">On May 1, 2023, Ridgeline served written notice of material breach under MSA § 8.2 by certified mail and email, identifying four breaches: (1) failure to complete Phase 2; (2) failure to deliver a functional Teamcenter integration; (3) failure to properly configure the AS9100D modules; and (4) staffing the project with unqualified personnel. The notice gave Apex thirty days to cure. App. Ex. 15 (RMC-00012876); Szymanski Dep. 46:1–10 (App. Ex. 8).</w:t>
      </w:r>
    </w:p>
    <w:p>
      <w:pPr>
        <w:numPr>
          <w:ilvl w:val="0"/>
          <w:numId w:val="1013"/>
        </w:numPr>
      </w:pPr>
      <w:r>
        <w:rPr>
          <w:rFonts w:ascii="Times New Roman" w:hAnsi="Times New Roman"/>
        </w:rPr>
        <w:t xml:space="preserve">Apex’s May 15, 2023 response disputed the breaches, stated that Apex was</w:t>
      </w:r>
      <w:r>
        <w:rPr>
          <w:rFonts w:ascii="Times New Roman" w:hAnsi="Times New Roman"/>
        </w:rPr>
        <w:t xml:space="preserve"> </w:t>
      </w:r>
      <w:r>
        <w:rPr>
          <w:rFonts w:ascii="Times New Roman" w:hAnsi="Times New Roman"/>
        </w:rPr>
        <w:t xml:space="preserve">“</w:t>
      </w:r>
      <w:r>
        <w:rPr>
          <w:rFonts w:ascii="Times New Roman" w:hAnsi="Times New Roman"/>
        </w:rPr>
        <w:t xml:space="preserve">prepared to cure any perceived deficiencies within sixty (60) days,</w:t>
      </w:r>
      <w:r>
        <w:rPr>
          <w:rFonts w:ascii="Times New Roman" w:hAnsi="Times New Roman"/>
        </w:rPr>
        <w:t xml:space="preserve">”</w:t>
      </w:r>
      <w:r>
        <w:rPr>
          <w:rFonts w:ascii="Times New Roman" w:hAnsi="Times New Roman"/>
        </w:rPr>
        <w:t xml:space="preserve"> </w:t>
      </w:r>
      <w:r>
        <w:rPr>
          <w:rFonts w:ascii="Times New Roman" w:hAnsi="Times New Roman"/>
        </w:rPr>
        <w:t xml:space="preserve">and stated that Apex’s</w:t>
      </w:r>
      <w:r>
        <w:rPr>
          <w:rFonts w:ascii="Times New Roman" w:hAnsi="Times New Roman"/>
        </w:rPr>
        <w:t xml:space="preserve"> </w:t>
      </w:r>
      <w:r>
        <w:rPr>
          <w:rFonts w:ascii="Times New Roman" w:hAnsi="Times New Roman"/>
        </w:rPr>
        <w:t xml:space="preserve">“</w:t>
      </w:r>
      <w:r>
        <w:rPr>
          <w:rFonts w:ascii="Times New Roman" w:hAnsi="Times New Roman"/>
        </w:rPr>
        <w:t xml:space="preserve">willingness and ability to dedicate the substantial additional resources necessary . . . is contingent upon Ridgeline’s approval of the revised scope and fee structure previously proposed by Mr. Kresch on February 6, 2023.</w:t>
      </w:r>
      <w:r>
        <w:rPr>
          <w:rFonts w:ascii="Times New Roman" w:hAnsi="Times New Roman"/>
        </w:rPr>
        <w:t xml:space="preserve">”</w:t>
      </w:r>
      <w:r>
        <w:rPr>
          <w:rFonts w:ascii="Times New Roman" w:hAnsi="Times New Roman"/>
        </w:rPr>
        <w:t xml:space="preserve"> </w:t>
      </w:r>
      <w:r>
        <w:rPr>
          <w:rFonts w:ascii="Times New Roman" w:hAnsi="Times New Roman"/>
        </w:rPr>
        <w:t xml:space="preserve">It requested that the cure period be extended to sixty days. App. Ex. 16 (APEX-00011234); Szymanski Dep. 47:1–4 (App. Ex. 8).</w:t>
      </w:r>
    </w:p>
    <w:p>
      <w:pPr>
        <w:numPr>
          <w:ilvl w:val="0"/>
          <w:numId w:val="1013"/>
        </w:numPr>
      </w:pPr>
      <w:r>
        <w:rPr>
          <w:rFonts w:ascii="Times New Roman" w:hAnsi="Times New Roman"/>
        </w:rPr>
        <w:t xml:space="preserve">Apex did not cure the identified breaches within thirty days. By letter dated June 1, 2023, Ridgeline terminated the MSA under § 8.2. App. Ex. 17 (RMC-00013502); Szymanski Dep. 47:5–12 (App. Ex. 8).</w:t>
      </w:r>
    </w:p>
    <w:bookmarkEnd w:id="34"/>
    <w:bookmarkStart w:id="35" w:name="ix.-post-termination-events"/>
    <w:p>
      <w:pPr>
        <w:pStyle w:val="Heading1"/>
      </w:pPr>
      <w:r>
        <w:rPr>
          <w:rFonts w:ascii="Times New Roman" w:hAnsi="Times New Roman"/>
        </w:rPr>
        <w:t xml:space="preserve">IX. POST-TERMINATION EVENTS</w:t>
      </w:r>
    </w:p>
    <w:p>
      <w:pPr>
        <w:numPr>
          <w:ilvl w:val="0"/>
          <w:numId w:val="1014"/>
        </w:numPr>
      </w:pPr>
      <w:r>
        <w:rPr>
          <w:rFonts w:ascii="Times New Roman" w:hAnsi="Times New Roman"/>
        </w:rPr>
        <w:t xml:space="preserve">On July 10, 2023, Ridgeline engaged Caravel Technologies Group for $3,100,000 to complete the Stratos ERP implementation, and separately engaged Whitlock Consulting LLC, a Teamcenter specialist, for $475,000 to perform the Teamcenter integration. Szymanski Dep. 54:1–10 (App. Ex. 8); App. Ex. 20 (Varma Rep.) § I.C.</w:t>
      </w:r>
    </w:p>
    <w:p>
      <w:pPr>
        <w:numPr>
          <w:ilvl w:val="0"/>
          <w:numId w:val="1014"/>
        </w:numPr>
      </w:pPr>
      <w:r>
        <w:rPr>
          <w:rFonts w:ascii="Times New Roman" w:hAnsi="Times New Roman"/>
        </w:rPr>
        <w:t xml:space="preserve">Ridgeline achieved Go-Live on April 15, 2024, approximately twelve and a half months after the MSA’s March 31, 2023 Go-Live date, and operated on its legacy ManuTrack 7.2 system in the interim. Szymanski Dep. 54:11–55:16 (App. Ex. 8).</w:t>
      </w:r>
    </w:p>
    <w:p>
      <w:pPr>
        <w:numPr>
          <w:ilvl w:val="0"/>
          <w:numId w:val="1014"/>
        </w:numPr>
      </w:pPr>
      <w:r>
        <w:rPr>
          <w:rFonts w:ascii="Times New Roman" w:hAnsi="Times New Roman"/>
        </w:rPr>
        <w:t xml:space="preserve">Apex has asserted a counterclaim for $1,567,500, representing the Phase 2, UAT Sign-Off, and Go-Live milestone payments. Ridgeline never gave written sign-off on Phase 2 or UAT, and Go-Live was never achieved under the MSA. App. Ex. 16; [Answer &amp; Countercl. ¶¶</w:t>
      </w:r>
      <w:r>
        <w:rPr>
          <w:rFonts w:ascii="Times New Roman" w:hAnsi="Times New Roman"/>
        </w:rPr>
        <w:t xml:space="preserve"> </w:t>
      </w:r>
      <w:r>
        <w:rPr>
          <w:rFonts w:ascii="Times New Roman" w:hAnsi="Times New Roman"/>
          <w:b/>
          <w:bCs/>
        </w:rPr>
        <w:t xml:space="preserve">, ECF No. </w:t>
      </w:r>
      <w:r>
        <w:rPr>
          <w:rFonts w:ascii="Times New Roman" w:hAnsi="Times New Roman"/>
        </w:rPr>
        <w:t xml:space="preserve">]; ¶¶ 64, 84, 86,</w:t>
      </w:r>
      <w:r>
        <w:rPr>
          <w:rFonts w:ascii="Times New Roman" w:hAnsi="Times New Roman"/>
        </w:rPr>
        <w:t xml:space="preserve"> </w:t>
      </w:r>
      <w:r>
        <w:rPr>
          <w:rFonts w:ascii="Times New Roman" w:hAnsi="Times New Roman"/>
          <w:i/>
          <w:iCs/>
        </w:rPr>
        <w:t xml:space="preserve">supra</w:t>
      </w:r>
      <w:r>
        <w:rPr>
          <w:rFonts w:ascii="Times New Roman" w:hAnsi="Times New Roman"/>
        </w:rPr>
        <w:t xml:space="preserve">.</w:t>
      </w:r>
    </w:p>
    <w:p>
      <w:pPr>
        <w:pStyle w:val="Signature"/>
        <w:spacing w:line="240" w:lineRule="auto" w:after="200"/>
        <w:ind w:firstLine="0" w:left="5040"/>
      </w:pPr>
      <w:r>
        <w:rPr>
          <w:rFonts w:ascii="Times New Roman" w:hAnsi="Times New Roman"/>
        </w:rPr>
        <w:t xml:space="preserve">Dated: ____________, 2025</w:t>
      </w:r>
    </w:p>
    <w:p>
      <w:pPr>
        <w:pStyle w:val="Signature"/>
        <w:spacing w:line="240" w:lineRule="auto" w:after="200"/>
        <w:ind w:firstLine="0" w:left="5040"/>
      </w:pPr>
      <w:r>
        <w:rPr>
          <w:rFonts w:ascii="Times New Roman" w:hAnsi="Times New Roman"/>
        </w:rPr>
        <w:t xml:space="preserve">Respectfully submitted,</w:t>
      </w:r>
    </w:p>
    <w:p>
      <w:pPr>
        <w:pStyle w:val="Signature"/>
        <w:spacing w:line="240" w:lineRule="auto" w:after="200"/>
        <w:ind w:firstLine="0" w:left="5040"/>
      </w:pPr>
      <w:r>
        <w:rPr>
          <w:rFonts w:ascii="Times New Roman" w:hAnsi="Times New Roman"/>
        </w:rPr>
        <w:t xml:space="preserve">HOLLISTER, VANCE &amp; TRASK LLP</w:t>
      </w:r>
    </w:p>
    <w:p>
      <w:pPr>
        <w:pStyle w:val="Signature"/>
        <w:spacing w:line="240" w:lineRule="auto" w:after="200"/>
        <w:ind w:firstLine="0" w:left="5040"/>
      </w:pPr>
      <w:r>
        <w:rPr>
          <w:rFonts w:ascii="Times New Roman" w:hAnsi="Times New Roman"/>
        </w:rPr>
        <w:t xml:space="preserve">/s/ [signature]</w:t>
      </w:r>
      <w:r>
        <w:rPr>
          <w:rFonts w:ascii="Times New Roman" w:hAnsi="Times New Roman"/>
        </w:rPr>
        <w:br/>
      </w:r>
      <w:r>
        <w:rPr>
          <w:rFonts w:ascii="Times New Roman" w:hAnsi="Times New Roman"/>
        </w:rPr>
        <w:t xml:space="preserve">Catherine Hollister (PA ID No. [______])</w:t>
      </w:r>
      <w:r>
        <w:rPr>
          <w:rFonts w:ascii="Times New Roman" w:hAnsi="Times New Roman"/>
        </w:rPr>
        <w:br/>
      </w:r>
      <w:r>
        <w:rPr>
          <w:rFonts w:ascii="Times New Roman" w:hAnsi="Times New Roman"/>
        </w:rPr>
        <w:t xml:space="preserve">Brian Delacroix (PA ID No. 327841)</w:t>
      </w:r>
      <w:r>
        <w:rPr>
          <w:rFonts w:ascii="Times New Roman" w:hAnsi="Times New Roman"/>
        </w:rPr>
        <w:br/>
      </w:r>
      <w:r>
        <w:rPr>
          <w:rFonts w:ascii="Times New Roman" w:hAnsi="Times New Roman"/>
        </w:rPr>
        <w:t xml:space="preserve">610 Grant Street, Suite 3200</w:t>
      </w:r>
      <w:r>
        <w:rPr>
          <w:rFonts w:ascii="Times New Roman" w:hAnsi="Times New Roman"/>
        </w:rPr>
        <w:br/>
      </w:r>
      <w:r>
        <w:rPr>
          <w:rFonts w:ascii="Times New Roman" w:hAnsi="Times New Roman"/>
        </w:rPr>
        <w:t xml:space="preserve">Pittsburgh, PA 15219</w:t>
      </w:r>
      <w:r>
        <w:rPr>
          <w:rFonts w:ascii="Times New Roman" w:hAnsi="Times New Roman"/>
        </w:rPr>
        <w:br/>
      </w:r>
      <w:r>
        <w:rPr>
          <w:rFonts w:ascii="Times New Roman" w:hAnsi="Times New Roman"/>
        </w:rPr>
        <w:t xml:space="preserve">Telephone: (412) 555-3400</w:t>
      </w:r>
      <w:r>
        <w:rPr>
          <w:rFonts w:ascii="Times New Roman" w:hAnsi="Times New Roman"/>
        </w:rPr>
        <w:br/>
      </w:r>
      <w:r>
        <w:rPr>
          <w:rFonts w:ascii="Times New Roman" w:hAnsi="Times New Roman"/>
        </w:rPr>
        <w:t xml:space="preserve">Facsimile: (412) 555-3401</w:t>
      </w:r>
      <w:r>
        <w:rPr>
          <w:rFonts w:ascii="Times New Roman" w:hAnsi="Times New Roman"/>
        </w:rPr>
        <w:br/>
      </w:r>
      <w:r>
        <w:rPr>
          <w:rFonts w:ascii="Times New Roman" w:hAnsi="Times New Roman"/>
        </w:rPr>
        <w:t xml:space="preserve">khollister@hvtlaw.com</w:t>
      </w:r>
    </w:p>
    <w:p>
      <w:pPr>
        <w:pStyle w:val="Signature"/>
        <w:spacing w:line="240" w:lineRule="auto" w:after="200"/>
        <w:ind w:firstLine="0" w:left="5040"/>
      </w:pPr>
      <w:r>
        <w:rPr>
          <w:rFonts w:ascii="Times New Roman" w:hAnsi="Times New Roman"/>
          <w:i/>
          <w:iCs/>
        </w:rPr>
        <w:t xml:space="preserve">Counsel for Plaintiff and Counterclaim-Defendant Ridgeline Manufacturing Corp.</w:t>
      </w:r>
    </w:p>
    <w:bookmarkEnd w:id="35"/>
    <w:bookmarkStart w:id="36" w:name="index-of-appendix-exhibits-lcvr-56.b.3"/>
    <w:p>
      <w:pPr>
        <w:pStyle w:val="Heading1"/>
      </w:pPr>
      <w:r>
        <w:rPr>
          <w:rFonts w:ascii="Times New Roman" w:hAnsi="Times New Roman"/>
        </w:rPr>
        <w:t xml:space="preserve">INDEX OF APPENDIX EXHIBITS (LCvR 56.B.3)</w:t>
      </w:r>
    </w:p>
    <w:tbl>
      <w:tblPr>
        <w:tblStyle w:val="Table"/>
        <w:tblW w:type="pct" w:w="5000"/>
        <w:jc w:val="left"/>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on"/>
        </w:trPr>
        <w:tc>
          <w:tcPr/>
          <w:p>
            <w:pPr>
              <w:pStyle w:val="Compact"/>
              <w:spacing w:line="240" w:lineRule="auto"/>
              <w:ind w:firstLine="0"/>
              <w:jc w:val="left"/>
            </w:pPr>
            <w:r>
              <w:rPr>
                <w:sz w:val="20"/>
              </w:rPr>
              <w:t xml:space="preserve">App. Ex.</w:t>
            </w:r>
          </w:p>
        </w:tc>
        <w:tc>
          <w:tcPr/>
          <w:p>
            <w:pPr>
              <w:pStyle w:val="Compact"/>
              <w:spacing w:line="240" w:lineRule="auto"/>
              <w:ind w:firstLine="0"/>
              <w:jc w:val="left"/>
            </w:pPr>
            <w:r>
              <w:rPr>
                <w:sz w:val="20"/>
              </w:rPr>
              <w:t xml:space="preserve">Description</w:t>
            </w:r>
          </w:p>
        </w:tc>
        <w:tc>
          <w:tcPr/>
          <w:p>
            <w:pPr>
              <w:pStyle w:val="Compact"/>
              <w:spacing w:line="240" w:lineRule="auto"/>
              <w:ind w:firstLine="0"/>
              <w:jc w:val="left"/>
            </w:pPr>
            <w:r>
              <w:rPr>
                <w:sz w:val="20"/>
              </w:rPr>
              <w:t xml:space="preserve">Bates / Source</w:t>
            </w:r>
          </w:p>
        </w:tc>
      </w:tr>
      <w:tr>
        <w:tc>
          <w:tcPr/>
          <w:p>
            <w:pPr>
              <w:pStyle w:val="Compact"/>
              <w:spacing w:line="240" w:lineRule="auto"/>
              <w:ind w:firstLine="0"/>
              <w:jc w:val="left"/>
            </w:pPr>
            <w:r>
              <w:rPr>
                <w:sz w:val="20"/>
              </w:rPr>
              <w:t xml:space="preserve">1</w:t>
            </w:r>
          </w:p>
        </w:tc>
        <w:tc>
          <w:tcPr/>
          <w:p>
            <w:pPr>
              <w:pStyle w:val="Compact"/>
              <w:spacing w:line="240" w:lineRule="auto"/>
              <w:ind w:firstLine="0"/>
              <w:jc w:val="left"/>
            </w:pPr>
            <w:r>
              <w:rPr>
                <w:sz w:val="20"/>
              </w:rPr>
              <w:t xml:space="preserve">Master Services Agreement, with Exhibits A and B (signed Feb. 28, 2022; effective Mar. 1, 2022)</w:t>
            </w:r>
          </w:p>
        </w:tc>
        <w:tc>
          <w:tcPr/>
          <w:p>
            <w:pPr>
              <w:pStyle w:val="Compact"/>
              <w:spacing w:line="240" w:lineRule="auto"/>
              <w:ind w:firstLine="0"/>
              <w:jc w:val="left"/>
            </w:pPr>
            <w:r>
              <w:rPr>
                <w:sz w:val="20"/>
              </w:rPr>
              <w:t xml:space="preserve">—</w:t>
            </w:r>
          </w:p>
        </w:tc>
      </w:tr>
      <w:tr>
        <w:tc>
          <w:tcPr/>
          <w:p>
            <w:pPr>
              <w:pStyle w:val="Compact"/>
              <w:spacing w:line="240" w:lineRule="auto"/>
              <w:ind w:firstLine="0"/>
              <w:jc w:val="left"/>
            </w:pPr>
            <w:r>
              <w:rPr>
                <w:sz w:val="20"/>
              </w:rPr>
              <w:t xml:space="preserve">2</w:t>
            </w:r>
          </w:p>
        </w:tc>
        <w:tc>
          <w:tcPr/>
          <w:p>
            <w:pPr>
              <w:pStyle w:val="Compact"/>
              <w:spacing w:line="240" w:lineRule="auto"/>
              <w:ind w:firstLine="0"/>
              <w:jc w:val="left"/>
            </w:pPr>
            <w:r>
              <w:rPr>
                <w:sz w:val="20"/>
              </w:rPr>
              <w:t xml:space="preserve">Apex Response to RFP (Jan. 28, 2022)</w:t>
            </w:r>
          </w:p>
        </w:tc>
        <w:tc>
          <w:tcPr/>
          <w:p>
            <w:pPr>
              <w:pStyle w:val="Compact"/>
              <w:spacing w:line="240" w:lineRule="auto"/>
              <w:ind w:firstLine="0"/>
              <w:jc w:val="left"/>
            </w:pPr>
            <w:r>
              <w:rPr>
                <w:sz w:val="20"/>
              </w:rPr>
              <w:t xml:space="preserve">APEX-000142–188</w:t>
            </w:r>
          </w:p>
        </w:tc>
      </w:tr>
      <w:tr>
        <w:tc>
          <w:tcPr/>
          <w:p>
            <w:pPr>
              <w:pStyle w:val="Compact"/>
              <w:spacing w:line="240" w:lineRule="auto"/>
              <w:ind w:firstLine="0"/>
              <w:jc w:val="left"/>
            </w:pPr>
            <w:r>
              <w:rPr>
                <w:sz w:val="20"/>
              </w:rPr>
              <w:t xml:space="preserve">3</w:t>
            </w:r>
          </w:p>
        </w:tc>
        <w:tc>
          <w:tcPr/>
          <w:p>
            <w:pPr>
              <w:pStyle w:val="Compact"/>
              <w:spacing w:line="240" w:lineRule="auto"/>
              <w:ind w:firstLine="0"/>
              <w:jc w:val="left"/>
            </w:pPr>
            <w:r>
              <w:rPr>
                <w:sz w:val="20"/>
              </w:rPr>
              <w:t xml:space="preserve">Apex Capability Summary slide deck and transmittal email (Feb. 22, 2022) (Dep. Ex. 7)</w:t>
            </w:r>
          </w:p>
        </w:tc>
        <w:tc>
          <w:tcPr/>
          <w:p>
            <w:pPr>
              <w:pStyle w:val="Compact"/>
              <w:spacing w:line="240" w:lineRule="auto"/>
              <w:ind w:firstLine="0"/>
              <w:jc w:val="left"/>
            </w:pPr>
            <w:r>
              <w:rPr>
                <w:sz w:val="20"/>
              </w:rPr>
              <w:t xml:space="preserve">APEX-000201–218</w:t>
            </w:r>
          </w:p>
        </w:tc>
      </w:tr>
      <w:tr>
        <w:tc>
          <w:tcPr/>
          <w:p>
            <w:pPr>
              <w:pStyle w:val="Compact"/>
              <w:spacing w:line="240" w:lineRule="auto"/>
              <w:ind w:firstLine="0"/>
              <w:jc w:val="left"/>
            </w:pPr>
            <w:r>
              <w:rPr>
                <w:sz w:val="20"/>
              </w:rPr>
              <w:t xml:space="preserve">4</w:t>
            </w:r>
          </w:p>
        </w:tc>
        <w:tc>
          <w:tcPr/>
          <w:p>
            <w:pPr>
              <w:pStyle w:val="Compact"/>
              <w:spacing w:line="240" w:lineRule="auto"/>
              <w:ind w:firstLine="0"/>
              <w:jc w:val="left"/>
            </w:pPr>
            <w:r>
              <w:rPr>
                <w:sz w:val="20"/>
              </w:rPr>
              <w:t xml:space="preserve">Szymanski contemporaneous notes (Dep. Ex. 5)</w:t>
            </w:r>
          </w:p>
        </w:tc>
        <w:tc>
          <w:tcPr/>
          <w:p>
            <w:pPr>
              <w:pStyle w:val="Compact"/>
              <w:spacing w:line="240" w:lineRule="auto"/>
              <w:ind w:firstLine="0"/>
              <w:jc w:val="left"/>
            </w:pPr>
            <w:r>
              <w:rPr>
                <w:sz w:val="20"/>
              </w:rPr>
              <w:t xml:space="preserve">RMC-000487</w:t>
            </w:r>
          </w:p>
        </w:tc>
      </w:tr>
      <w:tr>
        <w:tc>
          <w:tcPr/>
          <w:p>
            <w:pPr>
              <w:pStyle w:val="Compact"/>
              <w:spacing w:line="240" w:lineRule="auto"/>
              <w:ind w:firstLine="0"/>
              <w:jc w:val="left"/>
            </w:pPr>
            <w:r>
              <w:rPr>
                <w:sz w:val="20"/>
              </w:rPr>
              <w:t xml:space="preserve">5</w:t>
            </w:r>
          </w:p>
        </w:tc>
        <w:tc>
          <w:tcPr/>
          <w:p>
            <w:pPr>
              <w:pStyle w:val="Compact"/>
              <w:spacing w:line="240" w:lineRule="auto"/>
              <w:ind w:firstLine="0"/>
              <w:jc w:val="left"/>
            </w:pPr>
            <w:r>
              <w:rPr>
                <w:sz w:val="20"/>
              </w:rPr>
              <w:t xml:space="preserve">Deposition of Ryan Ostroff (Oct. 17, 2024) (excerpts)</w:t>
            </w:r>
          </w:p>
        </w:tc>
        <w:tc>
          <w:tcPr/>
          <w:p>
            <w:pPr>
              <w:pStyle w:val="Compact"/>
              <w:spacing w:line="240" w:lineRule="auto"/>
              <w:ind w:firstLine="0"/>
              <w:jc w:val="left"/>
            </w:pPr>
            <w:r>
              <w:rPr>
                <w:sz w:val="20"/>
              </w:rPr>
              <w:t xml:space="preserve">—</w:t>
            </w:r>
          </w:p>
        </w:tc>
      </w:tr>
      <w:tr>
        <w:tc>
          <w:tcPr/>
          <w:p>
            <w:pPr>
              <w:pStyle w:val="Compact"/>
              <w:spacing w:line="240" w:lineRule="auto"/>
              <w:ind w:firstLine="0"/>
              <w:jc w:val="left"/>
            </w:pPr>
            <w:r>
              <w:rPr>
                <w:sz w:val="20"/>
              </w:rPr>
              <w:t xml:space="preserve">6</w:t>
            </w:r>
          </w:p>
        </w:tc>
        <w:tc>
          <w:tcPr/>
          <w:p>
            <w:pPr>
              <w:pStyle w:val="Compact"/>
              <w:spacing w:line="240" w:lineRule="auto"/>
              <w:ind w:firstLine="0"/>
              <w:jc w:val="left"/>
            </w:pPr>
            <w:r>
              <w:rPr>
                <w:sz w:val="20"/>
              </w:rPr>
              <w:t xml:space="preserve">Deposition of Tara Bellingham (Nov. 8, 2024) (excerpts)</w:t>
            </w:r>
          </w:p>
        </w:tc>
        <w:tc>
          <w:tcPr/>
          <w:p>
            <w:pPr>
              <w:pStyle w:val="Compact"/>
              <w:spacing w:line="240" w:lineRule="auto"/>
              <w:ind w:firstLine="0"/>
              <w:jc w:val="left"/>
            </w:pPr>
            <w:r>
              <w:rPr>
                <w:sz w:val="20"/>
              </w:rPr>
              <w:t xml:space="preserve">—</w:t>
            </w:r>
          </w:p>
        </w:tc>
      </w:tr>
      <w:tr>
        <w:tc>
          <w:tcPr/>
          <w:p>
            <w:pPr>
              <w:pStyle w:val="Compact"/>
              <w:spacing w:line="240" w:lineRule="auto"/>
              <w:ind w:firstLine="0"/>
              <w:jc w:val="left"/>
            </w:pPr>
            <w:r>
              <w:rPr>
                <w:sz w:val="20"/>
              </w:rPr>
              <w:t xml:space="preserve">7</w:t>
            </w:r>
          </w:p>
        </w:tc>
        <w:tc>
          <w:tcPr/>
          <w:p>
            <w:pPr>
              <w:pStyle w:val="Compact"/>
              <w:spacing w:line="240" w:lineRule="auto"/>
              <w:ind w:firstLine="0"/>
              <w:jc w:val="left"/>
            </w:pPr>
            <w:r>
              <w:rPr>
                <w:sz w:val="20"/>
              </w:rPr>
              <w:t xml:space="preserve">Deposition of Jordan Kresch (Nov. 22, 2024) (excerpts)</w:t>
            </w:r>
          </w:p>
        </w:tc>
        <w:tc>
          <w:tcPr/>
          <w:p>
            <w:pPr>
              <w:pStyle w:val="Compact"/>
              <w:spacing w:line="240" w:lineRule="auto"/>
              <w:ind w:firstLine="0"/>
              <w:jc w:val="left"/>
            </w:pPr>
            <w:r>
              <w:rPr>
                <w:sz w:val="20"/>
              </w:rPr>
              <w:t xml:space="preserve">—</w:t>
            </w:r>
          </w:p>
        </w:tc>
      </w:tr>
      <w:tr>
        <w:tc>
          <w:tcPr/>
          <w:p>
            <w:pPr>
              <w:pStyle w:val="Compact"/>
              <w:spacing w:line="240" w:lineRule="auto"/>
              <w:ind w:firstLine="0"/>
              <w:jc w:val="left"/>
            </w:pPr>
            <w:r>
              <w:rPr>
                <w:sz w:val="20"/>
              </w:rPr>
              <w:t xml:space="preserve">8</w:t>
            </w:r>
          </w:p>
        </w:tc>
        <w:tc>
          <w:tcPr/>
          <w:p>
            <w:pPr>
              <w:pStyle w:val="Compact"/>
              <w:spacing w:line="240" w:lineRule="auto"/>
              <w:ind w:firstLine="0"/>
              <w:jc w:val="left"/>
            </w:pPr>
            <w:r>
              <w:rPr>
                <w:sz w:val="20"/>
              </w:rPr>
              <w:t xml:space="preserve">Deposition of Paul Szymanski (Sept. 12, 2024) (excerpts)</w:t>
            </w:r>
          </w:p>
        </w:tc>
        <w:tc>
          <w:tcPr/>
          <w:p>
            <w:pPr>
              <w:pStyle w:val="Compact"/>
              <w:spacing w:line="240" w:lineRule="auto"/>
              <w:ind w:firstLine="0"/>
              <w:jc w:val="left"/>
            </w:pPr>
            <w:r>
              <w:rPr>
                <w:sz w:val="20"/>
              </w:rPr>
              <w:t xml:space="preserve">—</w:t>
            </w:r>
          </w:p>
        </w:tc>
      </w:tr>
      <w:tr>
        <w:tc>
          <w:tcPr/>
          <w:p>
            <w:pPr>
              <w:pStyle w:val="Compact"/>
              <w:spacing w:line="240" w:lineRule="auto"/>
              <w:ind w:firstLine="0"/>
              <w:jc w:val="left"/>
            </w:pPr>
            <w:r>
              <w:rPr>
                <w:sz w:val="20"/>
              </w:rPr>
              <w:t xml:space="preserve">9</w:t>
            </w:r>
          </w:p>
        </w:tc>
        <w:tc>
          <w:tcPr/>
          <w:p>
            <w:pPr>
              <w:pStyle w:val="Compact"/>
              <w:spacing w:line="240" w:lineRule="auto"/>
              <w:ind w:firstLine="0"/>
              <w:jc w:val="left"/>
            </w:pPr>
            <w:r>
              <w:rPr>
                <w:sz w:val="20"/>
              </w:rPr>
              <w:t xml:space="preserve">Ostroff Slack message, #ridgeline-project (May 3, 2022) (Dep. Ex. 12)</w:t>
            </w:r>
          </w:p>
        </w:tc>
        <w:tc>
          <w:tcPr/>
          <w:p>
            <w:pPr>
              <w:pStyle w:val="Compact"/>
              <w:spacing w:line="240" w:lineRule="auto"/>
              <w:ind w:firstLine="0"/>
              <w:jc w:val="left"/>
            </w:pPr>
            <w:r>
              <w:rPr>
                <w:sz w:val="20"/>
              </w:rPr>
              <w:t xml:space="preserve">APEX-00004782</w:t>
            </w:r>
          </w:p>
        </w:tc>
      </w:tr>
      <w:tr>
        <w:tc>
          <w:tcPr/>
          <w:p>
            <w:pPr>
              <w:pStyle w:val="Compact"/>
              <w:spacing w:line="240" w:lineRule="auto"/>
              <w:ind w:firstLine="0"/>
              <w:jc w:val="left"/>
            </w:pPr>
            <w:r>
              <w:rPr>
                <w:sz w:val="20"/>
              </w:rPr>
              <w:t xml:space="preserve">10</w:t>
            </w:r>
          </w:p>
        </w:tc>
        <w:tc>
          <w:tcPr/>
          <w:p>
            <w:pPr>
              <w:pStyle w:val="Compact"/>
              <w:spacing w:line="240" w:lineRule="auto"/>
              <w:ind w:firstLine="0"/>
              <w:jc w:val="left"/>
            </w:pPr>
            <w:r>
              <w:rPr>
                <w:sz w:val="20"/>
              </w:rPr>
              <w:t xml:space="preserve">Ostroff email to Szymanski (June 10, 2022) (Dep. Ex. 11)</w:t>
            </w:r>
          </w:p>
        </w:tc>
        <w:tc>
          <w:tcPr/>
          <w:p>
            <w:pPr>
              <w:pStyle w:val="Compact"/>
              <w:spacing w:line="240" w:lineRule="auto"/>
              <w:ind w:firstLine="0"/>
              <w:jc w:val="left"/>
            </w:pPr>
            <w:r>
              <w:rPr>
                <w:sz w:val="20"/>
              </w:rPr>
              <w:t xml:space="preserve">APEX-00005114</w:t>
            </w:r>
          </w:p>
        </w:tc>
      </w:tr>
      <w:tr>
        <w:tc>
          <w:tcPr/>
          <w:p>
            <w:pPr>
              <w:pStyle w:val="Compact"/>
              <w:spacing w:line="240" w:lineRule="auto"/>
              <w:ind w:firstLine="0"/>
              <w:jc w:val="left"/>
            </w:pPr>
            <w:r>
              <w:rPr>
                <w:sz w:val="20"/>
              </w:rPr>
              <w:t xml:space="preserve">11</w:t>
            </w:r>
          </w:p>
        </w:tc>
        <w:tc>
          <w:tcPr/>
          <w:p>
            <w:pPr>
              <w:pStyle w:val="Compact"/>
              <w:spacing w:line="240" w:lineRule="auto"/>
              <w:ind w:firstLine="0"/>
              <w:jc w:val="left"/>
            </w:pPr>
            <w:r>
              <w:rPr>
                <w:sz w:val="20"/>
              </w:rPr>
              <w:t xml:space="preserve">Szymanski email re Phase 1 payment and reservation of rights (Oct. 3, 2022) (Dep. Ex. 10)</w:t>
            </w:r>
          </w:p>
        </w:tc>
        <w:tc>
          <w:tcPr/>
          <w:p>
            <w:pPr>
              <w:pStyle w:val="Compact"/>
              <w:spacing w:line="240" w:lineRule="auto"/>
              <w:ind w:firstLine="0"/>
              <w:jc w:val="left"/>
            </w:pPr>
            <w:r>
              <w:rPr>
                <w:sz w:val="20"/>
              </w:rPr>
              <w:t xml:space="preserve">RMC-00008231</w:t>
            </w:r>
          </w:p>
        </w:tc>
      </w:tr>
      <w:tr>
        <w:tc>
          <w:tcPr/>
          <w:p>
            <w:pPr>
              <w:pStyle w:val="Compact"/>
              <w:spacing w:line="240" w:lineRule="auto"/>
              <w:ind w:firstLine="0"/>
              <w:jc w:val="left"/>
            </w:pPr>
            <w:r>
              <w:rPr>
                <w:sz w:val="20"/>
              </w:rPr>
              <w:t xml:space="preserve">12</w:t>
            </w:r>
          </w:p>
        </w:tc>
        <w:tc>
          <w:tcPr/>
          <w:p>
            <w:pPr>
              <w:pStyle w:val="Compact"/>
              <w:spacing w:line="240" w:lineRule="auto"/>
              <w:ind w:firstLine="0"/>
              <w:jc w:val="left"/>
            </w:pPr>
            <w:r>
              <w:rPr>
                <w:sz w:val="20"/>
              </w:rPr>
              <w:t xml:space="preserve">Ostroff email transmitting Change Order Request #4 (Dec. 19, 2022), with attachment</w:t>
            </w:r>
          </w:p>
        </w:tc>
        <w:tc>
          <w:tcPr/>
          <w:p>
            <w:pPr>
              <w:pStyle w:val="Compact"/>
              <w:spacing w:line="240" w:lineRule="auto"/>
              <w:ind w:firstLine="0"/>
              <w:jc w:val="left"/>
            </w:pPr>
            <w:r>
              <w:rPr>
                <w:sz w:val="20"/>
              </w:rPr>
              <w:t xml:space="preserve">APEX-00007493–98</w:t>
            </w:r>
          </w:p>
        </w:tc>
      </w:tr>
      <w:tr>
        <w:tc>
          <w:tcPr/>
          <w:p>
            <w:pPr>
              <w:pStyle w:val="Compact"/>
              <w:spacing w:line="240" w:lineRule="auto"/>
              <w:ind w:firstLine="0"/>
              <w:jc w:val="left"/>
            </w:pPr>
            <w:r>
              <w:rPr>
                <w:sz w:val="20"/>
              </w:rPr>
              <w:t xml:space="preserve">13</w:t>
            </w:r>
          </w:p>
        </w:tc>
        <w:tc>
          <w:tcPr/>
          <w:p>
            <w:pPr>
              <w:pStyle w:val="Compact"/>
              <w:spacing w:line="240" w:lineRule="auto"/>
              <w:ind w:firstLine="0"/>
              <w:jc w:val="left"/>
            </w:pPr>
            <w:r>
              <w:rPr>
                <w:sz w:val="20"/>
              </w:rPr>
              <w:t xml:space="preserve">Hollister letter rejecting CO-004 (Jan. 9, 2023)</w:t>
            </w:r>
          </w:p>
        </w:tc>
        <w:tc>
          <w:tcPr/>
          <w:p>
            <w:pPr>
              <w:pStyle w:val="Compact"/>
              <w:spacing w:line="240" w:lineRule="auto"/>
              <w:ind w:firstLine="0"/>
              <w:jc w:val="left"/>
            </w:pPr>
            <w:r>
              <w:rPr>
                <w:sz w:val="20"/>
              </w:rPr>
              <w:t xml:space="preserve">RMC-00010447</w:t>
            </w:r>
          </w:p>
        </w:tc>
      </w:tr>
      <w:tr>
        <w:tc>
          <w:tcPr/>
          <w:p>
            <w:pPr>
              <w:pStyle w:val="Compact"/>
              <w:spacing w:line="240" w:lineRule="auto"/>
              <w:ind w:firstLine="0"/>
              <w:jc w:val="left"/>
            </w:pPr>
            <w:r>
              <w:rPr>
                <w:sz w:val="20"/>
              </w:rPr>
              <w:t xml:space="preserve">14</w:t>
            </w:r>
          </w:p>
        </w:tc>
        <w:tc>
          <w:tcPr/>
          <w:p>
            <w:pPr>
              <w:pStyle w:val="Compact"/>
              <w:spacing w:line="240" w:lineRule="auto"/>
              <w:ind w:firstLine="0"/>
              <w:jc w:val="left"/>
            </w:pPr>
            <w:r>
              <w:rPr>
                <w:sz w:val="20"/>
              </w:rPr>
              <w:t xml:space="preserve">Kresch email to Calloway (Feb. 6, 2023) (Dep. Ex. 15)</w:t>
            </w:r>
          </w:p>
        </w:tc>
        <w:tc>
          <w:tcPr/>
          <w:p>
            <w:pPr>
              <w:pStyle w:val="Compact"/>
              <w:spacing w:line="240" w:lineRule="auto"/>
              <w:ind w:firstLine="0"/>
              <w:jc w:val="left"/>
            </w:pPr>
            <w:r>
              <w:rPr>
                <w:sz w:val="20"/>
              </w:rPr>
              <w:t xml:space="preserve">APEX-00009002</w:t>
            </w:r>
          </w:p>
        </w:tc>
      </w:tr>
      <w:tr>
        <w:tc>
          <w:tcPr/>
          <w:p>
            <w:pPr>
              <w:pStyle w:val="Compact"/>
              <w:spacing w:line="240" w:lineRule="auto"/>
              <w:ind w:firstLine="0"/>
              <w:jc w:val="left"/>
            </w:pPr>
            <w:r>
              <w:rPr>
                <w:sz w:val="20"/>
              </w:rPr>
              <w:t xml:space="preserve">15</w:t>
            </w:r>
          </w:p>
        </w:tc>
        <w:tc>
          <w:tcPr/>
          <w:p>
            <w:pPr>
              <w:pStyle w:val="Compact"/>
              <w:spacing w:line="240" w:lineRule="auto"/>
              <w:ind w:firstLine="0"/>
              <w:jc w:val="left"/>
            </w:pPr>
            <w:r>
              <w:rPr>
                <w:sz w:val="20"/>
              </w:rPr>
              <w:t xml:space="preserve">Notice of Material Breach (May 1, 2023)</w:t>
            </w:r>
          </w:p>
        </w:tc>
        <w:tc>
          <w:tcPr/>
          <w:p>
            <w:pPr>
              <w:pStyle w:val="Compact"/>
              <w:spacing w:line="240" w:lineRule="auto"/>
              <w:ind w:firstLine="0"/>
              <w:jc w:val="left"/>
            </w:pPr>
            <w:r>
              <w:rPr>
                <w:sz w:val="20"/>
              </w:rPr>
              <w:t xml:space="preserve">RMC-00012876</w:t>
            </w:r>
          </w:p>
        </w:tc>
      </w:tr>
      <w:tr>
        <w:tc>
          <w:tcPr/>
          <w:p>
            <w:pPr>
              <w:pStyle w:val="Compact"/>
              <w:spacing w:line="240" w:lineRule="auto"/>
              <w:ind w:firstLine="0"/>
              <w:jc w:val="left"/>
            </w:pPr>
            <w:r>
              <w:rPr>
                <w:sz w:val="20"/>
              </w:rPr>
              <w:t xml:space="preserve">16</w:t>
            </w:r>
          </w:p>
        </w:tc>
        <w:tc>
          <w:tcPr/>
          <w:p>
            <w:pPr>
              <w:pStyle w:val="Compact"/>
              <w:spacing w:line="240" w:lineRule="auto"/>
              <w:ind w:firstLine="0"/>
              <w:jc w:val="left"/>
            </w:pPr>
            <w:r>
              <w:rPr>
                <w:sz w:val="20"/>
              </w:rPr>
              <w:t xml:space="preserve">Rowe letter responding to Notice of Breach (May 15, 2023)</w:t>
            </w:r>
          </w:p>
        </w:tc>
        <w:tc>
          <w:tcPr/>
          <w:p>
            <w:pPr>
              <w:pStyle w:val="Compact"/>
              <w:spacing w:line="240" w:lineRule="auto"/>
              <w:ind w:firstLine="0"/>
              <w:jc w:val="left"/>
            </w:pPr>
            <w:r>
              <w:rPr>
                <w:sz w:val="20"/>
              </w:rPr>
              <w:t xml:space="preserve">APEX-00011234</w:t>
            </w:r>
          </w:p>
        </w:tc>
      </w:tr>
      <w:tr>
        <w:tc>
          <w:tcPr/>
          <w:p>
            <w:pPr>
              <w:pStyle w:val="Compact"/>
              <w:spacing w:line="240" w:lineRule="auto"/>
              <w:ind w:firstLine="0"/>
              <w:jc w:val="left"/>
            </w:pPr>
            <w:r>
              <w:rPr>
                <w:sz w:val="20"/>
              </w:rPr>
              <w:t xml:space="preserve">17</w:t>
            </w:r>
          </w:p>
        </w:tc>
        <w:tc>
          <w:tcPr/>
          <w:p>
            <w:pPr>
              <w:pStyle w:val="Compact"/>
              <w:spacing w:line="240" w:lineRule="auto"/>
              <w:ind w:firstLine="0"/>
              <w:jc w:val="left"/>
            </w:pPr>
            <w:r>
              <w:rPr>
                <w:sz w:val="20"/>
              </w:rPr>
              <w:t xml:space="preserve">Notice of Termination (June 1, 2023)</w:t>
            </w:r>
          </w:p>
        </w:tc>
        <w:tc>
          <w:tcPr/>
          <w:p>
            <w:pPr>
              <w:pStyle w:val="Compact"/>
              <w:spacing w:line="240" w:lineRule="auto"/>
              <w:ind w:firstLine="0"/>
              <w:jc w:val="left"/>
            </w:pPr>
            <w:r>
              <w:rPr>
                <w:sz w:val="20"/>
              </w:rPr>
              <w:t xml:space="preserve">RMC-00013502</w:t>
            </w:r>
          </w:p>
        </w:tc>
      </w:tr>
      <w:tr>
        <w:tc>
          <w:tcPr/>
          <w:p>
            <w:pPr>
              <w:pStyle w:val="Compact"/>
              <w:spacing w:line="240" w:lineRule="auto"/>
              <w:ind w:firstLine="0"/>
              <w:jc w:val="left"/>
            </w:pPr>
            <w:r>
              <w:rPr>
                <w:sz w:val="20"/>
              </w:rPr>
              <w:t xml:space="preserve">18</w:t>
            </w:r>
          </w:p>
        </w:tc>
        <w:tc>
          <w:tcPr/>
          <w:p>
            <w:pPr>
              <w:pStyle w:val="Compact"/>
              <w:spacing w:line="240" w:lineRule="auto"/>
              <w:ind w:firstLine="0"/>
              <w:jc w:val="left"/>
            </w:pPr>
            <w:r>
              <w:rPr>
                <w:sz w:val="20"/>
              </w:rPr>
              <w:t xml:space="preserve">Flores memorandum re AS9100D configuration failures (Apr. 18, 2023), with attachments</w:t>
            </w:r>
          </w:p>
        </w:tc>
        <w:tc>
          <w:tcPr/>
          <w:p>
            <w:pPr>
              <w:pStyle w:val="Compact"/>
              <w:spacing w:line="240" w:lineRule="auto"/>
              <w:ind w:firstLine="0"/>
              <w:jc w:val="left"/>
            </w:pPr>
            <w:r>
              <w:rPr>
                <w:sz w:val="20"/>
              </w:rPr>
              <w:t xml:space="preserve">[RMC-______]</w:t>
            </w:r>
          </w:p>
        </w:tc>
      </w:tr>
      <w:tr>
        <w:tc>
          <w:tcPr/>
          <w:p>
            <w:pPr>
              <w:pStyle w:val="Compact"/>
              <w:spacing w:line="240" w:lineRule="auto"/>
              <w:ind w:firstLine="0"/>
              <w:jc w:val="left"/>
            </w:pPr>
            <w:r>
              <w:rPr>
                <w:sz w:val="20"/>
              </w:rPr>
              <w:t xml:space="preserve">19</w:t>
            </w:r>
          </w:p>
        </w:tc>
        <w:tc>
          <w:tcPr/>
          <w:p>
            <w:pPr>
              <w:pStyle w:val="Compact"/>
              <w:spacing w:line="240" w:lineRule="auto"/>
              <w:ind w:firstLine="0"/>
              <w:jc w:val="left"/>
            </w:pPr>
            <w:r>
              <w:rPr>
                <w:sz w:val="20"/>
              </w:rPr>
              <w:t xml:space="preserve">Expert Report of Marcus Tran (Jan. 15, 2025), with Rule 56(c)(4) declaration</w:t>
            </w:r>
          </w:p>
        </w:tc>
        <w:tc>
          <w:tcPr/>
          <w:p>
            <w:pPr>
              <w:pStyle w:val="Compact"/>
              <w:spacing w:line="240" w:lineRule="auto"/>
              <w:ind w:firstLine="0"/>
              <w:jc w:val="left"/>
            </w:pPr>
            <w:r>
              <w:rPr>
                <w:sz w:val="20"/>
              </w:rPr>
              <w:t xml:space="preserve">—</w:t>
            </w:r>
          </w:p>
        </w:tc>
      </w:tr>
      <w:tr>
        <w:tc>
          <w:tcPr/>
          <w:p>
            <w:pPr>
              <w:pStyle w:val="Compact"/>
              <w:spacing w:line="240" w:lineRule="auto"/>
              <w:ind w:firstLine="0"/>
              <w:jc w:val="left"/>
            </w:pPr>
            <w:r>
              <w:rPr>
                <w:sz w:val="20"/>
              </w:rPr>
              <w:t xml:space="preserve">20</w:t>
            </w:r>
          </w:p>
        </w:tc>
        <w:tc>
          <w:tcPr/>
          <w:p>
            <w:pPr>
              <w:pStyle w:val="Compact"/>
              <w:spacing w:line="240" w:lineRule="auto"/>
              <w:ind w:firstLine="0"/>
              <w:jc w:val="left"/>
            </w:pPr>
            <w:r>
              <w:rPr>
                <w:sz w:val="20"/>
              </w:rPr>
              <w:t xml:space="preserve">Expert Report of Dr. Helen Varma (Jan. 15, 2025), with Rule 56(c)(4) declaration</w:t>
            </w:r>
          </w:p>
        </w:tc>
        <w:tc>
          <w:tcPr/>
          <w:p>
            <w:pPr>
              <w:pStyle w:val="Compact"/>
              <w:spacing w:line="240" w:lineRule="auto"/>
              <w:ind w:firstLine="0"/>
              <w:jc w:val="left"/>
            </w:pPr>
            <w:r>
              <w:rPr>
                <w:sz w:val="20"/>
              </w:rPr>
              <w:t xml:space="preserve">—</w:t>
            </w:r>
          </w:p>
        </w:tc>
      </w:tr>
      <w:tr>
        <w:tc>
          <w:tcPr/>
          <w:p>
            <w:pPr>
              <w:pStyle w:val="Compact"/>
              <w:spacing w:line="240" w:lineRule="auto"/>
              <w:ind w:firstLine="0"/>
              <w:jc w:val="left"/>
            </w:pPr>
            <w:r>
              <w:rPr>
                <w:sz w:val="20"/>
              </w:rPr>
              <w:t xml:space="preserve">21</w:t>
            </w:r>
          </w:p>
        </w:tc>
        <w:tc>
          <w:tcPr/>
          <w:p>
            <w:pPr>
              <w:pStyle w:val="Compact"/>
              <w:spacing w:line="240" w:lineRule="auto"/>
              <w:ind w:firstLine="0"/>
              <w:jc w:val="left"/>
            </w:pPr>
            <w:r>
              <w:rPr>
                <w:sz w:val="20"/>
              </w:rPr>
              <w:t xml:space="preserve">Expert Report of Dr. Raj Anand (Feb. 28, 2025)</w:t>
            </w:r>
          </w:p>
        </w:tc>
        <w:tc>
          <w:tcPr/>
          <w:p>
            <w:pPr>
              <w:pStyle w:val="Compact"/>
              <w:spacing w:line="240" w:lineRule="auto"/>
              <w:ind w:firstLine="0"/>
              <w:jc w:val="left"/>
            </w:pPr>
            <w:r>
              <w:rPr>
                <w:sz w:val="20"/>
              </w:rPr>
              <w:t xml:space="preserve">—</w:t>
            </w:r>
          </w:p>
        </w:tc>
      </w:tr>
      <w:tr>
        <w:tc>
          <w:tcPr/>
          <w:p>
            <w:pPr>
              <w:pStyle w:val="Compact"/>
              <w:spacing w:line="240" w:lineRule="auto"/>
              <w:ind w:firstLine="0"/>
              <w:jc w:val="left"/>
            </w:pPr>
            <w:r>
              <w:rPr>
                <w:sz w:val="20"/>
              </w:rPr>
              <w:t xml:space="preserve">22</w:t>
            </w:r>
          </w:p>
        </w:tc>
        <w:tc>
          <w:tcPr/>
          <w:p>
            <w:pPr>
              <w:pStyle w:val="Compact"/>
              <w:spacing w:line="240" w:lineRule="auto"/>
              <w:ind w:firstLine="0"/>
              <w:jc w:val="left"/>
            </w:pPr>
            <w:r>
              <w:rPr>
                <w:sz w:val="20"/>
              </w:rPr>
              <w:t xml:space="preserve">Minutes of Apex Board of Directors meeting (Jan. 2022) (Dep. Ex. 19)</w:t>
            </w:r>
          </w:p>
        </w:tc>
        <w:tc>
          <w:tcPr/>
          <w:p>
            <w:pPr>
              <w:pStyle w:val="Compact"/>
              <w:spacing w:line="240" w:lineRule="auto"/>
              <w:ind w:firstLine="0"/>
              <w:jc w:val="left"/>
            </w:pPr>
            <w:r>
              <w:rPr>
                <w:sz w:val="20"/>
              </w:rPr>
              <w:t xml:space="preserve">[APEX-______]</w:t>
            </w:r>
          </w:p>
        </w:tc>
      </w:tr>
      <w:tr>
        <w:tc>
          <w:tcPr/>
          <w:p>
            <w:pPr>
              <w:pStyle w:val="Compact"/>
              <w:spacing w:line="240" w:lineRule="auto"/>
              <w:ind w:firstLine="0"/>
              <w:jc w:val="left"/>
            </w:pPr>
            <w:r>
              <w:rPr>
                <w:sz w:val="20"/>
              </w:rPr>
              <w:t xml:space="preserve">23</w:t>
            </w:r>
          </w:p>
        </w:tc>
        <w:tc>
          <w:tcPr/>
          <w:p>
            <w:pPr>
              <w:pStyle w:val="Compact"/>
              <w:spacing w:line="240" w:lineRule="auto"/>
              <w:ind w:firstLine="0"/>
              <w:jc w:val="left"/>
            </w:pPr>
            <w:r>
              <w:rPr>
                <w:sz w:val="20"/>
              </w:rPr>
              <w:t xml:space="preserve">Declaration of Paul Szymanski [to be executed]</w:t>
            </w:r>
          </w:p>
        </w:tc>
        <w:tc>
          <w:tcPr/>
          <w:p>
            <w:pPr>
              <w:pStyle w:val="Compact"/>
              <w:spacing w:line="240" w:lineRule="auto"/>
              <w:ind w:firstLine="0"/>
              <w:jc w:val="left"/>
            </w:pPr>
            <w:r>
              <w:rPr>
                <w:sz w:val="20"/>
              </w:rPr>
              <w:t xml:space="preserve">—</w:t>
            </w:r>
          </w:p>
        </w:tc>
      </w:tr>
    </w:tbl>
    <w:bookmarkEnd w:id="36"/>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5">
    <w:nsid w:val="0A994185"/>
    <w:multiLevelType w:val="multilevel"/>
    <w:lvl w:ilvl="0">
      <w:start w:val="85"/>
      <w:numFmt w:val="decimal"/>
      <w:lvlText w:val="%1."/>
      <w:lvlJc w:val="left"/>
      <w:pPr>
        <w:ind w:left="720" w:hanging="480"/>
      </w:pPr>
    </w:lvl>
    <w:lvl w:ilvl="1">
      <w:start w:val="85"/>
      <w:numFmt w:val="decimal"/>
      <w:lvlText w:val="%2."/>
      <w:lvlJc w:val="left"/>
      <w:pPr>
        <w:ind w:left="1440" w:hanging="480"/>
      </w:pPr>
    </w:lvl>
    <w:lvl w:ilvl="2">
      <w:start w:val="85"/>
      <w:numFmt w:val="decimal"/>
      <w:lvlText w:val="%3."/>
      <w:lvlJc w:val="left"/>
      <w:pPr>
        <w:ind w:left="2160" w:hanging="480"/>
      </w:pPr>
    </w:lvl>
    <w:lvl w:ilvl="3">
      <w:start w:val="85"/>
      <w:numFmt w:val="decimal"/>
      <w:lvlText w:val="%4."/>
      <w:lvlJc w:val="left"/>
      <w:pPr>
        <w:ind w:left="2880" w:hanging="480"/>
      </w:pPr>
    </w:lvl>
    <w:lvl w:ilvl="4">
      <w:start w:val="85"/>
      <w:numFmt w:val="decimal"/>
      <w:lvlText w:val="%5."/>
      <w:lvlJc w:val="left"/>
      <w:pPr>
        <w:ind w:left="3600" w:hanging="480"/>
      </w:pPr>
    </w:lvl>
    <w:lvl w:ilvl="5">
      <w:start w:val="85"/>
      <w:numFmt w:val="decimal"/>
      <w:lvlText w:val="%6."/>
      <w:lvlJc w:val="left"/>
      <w:pPr>
        <w:ind w:left="4320" w:hanging="480"/>
      </w:pPr>
    </w:lvl>
    <w:lvl w:ilvl="6">
      <w:start w:val="85"/>
      <w:numFmt w:val="decimal"/>
      <w:lvlText w:val="%7."/>
      <w:lvlJc w:val="left"/>
      <w:pPr>
        <w:ind w:left="5040" w:hanging="480"/>
      </w:pPr>
    </w:lvl>
    <w:lvl w:ilvl="7">
      <w:start w:val="85"/>
      <w:numFmt w:val="decimal"/>
      <w:lvlText w:val="%8."/>
      <w:lvlJc w:val="left"/>
      <w:pPr>
        <w:ind w:left="5760" w:hanging="480"/>
      </w:pPr>
    </w:lvl>
    <w:lvl w:ilvl="8">
      <w:start w:val="8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8">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09">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10">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11">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12">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13">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14">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480" w:lineRule="auto"/>
    </w:pPr>
    <w:rPr>
      <w:rFonts w:ascii="Times New Roman" w:hAnsi="Times New Roman"/>
      <w:color w:val="000000"/>
      <w:sz w:val="24"/>
    </w:rPr>
  </w:style>
  <w:style w:styleId="BodyText" w:type="paragraph">
    <w:name w:val="Body Text"/>
    <w:basedOn w:val="Normal"/>
    <w:link w:val="BodyTextChar"/>
    <w:qFormat/>
    <w:pPr>
      <w:spacing w:after="160" w:before="180" w:line="480" w:lineRule="auto"/>
      <w:ind w:firstLine="720"/>
    </w:pPr>
    <w:rPr>
      <w:rFonts w:ascii="Times New Roman" w:hAnsi="Times New Roman"/>
      <w:color w:val="000000"/>
      <w:sz w:val="24"/>
    </w:rPr>
  </w:style>
  <w:style w:customStyle="1" w:styleId="FirstParagraph" w:type="paragraph">
    <w:name w:val="First Paragraph"/>
    <w:basedOn w:val="BodyText"/>
    <w:next w:val="BodyText"/>
    <w:qFormat/>
    <w:pPr>
      <w:spacing w:after="160" w:line="480" w:lineRule="auto"/>
      <w:ind w:firstLine="720"/>
    </w:pPr>
    <w:rPr>
      <w:rFonts w:ascii="Times New Roman" w:hAnsi="Times New Roman"/>
      <w:color w:val="000000"/>
      <w:sz w:val="24"/>
    </w:rPr>
  </w:style>
  <w:style w:customStyle="1" w:styleId="Compact" w:type="paragraph">
    <w:name w:val="Compact"/>
    <w:basedOn w:val="BodyText"/>
    <w:qFormat/>
    <w:pPr>
      <w:spacing w:after="160" w:before="36" w:line="276" w:lineRule="auto"/>
    </w:pPr>
    <w:rPr>
      <w:rFonts w:ascii="Times New Roman" w:hAnsi="Times New Roman"/>
      <w:color w:val="000000"/>
      <w:sz w:val="24"/>
    </w:rPr>
  </w:style>
  <w:style w:styleId="Title" w:type="paragraph">
    <w:name w:val="Title"/>
    <w:basedOn w:val="Normal"/>
    <w:next w:val="BodyText"/>
    <w:qFormat/>
    <w:pPr>
      <w:keepNext/>
      <w:keepLines/>
      <w:spacing w:after="160" w:before="240"/>
      <w:jc w:val="center"/>
    </w:pPr>
    <w:rPr>
      <w:rFonts w:ascii="Times New Roman" w:hAnsi="Times New Roman"/>
      <w:b/>
      <w:bCs/>
      <w:i w:val="0"/>
      <w:color w:val="000000"/>
      <w:sz w:val="24"/>
      <w:szCs w:val="36"/>
    </w:rPr>
  </w:style>
  <w:style w:styleId="Subtitle" w:type="paragraph">
    <w:name w:val="Subtitle"/>
    <w:basedOn w:val="Title"/>
    <w:next w:val="BodyText"/>
    <w:qFormat/>
    <w:pPr>
      <w:keepNext/>
      <w:keepLines/>
      <w:spacing w:after="160" w:before="240"/>
      <w:jc w:val="center"/>
    </w:pPr>
    <w:rPr>
      <w:rFonts w:ascii="Times New Roman" w:hAnsi="Times New Roman"/>
      <w:b/>
      <w:i w:val="0"/>
      <w:color w:val="000000"/>
      <w:sz w:val="24"/>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60" w:before="240"/>
      <w:jc w:val="center"/>
      <w:outlineLvl w:val="0"/>
    </w:pPr>
    <w:rPr>
      <w:rFonts w:ascii="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160" w:before="240"/>
      <w:outlineLvl w:val="1"/>
    </w:pPr>
    <w:rPr>
      <w:rFonts w:ascii="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160" w:before="240"/>
      <w:outlineLvl w:val="2"/>
    </w:pPr>
    <w:rPr>
      <w:rFonts w:ascii="Times New Roman" w:hAnsi="Times New Roman"/>
      <w:b/>
      <w:bCs/>
      <w:i w:val="0"/>
      <w:color w:val="000000"/>
      <w:sz w:val="24"/>
      <w:szCs w:val="24"/>
    </w:rPr>
  </w:style>
  <w:style w:styleId="Heading4" w:type="paragraph">
    <w:name w:val="Heading 4"/>
    <w:basedOn w:val="Normal"/>
    <w:next w:val="BodyText"/>
    <w:uiPriority w:val="9"/>
    <w:unhideWhenUsed/>
    <w:qFormat/>
    <w:pPr>
      <w:keepNext/>
      <w:keepLines/>
      <w:spacing w:after="160" w:before="240"/>
      <w:outlineLvl w:val="3"/>
    </w:pPr>
    <w:rPr>
      <w:rFonts w:ascii="Times New Roman" w:hAnsi="Times New Roman"/>
      <w:b/>
      <w:bCs/>
      <w:i w:val="0"/>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olor w:val="000000"/>
      <w:sz w:val="24"/>
      <w:szCs w:val="24"/>
    </w:rPr>
  </w:style>
  <w:style w:styleId="BlockText" w:type="paragraph">
    <w:name w:val="Block Text"/>
    <w:basedOn w:val="BodyText"/>
    <w:next w:val="BodyText"/>
    <w:uiPriority w:val="9"/>
    <w:unhideWhenUsed/>
    <w:qFormat/>
    <w:pPr>
      <w:spacing w:after="160" w:before="100" w:line="276" w:lineRule="auto"/>
      <w:ind w:firstLine="0" w:left="1080" w:right="1080"/>
    </w:pPr>
    <w:rPr>
      <w:rFonts w:ascii="Times New Roman" w:hAnsi="Times New Roman"/>
      <w:color w:val="000000"/>
      <w:sz w:val="24"/>
    </w:rPr>
  </w:style>
  <w:style w:styleId="FootnoteText" w:type="paragraph">
    <w:name w:val="Footnote Text"/>
    <w:basedOn w:val="Normal"/>
    <w:next w:val="FootnoteText"/>
    <w:uiPriority w:val="9"/>
    <w:unhideWhenUsed/>
    <w:qFormat/>
    <w:rPr>
      <w:rFonts w:ascii="Times New Roman" w:hAnsi="Times New Roman"/>
      <w:color w:val="000000"/>
      <w:sz w:val="2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b w:val="0"/>
      <w:bCs w:val="0"/>
      <w:color w:val="000000"/>
    </w:rPr>
  </w:style>
  <w:style w:type="paragraph" w:customStyle="1" w:styleId="CaptionBlock">
    <w:name w:val="Caption Block"/>
    <w:basedOn w:val="BodyText"/>
    <w:qFormat/>
  </w:style>
  <w:style w:type="paragraph" w:customStyle="1" w:styleId="Centered">
    <w:name w:val="Centered"/>
    <w:basedOn w:val="BodyText"/>
    <w:qFormat/>
  </w:style>
  <w:style w:type="paragraph" w:customStyle="1" w:styleId="Signature">
    <w:name w:val="Signatur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2026-09-27T00:59:18Z</dcterms:created>
  <dcterms:modified xsi:type="dcterms:W3CDTF">2026-09-27T00:59:18Z</dcterms:modified>
</cp:coreProperties>
</file>

<file path=docProps/custom.xml><?xml version="1.0" encoding="utf-8"?>
<Properties xmlns="http://schemas.openxmlformats.org/officeDocument/2006/custom-properties" xmlns:vt="http://schemas.openxmlformats.org/officeDocument/2006/docPropsVTypes"/>
</file>