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center"/>
      </w:pPr>
      <w:r>
        <w:rPr>
          <w:rFonts w:ascii="Times New Roman" w:hAnsi="Times New Roman" w:eastAsia="Times New Roman"/>
          <w:b/>
          <w:i w:val="0"/>
          <w:sz w:val="24"/>
        </w:rPr>
        <w:t>UNITED STATES DISTRICT COURT</w:t>
      </w:r>
    </w:p>
    <w:p>
      <w:pPr>
        <w:spacing w:before="0" w:after="160" w:line="240" w:lineRule="auto"/>
        <w:ind w:firstLine="0"/>
        <w:jc w:val="center"/>
      </w:pPr>
      <w:r>
        <w:rPr>
          <w:rFonts w:ascii="Times New Roman" w:hAnsi="Times New Roman" w:eastAsia="Times New Roman"/>
          <w:b/>
          <w:i w:val="0"/>
          <w:sz w:val="24"/>
        </w:rPr>
        <w:t>WESTERN DISTRICT OF WASHINGTON AT SEATTLE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328"/>
        <w:gridCol w:w="4032"/>
      </w:tblGrid>
      <w:tr>
        <w:trPr>
          <w:cantSplit/>
        </w:trPr>
        <w:tc>
          <w:tcPr>
            <w:tcW w:type="dxa" w:w="5328"/>
            <w:vAlign w:val="top"/>
            <w:tcMar>
              <w:top w:w="0" w:type="dxa"/>
              <w:start w:w="100" w:type="dxa"/>
              <w:bottom w:w="0" w:type="dxa"/>
              <w:end w:w="100" w:type="dxa"/>
            </w:tcMar>
          </w:tcPr>
          <w:p>
            <w:pPr>
              <w:spacing w:line="264" w:lineRule="auto" w:after="0"/>
              <w:ind w:firstLine="0"/>
            </w:pPr>
            <w:r>
              <w:rPr>
                <w:rFonts w:ascii="Times New Roman" w:hAnsi="Times New Roman" w:eastAsia="Times New Roman"/>
                <w:b/>
                <w:sz w:val="24"/>
              </w:rPr>
              <w:t>RIDGELINE MANUFACTURING CORP.,</w:t>
            </w:r>
          </w:p>
          <w:p>
            <w:pPr>
              <w:spacing w:line="264" w:lineRule="auto" w:after="0"/>
              <w:ind w:firstLine="0"/>
            </w:pPr>
            <w:r>
              <w:rPr>
                <w:rFonts w:ascii="Times New Roman" w:hAnsi="Times New Roman" w:eastAsia="Times New Roman"/>
                <w:b w:val="0"/>
                <w:sz w:val="24"/>
              </w:rPr>
              <w:t>Plaintiff,</w:t>
            </w:r>
          </w:p>
          <w:p>
            <w:pPr>
              <w:spacing w:line="264" w:lineRule="auto" w:after="0"/>
              <w:ind w:firstLine="0"/>
            </w:pPr>
            <w:r>
              <w:rPr>
                <w:rFonts w:ascii="Times New Roman" w:hAnsi="Times New Roman" w:eastAsia="Times New Roman"/>
                <w:b w:val="0"/>
                <w:sz w:val="24"/>
              </w:rPr>
              <w:t>v.</w:t>
            </w:r>
          </w:p>
          <w:p>
            <w:pPr>
              <w:spacing w:line="264" w:lineRule="auto" w:after="0"/>
              <w:ind w:firstLine="0"/>
            </w:pPr>
            <w:r>
              <w:rPr>
                <w:rFonts w:ascii="Times New Roman" w:hAnsi="Times New Roman" w:eastAsia="Times New Roman"/>
                <w:b/>
                <w:sz w:val="24"/>
              </w:rPr>
              <w:t>CASCADE POLYMER SOLUTIONS, INC.,</w:t>
            </w:r>
          </w:p>
          <w:p>
            <w:pPr>
              <w:spacing w:line="264" w:lineRule="auto" w:after="0"/>
              <w:ind w:firstLine="0"/>
            </w:pPr>
            <w:r>
              <w:rPr>
                <w:rFonts w:ascii="Times New Roman" w:hAnsi="Times New Roman" w:eastAsia="Times New Roman"/>
                <w:b w:val="0"/>
                <w:sz w:val="24"/>
              </w:rPr>
              <w:t>Defendant.</w:t>
            </w:r>
          </w:p>
        </w:tc>
        <w:tc>
          <w:tcPr>
            <w:tcW w:type="dxa" w:w="4032"/>
            <w:vAlign w:val="top"/>
            <w:tcMar>
              <w:top w:w="0" w:type="dxa"/>
              <w:start w:w="100" w:type="dxa"/>
              <w:bottom w:w="0" w:type="dxa"/>
              <w:end w:w="100" w:type="dxa"/>
            </w:tcMar>
          </w:tcPr>
          <w:p>
            <w:pPr>
              <w:spacing w:line="264" w:lineRule="auto" w:after="0"/>
              <w:ind w:firstLine="0"/>
            </w:pPr>
            <w:r>
              <w:rPr>
                <w:rFonts w:ascii="Times New Roman" w:hAnsi="Times New Roman" w:eastAsia="Times New Roman"/>
                <w:b w:val="0"/>
                <w:sz w:val="24"/>
              </w:rPr>
              <w:t>Case No. 2:24-cv-00118-RW</w:t>
            </w:r>
          </w:p>
          <w:p>
            <w:pPr>
              <w:spacing w:line="264" w:lineRule="auto" w:after="0"/>
              <w:ind w:firstLine="0"/>
            </w:pPr>
            <w:r>
              <w:rPr>
                <w:rFonts w:ascii="Times New Roman" w:hAnsi="Times New Roman" w:eastAsia="Times New Roman"/>
                <w:b w:val="0"/>
                <w:sz w:val="24"/>
              </w:rPr>
              <w:t>Hon. Rebecca Whitford</w:t>
            </w:r>
          </w:p>
          <w:p>
            <w:pPr>
              <w:spacing w:line="264" w:lineRule="auto" w:after="0"/>
              <w:ind w:firstLine="0"/>
            </w:pPr>
            <w:r>
              <w:rPr>
                <w:rFonts w:ascii="Times New Roman" w:hAnsi="Times New Roman" w:eastAsia="Times New Roman"/>
                <w:b w:val="0"/>
                <w:sz w:val="24"/>
              </w:rPr>
            </w:r>
          </w:p>
          <w:p>
            <w:pPr>
              <w:spacing w:line="264" w:lineRule="auto" w:after="0"/>
              <w:ind w:firstLine="0"/>
            </w:pPr>
            <w:r>
              <w:rPr>
                <w:rFonts w:ascii="Times New Roman" w:hAnsi="Times New Roman" w:eastAsia="Times New Roman"/>
                <w:b/>
                <w:sz w:val="22"/>
              </w:rPr>
              <w:t>DEFENDANT CASCADE POLYMER SOLUTIONS, INC.’S MOTION IN LIMINE TO EXCLUDE SPECIFIED DAMAGES OPINIONS, SUBSEQUENT REMEDIAL MEASURES, AND UNRELATED OSHA EVIDENCE</w:t>
            </w:r>
          </w:p>
        </w:tc>
      </w:tr>
    </w:tbl>
    <w:p>
      <w:pPr>
        <w:spacing w:before="160" w:after="160" w:line="240" w:lineRule="auto"/>
        <w:ind w:firstLine="0"/>
        <w:jc w:val="center"/>
      </w:pPr>
      <w:r>
        <w:rPr>
          <w:rFonts w:ascii="Times New Roman" w:hAnsi="Times New Roman" w:eastAsia="Times New Roman"/>
          <w:b w:val="0"/>
          <w:i w:val="0"/>
          <w:sz w:val="24"/>
        </w:rPr>
        <w:t>Hearing: February 10, 2025 | Trial: February 24, 2025</w:t>
      </w:r>
    </w:p>
    <w:p>
      <w:pPr>
        <w:spacing w:before="0" w:after="0" w:line="480" w:lineRule="auto"/>
        <w:ind w:firstLine="720"/>
      </w:pPr>
      <w:r>
        <w:rPr>
          <w:rFonts w:ascii="Times New Roman" w:hAnsi="Times New Roman" w:eastAsia="Times New Roman"/>
          <w:b w:val="0"/>
          <w:i w:val="0"/>
          <w:sz w:val="24"/>
        </w:rPr>
        <w:t>Defendant Cascade Polymer Solutions, Inc. (“Cascade”) moves in limine under Federal Rules of Evidence 104, 403, 404(b), 407, 702, and 703 to exclude: (1) specified damages opinions of Plaintiff’s expert Dr. Lena Marchetti; (2) evidence and argument concerning Cascade’s post-dispute testing and packaging changes; and (3) an unrelated OSHA ventilation citation and associated evidence. Plaintiff has stated it intends to offer the challenged evidence, and the parties have met and conferred without resolving the disputes.</w:t>
      </w:r>
    </w:p>
    <w:p>
      <w:pPr>
        <w:spacing w:before="0" w:after="0" w:line="480" w:lineRule="auto"/>
        <w:ind w:firstLine="720"/>
      </w:pPr>
      <w:r>
        <w:rPr>
          <w:rFonts w:ascii="Times New Roman" w:hAnsi="Times New Roman" w:eastAsia="Times New Roman"/>
          <w:b w:val="0"/>
          <w:i w:val="0"/>
          <w:sz w:val="24"/>
        </w:rPr>
        <w:t>Cascade seeks a focused ruling on admissibility—not a determination of whether the resin conformed to the Supply Agreement or whether Ridgeline can prove its claims. Cascade does not challenge the arithmetic purchase-price calculation for the resin or the documented replacement-resin premium on methodological grounds. The requested exclusions address opinions and evidence whose probative value is either unsupported by a reliable foundation or substantially outweighed by the risk of unfair prejudice and confusion.</w:t>
      </w:r>
    </w:p>
    <w:p>
      <w:pPr>
        <w:keepNext/>
        <w:spacing w:before="140" w:after="0" w:line="240" w:lineRule="auto"/>
        <w:ind w:firstLine="0"/>
      </w:pPr>
      <w:r>
        <w:rPr>
          <w:rFonts w:ascii="Times New Roman" w:hAnsi="Times New Roman" w:eastAsia="Times New Roman"/>
          <w:b/>
          <w:sz w:val="24"/>
        </w:rPr>
        <w:t>I. RELEVANT FACTS</w:t>
      </w:r>
    </w:p>
    <w:p>
      <w:pPr>
        <w:spacing w:before="0" w:after="0" w:line="480" w:lineRule="auto"/>
        <w:ind w:firstLine="720"/>
      </w:pPr>
      <w:r>
        <w:rPr>
          <w:rFonts w:ascii="Times New Roman" w:hAnsi="Times New Roman" w:eastAsia="Times New Roman"/>
          <w:b w:val="0"/>
          <w:i w:val="0"/>
          <w:sz w:val="24"/>
        </w:rPr>
        <w:t>Ridgeline alleges that four CascadeMax 7200 shipments delivered from June through September 2023 contained moisture above the 0.08% specification. Cascade disputes that allegation and contends its Certificates of Analysis show compliance at shipment; it also disputes causation and points to Ridgeline’s storage and handling. Ridgeline claims it discovered the alleged problem on August 22, 2023, and gave written notice on September 28, 2023. Supply Agreement §§ 5.1, 5.4; Gerhardt Rebuttal Report ¶¶ 24, 31–35.</w:t>
      </w:r>
    </w:p>
    <w:p>
      <w:pPr>
        <w:spacing w:before="0" w:after="0" w:line="480" w:lineRule="auto"/>
        <w:ind w:firstLine="720"/>
      </w:pPr>
      <w:r>
        <w:rPr>
          <w:rFonts w:ascii="Times New Roman" w:hAnsi="Times New Roman" w:eastAsia="Times New Roman"/>
          <w:b w:val="0"/>
          <w:i w:val="0"/>
          <w:sz w:val="24"/>
        </w:rPr>
        <w:t>Dr. Marchetti offers five damages categories, totaling $14.2 million as reported: $1,578,500 for resin, $2,340,000 for scrap and rework, $6,780,000 for lost profits, $512,500 for replacement resin premium, and $3,000,000 for reputational harm/future business. Marchetti Report §§ V–VI. Plaintiff’s exhibit list identifies the report as PX-20, the later protocol and shipping materials as PX-22–24, and the OSHA citation, payment records, and Driscoll excerpts as PX-25–27.</w:t>
      </w:r>
    </w:p>
    <w:p>
      <w:pPr>
        <w:spacing w:before="0" w:after="0" w:line="480" w:lineRule="auto"/>
        <w:ind w:firstLine="720"/>
      </w:pPr>
      <w:r>
        <w:rPr>
          <w:rFonts w:ascii="Times New Roman" w:hAnsi="Times New Roman" w:eastAsia="Times New Roman"/>
          <w:b w:val="0"/>
          <w:i w:val="0"/>
          <w:sz w:val="24"/>
        </w:rPr>
        <w:t>The agreement excludes consequential damages and, if consequential damages are held recoverable notwithstanding that exclusion, caps them at $2 million in the aggregate. Supply Agreement § 7.2. Dr. Marchetti classifies $10,292,500 of her claimed damages—including lost profits, replacement premium, and reputational harm—as consequential. Marchetti Report § VI.B.</w:t>
      </w:r>
    </w:p>
    <w:p>
      <w:pPr>
        <w:keepNext/>
        <w:spacing w:before="140" w:after="0" w:line="240" w:lineRule="auto"/>
        <w:ind w:firstLine="0"/>
      </w:pPr>
      <w:r>
        <w:rPr>
          <w:rFonts w:ascii="Times New Roman" w:hAnsi="Times New Roman" w:eastAsia="Times New Roman"/>
          <w:b/>
          <w:sz w:val="24"/>
        </w:rPr>
        <w:t>II. GOVERNING STANDARDS</w:t>
      </w:r>
    </w:p>
    <w:p>
      <w:pPr>
        <w:spacing w:before="0" w:after="0" w:line="480" w:lineRule="auto"/>
        <w:ind w:firstLine="720"/>
      </w:pPr>
      <w:r>
        <w:rPr>
          <w:rFonts w:ascii="Times New Roman" w:hAnsi="Times New Roman" w:eastAsia="Times New Roman"/>
          <w:b w:val="0"/>
          <w:i w:val="0"/>
          <w:sz w:val="24"/>
        </w:rPr>
        <w:t>Rule 702, as amended, requires the proponent to show, more likely than not, that expert testimony is based on sufficient facts or data, is the product of reliable principles and methods, and reflects a reliable application of those methods to the case. Fed. R. Evid. 702. The Court acts as gatekeeper under Daubert v. Merrell Dow Pharmaceuticals, Inc., 509 U.S. 579, 589, 592–95 (1993), and must exclude an opinion where an analytical gap separates the data from the conclusion. Gen. Elec. Co. v. Joiner, 522 U.S. 136, 146 (1997). The inquiry is flexible, but experience alone does not excuse an expert from explaining how it reliably supports the particular conclusion. Kumho Tire Co. v. Carmichael, 526 U.S. 137, 147, 152 (1999). The Court need not decide whether an opinion is ultimately correct; it must determine whether the proponent has established the required reliability. City of Pomona v. SQM N. Am. Corp., 750 F.3d 1036, 1044–45 (9th Cir. 2014).</w:t>
      </w:r>
    </w:p>
    <w:p>
      <w:pPr>
        <w:spacing w:before="0" w:after="0" w:line="480" w:lineRule="auto"/>
        <w:ind w:firstLine="720"/>
      </w:pPr>
      <w:r>
        <w:rPr>
          <w:rFonts w:ascii="Times New Roman" w:hAnsi="Times New Roman" w:eastAsia="Times New Roman"/>
          <w:b w:val="0"/>
          <w:i w:val="0"/>
          <w:sz w:val="24"/>
        </w:rPr>
        <w:t>Rule 403 permits exclusion when probative value is substantially outweighed by unfair prejudice, confusion, misleading the jury, or undue consumption of time. Rule 407 bars subsequent measures when offered to prove negligence, culpable conduct, or a product defect, unless feasibility is genuinely controverted or another permitted purpose applies. Rule 404(b) bars other-act evidence offered to prove character and action in conformity, though evidence may be admitted for a genuinely relevant, non-propensity purpose.</w:t>
      </w:r>
    </w:p>
    <w:p>
      <w:pPr>
        <w:keepNext/>
        <w:spacing w:before="140" w:after="0" w:line="240" w:lineRule="auto"/>
        <w:ind w:firstLine="0"/>
      </w:pPr>
      <w:r>
        <w:rPr>
          <w:rFonts w:ascii="Times New Roman" w:hAnsi="Times New Roman" w:eastAsia="Times New Roman"/>
          <w:b/>
          <w:sz w:val="24"/>
        </w:rPr>
        <w:t>III. ARGUMENT</w:t>
      </w:r>
    </w:p>
    <w:p>
      <w:pPr>
        <w:keepNext/>
        <w:spacing w:before="80" w:after="0" w:line="240" w:lineRule="auto"/>
        <w:ind w:firstLine="0"/>
      </w:pPr>
      <w:r>
        <w:rPr>
          <w:rFonts w:ascii="Times New Roman" w:hAnsi="Times New Roman" w:eastAsia="Times New Roman"/>
          <w:b/>
          <w:sz w:val="24"/>
        </w:rPr>
        <w:t>A. Exclude the challenged Marchetti opinions under Rule 702.</w:t>
      </w:r>
    </w:p>
    <w:p>
      <w:pPr>
        <w:spacing w:before="0" w:after="0" w:line="480" w:lineRule="auto"/>
        <w:ind w:firstLine="720"/>
      </w:pPr>
      <w:r>
        <w:rPr>
          <w:rFonts w:ascii="Times New Roman" w:hAnsi="Times New Roman" w:eastAsia="Times New Roman"/>
          <w:b w:val="0"/>
          <w:i w:val="0"/>
          <w:sz w:val="24"/>
        </w:rPr>
        <w:t>The motion does not attack Dr. Marchetti’s credentials or the general use of regression in forensic economics. It targets the methods she applied here and the absence of a reliable foundation for three large categories of damages. The defects are specific, admitted, and cumulative; cross-examination alone cannot supply the analyses that were never performed.</w:t>
      </w:r>
    </w:p>
    <w:p>
      <w:pPr>
        <w:keepNext/>
        <w:spacing w:before="80" w:after="0" w:line="240" w:lineRule="auto"/>
        <w:ind w:firstLine="0"/>
      </w:pPr>
      <w:r>
        <w:rPr>
          <w:rFonts w:ascii="Times New Roman" w:hAnsi="Times New Roman" w:eastAsia="Times New Roman"/>
          <w:b/>
          <w:sz w:val="24"/>
        </w:rPr>
        <w:t>1. The $3 million reputational-harm opinion is unsupported ipse dixit.</w:t>
      </w:r>
    </w:p>
    <w:p>
      <w:pPr>
        <w:spacing w:before="0" w:after="0" w:line="480" w:lineRule="auto"/>
        <w:ind w:firstLine="720"/>
      </w:pPr>
      <w:r>
        <w:rPr>
          <w:rFonts w:ascii="Times New Roman" w:hAnsi="Times New Roman" w:eastAsia="Times New Roman"/>
          <w:b w:val="0"/>
          <w:i w:val="0"/>
          <w:sz w:val="24"/>
        </w:rPr>
        <w:t>Dr. Marchetti calculated reputational harm by applying a claimed 5–10% customer-loss range to an estimated portion of Ridgeline’s revenue. She identified no study, survey, dataset, comparable-company analysis, or quantitative model supporting the range; she testified that it came from her professional experience. She conducted no customer survey and could not reconstruct the specific revenue input during deposition without her workpapers. Marchetti Dep. 74:7–76:24. Her report identifies no customer attrition actually caused by the resin dispute, no time-series or customer-level data, and no replicable derivation of $3 million. Marchetti Report § V.F.</w:t>
      </w:r>
    </w:p>
    <w:p>
      <w:pPr>
        <w:spacing w:before="0" w:after="0" w:line="480" w:lineRule="auto"/>
        <w:ind w:firstLine="720"/>
      </w:pPr>
      <w:r>
        <w:rPr>
          <w:rFonts w:ascii="Times New Roman" w:hAnsi="Times New Roman" w:eastAsia="Times New Roman"/>
          <w:b w:val="0"/>
          <w:i w:val="0"/>
          <w:sz w:val="24"/>
        </w:rPr>
        <w:t>The opinion therefore supplies a number without a testable method connecting this record to the asserted percentage and loss. An expert may rely on experience, but must explain how that experience leads to the particular result and why it is reliably applied. Here, the unexplained range and unspecified revenue base leave no analytical bridge. See Joiner, 522 U.S. at 146; Alaska Rent-A-Car, Inc. v. Avis Budget Grp., Inc., 738 F.3d 960, 969 (9th Cir. 2013). Exclude both the $3 million figure and any testimony that Ridgeline lost a percentage of its customers absent a case-specific foundation.</w:t>
      </w:r>
    </w:p>
    <w:p>
      <w:pPr>
        <w:keepNext/>
        <w:spacing w:before="80" w:after="0" w:line="240" w:lineRule="auto"/>
        <w:ind w:firstLine="0"/>
      </w:pPr>
      <w:r>
        <w:rPr>
          <w:rFonts w:ascii="Times New Roman" w:hAnsi="Times New Roman" w:eastAsia="Times New Roman"/>
          <w:b/>
          <w:sz w:val="24"/>
        </w:rPr>
        <w:t>2. The $6.78 million lost-profits opinion does not reliably isolate lost profits caused by the alleged defect.</w:t>
      </w:r>
    </w:p>
    <w:p>
      <w:pPr>
        <w:spacing w:before="0" w:after="0" w:line="480" w:lineRule="auto"/>
        <w:ind w:firstLine="720"/>
      </w:pPr>
      <w:r>
        <w:rPr>
          <w:rFonts w:ascii="Times New Roman" w:hAnsi="Times New Roman" w:eastAsia="Times New Roman"/>
          <w:b w:val="0"/>
          <w:i w:val="0"/>
          <w:sz w:val="24"/>
        </w:rPr>
        <w:t>Several independent gaps undermine the model. First, the report says the regression uses 36 monthly observations from FY2019, FY2021, and FY2022, while Dr. Marchetti testified that the regression used those three fiscal years as “three data points.” Compare Marchetti Report § V.B &amp; App. B with Marchetti Dep. 34:12–35:17. The disclosed materials do not reconcile these materially different descriptions of the dataset. She also excluded FY2020 without testing the effect of including it or otherwise quantifying the effect of that choice. Id. 35:5–17. The Court need not hold that excluding pandemic-affected data is always improper; the problem is the untested exclusion in this model.</w:t>
      </w:r>
    </w:p>
    <w:p>
      <w:pPr>
        <w:spacing w:before="0" w:after="0" w:line="480" w:lineRule="auto"/>
        <w:ind w:firstLine="720"/>
      </w:pPr>
      <w:r>
        <w:rPr>
          <w:rFonts w:ascii="Times New Roman" w:hAnsi="Times New Roman" w:eastAsia="Times New Roman"/>
          <w:b w:val="0"/>
          <w:i w:val="0"/>
          <w:sz w:val="24"/>
        </w:rPr>
        <w:t>Second, Dr. Marchetti admitted she was unaware of the Q2 2023 regional automotive-components downturn and did not account for it, benchmark Ridgeline against competitors, or investigate whether competitors experienced similar declines. Id. 36:10–37:12. The model attributes the full revenue gap to the alleged resin defect without separating losses from the documented industry contraction. Gerhardt Rebuttal Report ¶¶ 14–17. That is a failure to account for an evident alternative driver of the same outcome, not merely a dispute over the model’s persuasive weight.</w:t>
      </w:r>
    </w:p>
    <w:p>
      <w:pPr>
        <w:spacing w:before="0" w:after="0" w:line="480" w:lineRule="auto"/>
        <w:ind w:firstLine="720"/>
      </w:pPr>
      <w:r>
        <w:rPr>
          <w:rFonts w:ascii="Times New Roman" w:hAnsi="Times New Roman" w:eastAsia="Times New Roman"/>
          <w:b w:val="0"/>
          <w:i w:val="0"/>
          <w:sz w:val="24"/>
        </w:rPr>
        <w:t>Third, the model calculates a “revenue shortfall” and labels that amount “lost profits,” without identifying any calculation of net profits, avoided costs, or a margin converting foregone revenue into profit. Marchetti Report § V.B &amp; App. B. A revenue decline is not, without that analysis, a $6.78 million lost-profit opinion. The report also describes a 24-month period from August 2023 through July 2025, while its comparison table ends with a single month—July 2024—and reports no later months. Id. The expert has not shown how the stated total covers the stated period. Taken together, the unexplained dataset, omitted market variable, revenue/profit conflation, and period mismatch make the $6.78 million conclusion unreliable under Rule 702. Exclude the figure and any characterization of it as net lost profits.</w:t>
      </w:r>
    </w:p>
    <w:p>
      <w:pPr>
        <w:keepNext/>
        <w:spacing w:before="80" w:after="0" w:line="240" w:lineRule="auto"/>
        <w:ind w:firstLine="0"/>
      </w:pPr>
      <w:r>
        <w:rPr>
          <w:rFonts w:ascii="Times New Roman" w:hAnsi="Times New Roman" w:eastAsia="Times New Roman"/>
          <w:b/>
          <w:sz w:val="24"/>
        </w:rPr>
        <w:t>3. The $2.34 million scrap-and-rework opinion lacks a reliable foundation for the amount and attribution.</w:t>
      </w:r>
    </w:p>
    <w:p>
      <w:pPr>
        <w:spacing w:before="0" w:after="0" w:line="480" w:lineRule="auto"/>
        <w:ind w:firstLine="720"/>
      </w:pPr>
      <w:r>
        <w:rPr>
          <w:rFonts w:ascii="Times New Roman" w:hAnsi="Times New Roman" w:eastAsia="Times New Roman"/>
          <w:b w:val="0"/>
          <w:i w:val="0"/>
          <w:sz w:val="24"/>
        </w:rPr>
        <w:t>The opinion adopts Kevin Cho’s internal spreadsheet as the entire quantitative basis for $2.34 million. Dr. Marchetti reviewed that spreadsheet, but she did not verify it against production logs, inspect underlying production records, or reconcile it to audited financial statements. She testified that, apart from the spreadsheet, she had no independent basis to confirm that the claimed amount was incurred. Marchetti Dep. 56:7–58:5. Her report’s general statement that the numbers appeared internally consistent does not validate the inputs, establish that the amounts were actually incurred, or show that each item was caused by CascadeMax 7200 rather than another production cause. Marchetti Report § V.D; Gerhardt Rebuttal Report ¶¶ 18–22.</w:t>
      </w:r>
    </w:p>
    <w:p>
      <w:pPr>
        <w:spacing w:before="0" w:after="0" w:line="480" w:lineRule="auto"/>
        <w:ind w:firstLine="720"/>
      </w:pPr>
      <w:r>
        <w:rPr>
          <w:rFonts w:ascii="Times New Roman" w:hAnsi="Times New Roman" w:eastAsia="Times New Roman"/>
          <w:b w:val="0"/>
          <w:i w:val="0"/>
          <w:sz w:val="24"/>
        </w:rPr>
        <w:t>Rule 703 permits appropriate reliance on information experts reasonably use; Cascade does not seek a categorical rule requiring an expert to audit every source. But Rule 703 does not displace Rule 702’s requirement of sufficient facts and a reliable application. On this record, the expert’s unverified adoption of a party-prepared total supplies no reliable basis to present $2.34 million as an independently validated damages opinion. Exclude that expert amount. At minimum, preclude Dr. Marchetti from vouching that the spreadsheet is verified, accurate, or independently substantiated; any fact-witness or business-record proof of individual costs should be addressed on its own foundation.</w:t>
      </w:r>
    </w:p>
    <w:p>
      <w:pPr>
        <w:keepNext/>
        <w:spacing w:before="80" w:after="0" w:line="240" w:lineRule="auto"/>
        <w:ind w:firstLine="0"/>
      </w:pPr>
      <w:r>
        <w:rPr>
          <w:rFonts w:ascii="Times New Roman" w:hAnsi="Times New Roman" w:eastAsia="Times New Roman"/>
          <w:b/>
          <w:sz w:val="24"/>
        </w:rPr>
        <w:t>4. The unaddressed mitigation period and unreconciled total further preclude an unqualified aggregate opinion.</w:t>
      </w:r>
    </w:p>
    <w:p>
      <w:pPr>
        <w:spacing w:before="0" w:after="0" w:line="480" w:lineRule="auto"/>
        <w:ind w:firstLine="720"/>
      </w:pPr>
      <w:r>
        <w:rPr>
          <w:rFonts w:ascii="Times New Roman" w:hAnsi="Times New Roman" w:eastAsia="Times New Roman"/>
          <w:b w:val="0"/>
          <w:i w:val="0"/>
          <w:sz w:val="24"/>
        </w:rPr>
        <w:t>Ridgeline says it discovered the issue on August 22, 2023, but did not order substitute resin until December 11, 2023. Dr. Marchetti acknowledged that she performed no analysis of whether earlier procurement would have reduced lost profits or scrap costs, and agreed that obtaining suitable replacement material sooner could have shortened the disruption. Marchetti Dep. 102:7–103:8. Cascade does not ask the Court to decide the mitigation defense through this motion. It asks the Court to prevent an expert from presenting the full $6.78 million and $2.34 million as quantified losses caused by the alleged defect without disclosing that the calculations do not account for this known period or any potentially avoidable losses. The omission is especially consequential because the model extends well beyond the replacement purchase.</w:t>
      </w:r>
    </w:p>
    <w:p>
      <w:pPr>
        <w:spacing w:before="0" w:after="0" w:line="480" w:lineRule="auto"/>
        <w:ind w:firstLine="720"/>
      </w:pPr>
      <w:r>
        <w:rPr>
          <w:rFonts w:ascii="Times New Roman" w:hAnsi="Times New Roman" w:eastAsia="Times New Roman"/>
          <w:b w:val="0"/>
          <w:i w:val="0"/>
          <w:sz w:val="24"/>
        </w:rPr>
        <w:t>Finally, the five itemized amounts in the report total $14,211,000, not the stated $14,200,000. Dr. Marchetti acknowledged the discrepancy and could not explain it at deposition. Id. 92:16–93:16. This arithmetic error alone would not warrant exclusion, but the Court should not permit the expert to repeat the unsupported $14.2 million aggregate as a reliable total. If any categories remain, require a corrected total that matches the admitted components and does not imply excluded categories are recoverable.</w:t>
      </w:r>
    </w:p>
    <w:p>
      <w:pPr>
        <w:keepNext/>
        <w:spacing w:before="80" w:after="0" w:line="240" w:lineRule="auto"/>
        <w:ind w:firstLine="0"/>
      </w:pPr>
      <w:r>
        <w:rPr>
          <w:rFonts w:ascii="Times New Roman" w:hAnsi="Times New Roman" w:eastAsia="Times New Roman"/>
          <w:b/>
          <w:sz w:val="24"/>
        </w:rPr>
        <w:t>B. Rule 407 bars evidence of Cascade’s post-dispute testing and packaging changes.</w:t>
      </w:r>
    </w:p>
    <w:p>
      <w:pPr>
        <w:spacing w:before="0" w:after="0" w:line="480" w:lineRule="auto"/>
        <w:ind w:firstLine="720"/>
      </w:pPr>
      <w:r>
        <w:rPr>
          <w:rFonts w:ascii="Times New Roman" w:hAnsi="Times New Roman" w:eastAsia="Times New Roman"/>
          <w:b w:val="0"/>
          <w:i w:val="0"/>
          <w:sz w:val="24"/>
        </w:rPr>
        <w:t>In November 2023—after the shipments and dispute—Cascade adopted three-point moisture sampling in place of single-point testing and began adding desiccant packets. Plaintiff lists the revised protocol, shipping directive, and internal discussion as PX-22–24. It proposes to use those measures to argue that Cascade’s earlier testing and shipping practices were inadequate or defective. Plaintiff’s Exhibit List, PX-22–24 descriptions; Plaintiff’s meet-and-confer response.</w:t>
      </w:r>
    </w:p>
    <w:p>
      <w:pPr>
        <w:spacing w:before="0" w:after="0" w:line="480" w:lineRule="auto"/>
        <w:ind w:firstLine="720"/>
      </w:pPr>
      <w:r>
        <w:rPr>
          <w:rFonts w:ascii="Times New Roman" w:hAnsi="Times New Roman" w:eastAsia="Times New Roman"/>
          <w:b w:val="0"/>
          <w:i w:val="0"/>
          <w:sz w:val="24"/>
        </w:rPr>
        <w:t>That is the inference Rule 407 prohibits. The post-event testing and packaging measures would, if adopted earlier, potentially have made the alleged harm less likely; they may not be used to prove a defect, culpable conduct, or that Cascade’s prior procedures were inadequate. Fed. R. Evid. 407. The fact that Cascade later adopted a more protective measure does not establish that the earlier approach failed to meet the contract specification or caused the alleged moisture level. Nor can the internal discussion of litigation exposure be used as an admission of prior defect.</w:t>
      </w:r>
    </w:p>
    <w:p>
      <w:pPr>
        <w:spacing w:before="0" w:after="0" w:line="480" w:lineRule="auto"/>
        <w:ind w:firstLine="720"/>
      </w:pPr>
      <w:r>
        <w:rPr>
          <w:rFonts w:ascii="Times New Roman" w:hAnsi="Times New Roman" w:eastAsia="Times New Roman"/>
          <w:b w:val="0"/>
          <w:i w:val="0"/>
          <w:sz w:val="24"/>
        </w:rPr>
        <w:t>Plaintiff invokes feasibility and says Cascade asserted that its prior single-point testing was “industry standard,” “adequate,” and consistent with best practices. Even accepting Plaintiff’s account of those positions, a contention that the existing procedure was adequate is not a contention that three-point sampling or desiccant packaging was impossible or impracticable. Cascade’s position is that the resin met specification at shipment and that post-delivery storage caused any moisture ingress—not that enhanced sampling or desiccants could not be used. Feasibility is therefore not genuinely controverted within Rule 407’s exception. The exception should not become a route to prove the forbidden inference that a later change demonstrates earlier fault.</w:t>
      </w:r>
    </w:p>
    <w:p>
      <w:pPr>
        <w:spacing w:before="0" w:after="0" w:line="480" w:lineRule="auto"/>
        <w:ind w:firstLine="720"/>
      </w:pPr>
      <w:r>
        <w:rPr>
          <w:rFonts w:ascii="Times New Roman" w:hAnsi="Times New Roman" w:eastAsia="Times New Roman"/>
          <w:b w:val="0"/>
          <w:i w:val="0"/>
          <w:sz w:val="24"/>
        </w:rPr>
        <w:t>Exclude PX-22–24 and related testimony or argument in opening, examination, and closing. If the Court nevertheless finds a limited feasibility issue, admit only the minimum evidence needed to address that issue, with redaction of references to alleged complaints, litigation exposure, or asserted prior inadequacy, and a contemporaneous limiting instruction barring use to infer defect, knowledge, causation, or culpability.</w:t>
      </w:r>
    </w:p>
    <w:p>
      <w:pPr>
        <w:keepNext/>
        <w:spacing w:before="80" w:after="0" w:line="240" w:lineRule="auto"/>
        <w:ind w:firstLine="0"/>
      </w:pPr>
      <w:r>
        <w:rPr>
          <w:rFonts w:ascii="Times New Roman" w:hAnsi="Times New Roman" w:eastAsia="Times New Roman"/>
          <w:b/>
          <w:sz w:val="24"/>
        </w:rPr>
        <w:t>C. Exclude the unrelated OSHA citation and associated evidence under Rules 404(b) and 403.</w:t>
      </w:r>
    </w:p>
    <w:p>
      <w:pPr>
        <w:spacing w:before="0" w:after="0" w:line="480" w:lineRule="auto"/>
        <w:ind w:firstLine="720"/>
      </w:pPr>
      <w:r>
        <w:rPr>
          <w:rFonts w:ascii="Times New Roman" w:hAnsi="Times New Roman" w:eastAsia="Times New Roman"/>
          <w:b w:val="0"/>
          <w:i w:val="0"/>
          <w:sz w:val="24"/>
        </w:rPr>
        <w:t>PX-25–27 concern an April 2023 OSHA citation for inadequate ventilation and airborne particulate exposure in Cascade’s Portland blending room, the $14,502 penalty, and deposition excerpts concerning that matter. The cited condition involved an inoperative exhaust fan and clogged ventilation filters—not moisture content, resin testing, packaging, or CascadeMax 7200. OSHA Citation No. 2023-OR-00487. Plaintiff’s exhibit list expressly proposes to use the citation to show a corporate “pattern” and “culture” of cutting corners. That is propensity reasoning: because Cascade had a ventilation violation, it supposedly acted carelessly in resin quality control. Rule 404(b)(1) forbids that use.</w:t>
      </w:r>
    </w:p>
    <w:p>
      <w:pPr>
        <w:spacing w:before="0" w:after="0" w:line="480" w:lineRule="auto"/>
        <w:ind w:firstLine="720"/>
      </w:pPr>
      <w:r>
        <w:rPr>
          <w:rFonts w:ascii="Times New Roman" w:hAnsi="Times New Roman" w:eastAsia="Times New Roman"/>
          <w:b w:val="0"/>
          <w:i w:val="0"/>
          <w:sz w:val="24"/>
        </w:rPr>
        <w:t>Plaintiff’s stated alternatives—knowledge and plan—do not cure the problem. Cascade acknowledges Plaintiff represents that CEO Martin Driscoll knew of the citation and directed its abatement. But awareness of a ventilation problem does not establish knowledge of a moisture-testing deficiency, a plan to ship nonconforming resin, or notice that any particular lot exceeded the contractual limit. The cited process, hazard, equipment, and corrective work are distinct from the disputed quality-control process. The only proposed link is a generalized inference about corporate attitude, which Rule 404(b) does not permit. The citation also supplies no “plan” connecting these different events.</w:t>
      </w:r>
    </w:p>
    <w:p>
      <w:pPr>
        <w:spacing w:before="0" w:after="0" w:line="480" w:lineRule="auto"/>
        <w:ind w:firstLine="720"/>
      </w:pPr>
      <w:r>
        <w:rPr>
          <w:rFonts w:ascii="Times New Roman" w:hAnsi="Times New Roman" w:eastAsia="Times New Roman"/>
          <w:b w:val="0"/>
          <w:i w:val="0"/>
          <w:sz w:val="24"/>
        </w:rPr>
        <w:t>Even if the citation had marginal relevance, Rule 403 requires exclusion. The official “serious” designation, federal agency imprimatur, and paid penalty carry substantial risk that jurors will treat an unrelated workplace-safety matter as proof of liability here. The jury could conflate employee ventilation exposure with polymer moisture quality or infer that payment admitted a product defect. Litigating the citation’s inspection, abatement, and final status would invite a collateral mini-trial. A limiting instruction cannot adequately cure the danger where Plaintiff’s stated trial theory itself invites the propensity inference. Exclude PX-25–27 and bar OSHA-related references or questioning about this unrelated citation.</w:t>
      </w:r>
    </w:p>
    <w:p>
      <w:pPr>
        <w:keepNext/>
        <w:spacing w:before="80" w:after="0" w:line="240" w:lineRule="auto"/>
        <w:ind w:firstLine="0"/>
      </w:pPr>
      <w:r>
        <w:rPr>
          <w:rFonts w:ascii="Times New Roman" w:hAnsi="Times New Roman" w:eastAsia="Times New Roman"/>
          <w:b/>
          <w:sz w:val="24"/>
        </w:rPr>
        <w:t>D. The Court should address the contractual consequential-damages limitation before the jury hears any consequential-damages total.</w:t>
      </w:r>
    </w:p>
    <w:p>
      <w:pPr>
        <w:spacing w:before="0" w:after="0" w:line="480" w:lineRule="auto"/>
        <w:ind w:firstLine="720"/>
      </w:pPr>
      <w:r>
        <w:rPr>
          <w:rFonts w:ascii="Times New Roman" w:hAnsi="Times New Roman" w:eastAsia="Times New Roman"/>
          <w:b w:val="0"/>
          <w:i w:val="0"/>
          <w:sz w:val="24"/>
        </w:rPr>
        <w:t>Section 7.2 excludes consequential damages and provides that, if a court determines such damages are recoverable notwithstanding the exclusion, aggregate consequential liability may not exceed $2 million. The report classifies $10,292,500 as consequential damages. If the Court determines before trial that the contractual provision limits recovery, testimony presenting the much larger consequential figure would have little or no proper purpose and would create an avoidable anchoring risk under Rule 403. Cascade does not ask the Court to decide enforceability in this evidentiary motion; it requests that the Court resolve the issue through the appropriate procedure before the damages evidence is presented. If the issue remains unresolved, the Court should reserve the scope of that evidence and determine the appropriate instruction or post-verdict application before the jury is asked to assess damages.</w:t>
      </w:r>
    </w:p>
    <w:p>
      <w:pPr>
        <w:keepNext/>
        <w:spacing w:before="140" w:after="0" w:line="240" w:lineRule="auto"/>
        <w:ind w:firstLine="0"/>
      </w:pPr>
      <w:r>
        <w:rPr>
          <w:rFonts w:ascii="Times New Roman" w:hAnsi="Times New Roman" w:eastAsia="Times New Roman"/>
          <w:b/>
          <w:sz w:val="24"/>
        </w:rPr>
        <w:t>IV. CONCLUSION</w:t>
      </w:r>
    </w:p>
    <w:p>
      <w:pPr>
        <w:spacing w:before="0" w:after="0" w:line="480" w:lineRule="auto"/>
        <w:ind w:firstLine="720"/>
      </w:pPr>
      <w:r>
        <w:rPr>
          <w:rFonts w:ascii="Times New Roman" w:hAnsi="Times New Roman" w:eastAsia="Times New Roman"/>
          <w:b w:val="0"/>
          <w:i w:val="0"/>
          <w:sz w:val="24"/>
        </w:rPr>
        <w:t>Cascade respectfully requests an order: (1) excluding Dr. Marchetti’s $3 million reputational-harm opinion, $6.78 million lost-profits opinion, and $2.34 million scrap-and-rework opinion, and precluding an unreconciled $14.2 million aggregate or any unsupported characterization of revenue loss as net profits; (2) excluding evidence, testimony, and argument concerning PX-22–24 and Cascade’s subsequent testing and packaging changes, subject only to a narrowly limited feasibility ruling and instruction if the Court finds feasibility genuinely disputed; (3) excluding PX-25–27 and any reference to the unrelated OSHA citation, penalty, or deposition questioning about it; and (4) resolving the application of Supply Agreement § 7.2 before consequential-damages totals are presented, or reserving appropriate limits and instructions if the issue is not decided before trial.</w:t>
      </w:r>
    </w:p>
    <w:p>
      <w:pPr>
        <w:keepNext/>
        <w:spacing w:before="160" w:after="0" w:line="480" w:lineRule="auto"/>
        <w:ind w:firstLine="0"/>
      </w:pPr>
      <w:r>
        <w:rPr>
          <w:rFonts w:ascii="Times New Roman" w:hAnsi="Times New Roman" w:eastAsia="Times New Roman"/>
          <w:b w:val="0"/>
          <w:i w:val="0"/>
          <w:sz w:val="24"/>
        </w:rPr>
        <w:t>DATED: January 27, 2025.</w:t>
      </w:r>
    </w:p>
    <w:p>
      <w:pPr>
        <w:keepNext/>
        <w:spacing w:before="0" w:after="0" w:line="480" w:lineRule="auto"/>
        <w:ind w:firstLine="0"/>
      </w:pPr>
      <w:r>
        <w:rPr>
          <w:rFonts w:ascii="Times New Roman" w:hAnsi="Times New Roman" w:eastAsia="Times New Roman"/>
          <w:b w:val="0"/>
          <w:i w:val="0"/>
          <w:sz w:val="24"/>
        </w:rPr>
        <w:t>Respectfully submitted,</w:t>
      </w:r>
    </w:p>
    <w:p>
      <w:pPr>
        <w:spacing w:before="0" w:after="0" w:line="480" w:lineRule="auto"/>
        <w:ind w:firstLine="0"/>
      </w:pPr>
      <w:r>
        <w:rPr>
          <w:rFonts w:ascii="Times New Roman" w:hAnsi="Times New Roman" w:eastAsia="Times New Roman"/>
          <w:b/>
          <w:i w:val="0"/>
          <w:sz w:val="24"/>
        </w:rPr>
        <w:t>THORNGATE &amp; ASSOCIATES LLP</w:t>
      </w:r>
    </w:p>
    <w:p>
      <w:pPr>
        <w:spacing w:before="0" w:after="0" w:line="480" w:lineRule="auto"/>
        <w:ind w:firstLine="0"/>
      </w:pPr>
      <w:r>
        <w:rPr>
          <w:rFonts w:ascii="Times New Roman" w:hAnsi="Times New Roman" w:eastAsia="Times New Roman"/>
          <w:b w:val="0"/>
          <w:i w:val="0"/>
          <w:sz w:val="24"/>
        </w:rPr>
        <w:t>By: /s/ James Calloway</w:t>
      </w:r>
    </w:p>
    <w:p>
      <w:pPr>
        <w:spacing w:before="0" w:after="0" w:line="276" w:lineRule="auto"/>
        <w:ind w:firstLine="0"/>
      </w:pPr>
      <w:r>
        <w:rPr>
          <w:rFonts w:ascii="Times New Roman" w:hAnsi="Times New Roman" w:eastAsia="Times New Roman"/>
          <w:b w:val="0"/>
          <w:i w:val="0"/>
          <w:sz w:val="24"/>
        </w:rPr>
        <w:t>James Calloway</w:t>
        <w:br/>
        <w:t>Priya Nandakumar</w:t>
        <w:br/>
        <w:t>700 Morrison Street, Suite 1400</w:t>
        <w:br/>
        <w:t>Portland, OR 97204</w:t>
        <w:br/>
        <w:t>Telephone: (503) 555-4100</w:t>
        <w:br/>
        <w:t>Email: jcalloway@thorngate.com</w:t>
        <w:br/>
        <w:t>Attorneys for Defendant Cascade Polymer Solutions, Inc.</w:t>
      </w:r>
    </w:p>
    <w:p>
      <w:pPr>
        <w:keepNext/>
        <w:spacing w:before="140" w:after="0" w:line="240" w:lineRule="auto"/>
        <w:ind w:firstLine="0"/>
      </w:pPr>
      <w:r>
        <w:rPr>
          <w:rFonts w:ascii="Times New Roman" w:hAnsi="Times New Roman" w:eastAsia="Times New Roman"/>
          <w:b/>
          <w:sz w:val="24"/>
        </w:rPr>
        <w:t>CERTIFICATE OF SERVICE</w:t>
      </w:r>
    </w:p>
    <w:p>
      <w:pPr>
        <w:spacing w:before="0" w:after="0" w:line="480" w:lineRule="auto"/>
        <w:ind w:firstLine="0"/>
      </w:pPr>
      <w:r>
        <w:rPr>
          <w:rFonts w:ascii="Times New Roman" w:hAnsi="Times New Roman" w:eastAsia="Times New Roman"/>
          <w:b w:val="0"/>
          <w:i w:val="0"/>
          <w:sz w:val="24"/>
        </w:rPr>
        <w:t>I certify that on January 27, 2025, I filed the foregoing document with the Clerk of Court using the CM/ECF system, which will send notice of filing to all counsel of record, including Patricia Solano, Bellweather Litigators LLP, 1201 Third Avenue, Suite 3200, Seattle, WA 98101, counsel for Plaintiff Ridgeline Manufacturing Corp.</w:t>
      </w:r>
    </w:p>
    <w:p>
      <w:pPr>
        <w:spacing w:before="160" w:after="0" w:line="480" w:lineRule="auto"/>
        <w:ind w:firstLine="0"/>
      </w:pPr>
      <w:r>
        <w:rPr>
          <w:rFonts w:ascii="Times New Roman" w:hAnsi="Times New Roman" w:eastAsia="Times New Roman"/>
          <w:b w:val="0"/>
          <w:i w:val="0"/>
          <w:sz w:val="24"/>
        </w:rPr>
        <w:t>DATED: January 27, 2025.</w:t>
      </w:r>
    </w:p>
    <w:p>
      <w:pPr>
        <w:spacing w:before="0" w:after="0" w:line="276" w:lineRule="auto"/>
        <w:ind w:firstLine="0"/>
      </w:pPr>
      <w:r>
        <w:rPr>
          <w:rFonts w:ascii="Times New Roman" w:hAnsi="Times New Roman" w:eastAsia="Times New Roman"/>
          <w:b w:val="0"/>
          <w:i w:val="0"/>
          <w:sz w:val="24"/>
        </w:rPr>
        <w:t>/s/ James Calloway</w:t>
        <w:br/>
        <w:t>James Calloway</w:t>
      </w:r>
    </w:p>
    <w:sectPr w:rsidR="00FC693F" w:rsidRPr="0006063C" w:rsidSect="00034616">
      <w:footerReference w:type="default" r:id="rId9"/>
      <w:pgSz w:w="12240" w:h="15840"/>
      <w:pgMar w:top="1080" w:right="1440" w:bottom="1080"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Defendant Cascade Polymer Solutions, Inc.’s Motion in Limine</dc:title>
  <dc:subject>Motion in limine in Ridgeline Manufacturing Corp. v. Cascade Polymer Solutions, Inc.</dc:subject>
  <dc:creator>Thorngate &amp; Associates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