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jc w:val="center"/>
      </w:pPr>
      <w:r>
        <w:rPr>
          <w:b/>
          <w:i w:val="0"/>
        </w:rPr>
        <w:t>[DRAFT — PRIVILEGED &amp; CONFIDENTIAL ATTORNEY WORK PRODUCT — FOR INTERNAL REVIEW; REMOVE BEFORE FILING]</w:t>
      </w:r>
    </w:p>
    <w:p>
      <w:pPr>
        <w:spacing w:line="240" w:lineRule="auto" w:after="0"/>
      </w:pPr>
      <w:r>
        <w:rPr>
          <w:b w:val="0"/>
          <w:i w:val="0"/>
        </w:rPr>
        <w:t>James Calloway (Bar No. [______])</w:t>
      </w:r>
    </w:p>
    <w:p>
      <w:pPr>
        <w:spacing w:line="240" w:lineRule="auto" w:after="0"/>
      </w:pPr>
      <w:r>
        <w:rPr>
          <w:b w:val="0"/>
          <w:i w:val="0"/>
        </w:rPr>
        <w:t>Priya Nandakumar (Bar No. [______])</w:t>
      </w:r>
    </w:p>
    <w:p>
      <w:pPr>
        <w:spacing w:line="240" w:lineRule="auto" w:after="0"/>
      </w:pPr>
      <w:r>
        <w:rPr>
          <w:b w:val="0"/>
          <w:i w:val="0"/>
        </w:rPr>
        <w:t>THORNGATE &amp; ASSOCIATES LLP</w:t>
      </w:r>
    </w:p>
    <w:p>
      <w:pPr>
        <w:spacing w:line="240" w:lineRule="auto" w:after="0"/>
      </w:pPr>
      <w:r>
        <w:rPr>
          <w:b w:val="0"/>
          <w:i w:val="0"/>
        </w:rPr>
        <w:t>700 Morrison Street, Suite 1400</w:t>
      </w:r>
    </w:p>
    <w:p>
      <w:pPr>
        <w:spacing w:line="240" w:lineRule="auto" w:after="0"/>
      </w:pPr>
      <w:r>
        <w:rPr>
          <w:b w:val="0"/>
          <w:i w:val="0"/>
        </w:rPr>
        <w:t>Portland, Oregon 97204</w:t>
      </w:r>
    </w:p>
    <w:p>
      <w:pPr>
        <w:spacing w:line="240" w:lineRule="auto" w:after="0"/>
      </w:pPr>
      <w:r>
        <w:rPr>
          <w:b w:val="0"/>
          <w:i w:val="0"/>
        </w:rPr>
        <w:t>Telephone: (503) 555-4100</w:t>
      </w:r>
    </w:p>
    <w:p>
      <w:pPr>
        <w:spacing w:line="240" w:lineRule="auto" w:after="0"/>
      </w:pPr>
      <w:r>
        <w:rPr>
          <w:b w:val="0"/>
          <w:i w:val="0"/>
        </w:rPr>
        <w:t>Email: jcalloway@[thorngate domain — confirm]</w:t>
      </w:r>
    </w:p>
    <w:p>
      <w:pPr>
        <w:spacing w:line="240" w:lineRule="auto" w:after="0"/>
      </w:pPr>
    </w:p>
    <w:p>
      <w:pPr>
        <w:spacing w:line="240" w:lineRule="auto" w:after="0"/>
      </w:pPr>
      <w:r>
        <w:rPr>
          <w:b w:val="0"/>
          <w:i w:val="0"/>
        </w:rPr>
        <w:t>Attorneys for Defendant Cascade Polymer Solutions, Inc.</w:t>
      </w:r>
    </w:p>
    <w:p>
      <w:pPr>
        <w:spacing w:line="240" w:lineRule="auto" w:after="0"/>
      </w:pPr>
    </w:p>
    <w:p>
      <w:pPr>
        <w:spacing w:line="240" w:lineRule="auto" w:after="0"/>
        <w:jc w:val="right"/>
      </w:pPr>
      <w:r>
        <w:rPr>
          <w:b w:val="0"/>
          <w:i w:val="0"/>
        </w:rPr>
        <w:t>The Honorable Rebecca Whitford</w:t>
      </w:r>
    </w:p>
    <w:p>
      <w:pPr>
        <w:spacing w:line="240" w:lineRule="auto" w:after="0"/>
      </w:pPr>
    </w:p>
    <w:p>
      <w:pPr>
        <w:spacing w:line="240" w:lineRule="auto" w:after="0"/>
        <w:jc w:val="center"/>
      </w:pPr>
      <w:r>
        <w:rPr>
          <w:b/>
          <w:i w:val="0"/>
        </w:rPr>
        <w:t>UNITED STATES DISTRICT COURT</w:t>
      </w:r>
    </w:p>
    <w:p>
      <w:pPr>
        <w:spacing w:line="240" w:lineRule="auto" w:after="0"/>
        <w:jc w:val="center"/>
      </w:pPr>
      <w:r>
        <w:rPr>
          <w:b/>
          <w:i w:val="0"/>
        </w:rPr>
        <w:t>WESTERN DISTRICT OF WASHINGTON</w:t>
      </w:r>
    </w:p>
    <w:p>
      <w:pPr>
        <w:spacing w:line="240" w:lineRule="auto" w:after="240"/>
        <w:jc w:val="center"/>
      </w:pPr>
      <w:r>
        <w:rPr>
          <w:b/>
          <w:i w:val="0"/>
        </w:rPr>
        <w:t>AT SEATTLE</w:t>
      </w:r>
    </w:p>
    <w:tbl>
      <w:tblPr>
        <w:tblW w:type="auto" w:w="0"/>
        <w:jc w:val="center"/>
        <w:tblLook w:firstColumn="1" w:firstRow="1" w:lastColumn="0" w:lastRow="0" w:noHBand="0" w:noVBand="1" w:val="04A0"/>
      </w:tblPr>
      <w:tblGrid>
        <w:gridCol w:w="4896"/>
        <w:gridCol w:w="4464"/>
      </w:tblGrid>
      <w:tr>
        <w:tc>
          <w:tcPr>
            <w:tcW w:type="dxa" w:w="4896"/>
            <w:tcBorders>
              <w:right w:val="single" w:sz="6" w:space="0" w:color="000000"/>
              <w:bottom w:val="single" w:sz="6" w:space="0" w:color="000000"/>
            </w:tcBorders>
          </w:tcPr>
          <w:p>
            <w:r/>
            <w:r>
              <w:t>RIDGELINE MANUFACTURING CORP.,</w:t>
            </w:r>
          </w:p>
          <w:p>
            <w:r/>
          </w:p>
          <w:p>
            <w:r>
              <w:t xml:space="preserve">                    Plaintiff,</w:t>
            </w:r>
          </w:p>
          <w:p>
            <w:r/>
          </w:p>
          <w:p>
            <w:r>
              <w:t xml:space="preserve">          v.</w:t>
            </w:r>
          </w:p>
          <w:p>
            <w:r/>
          </w:p>
          <w:p>
            <w:r>
              <w:t>CASCADE POLYMER SOLUTIONS, INC.,</w:t>
            </w:r>
          </w:p>
          <w:p>
            <w:r/>
          </w:p>
          <w:p>
            <w:r>
              <w:t xml:space="preserve">                    Defendant.</w:t>
            </w:r>
          </w:p>
          <w:p>
            <w:r/>
          </w:p>
        </w:tc>
        <w:tc>
          <w:tcPr>
            <w:tcW w:type="dxa" w:w="4464"/>
          </w:tcPr>
          <w:p>
            <w:pPr>
              <w:ind w:left="216"/>
            </w:pPr>
            <w:r>
              <w:rPr>
                <w:b w:val="0"/>
                <w:i w:val="0"/>
              </w:rPr>
              <w:t>Case No. 2:24-cv-00118-RW</w:t>
            </w:r>
          </w:p>
          <w:p>
            <w:pPr>
              <w:ind w:left="216"/>
            </w:pPr>
          </w:p>
          <w:p>
            <w:pPr>
              <w:ind w:left="216"/>
            </w:pPr>
            <w:r>
              <w:rPr>
                <w:b/>
                <w:i w:val="0"/>
              </w:rPr>
              <w:t>DEFENDANT CASCADE POLYMER SOLUTIONS, INC.'S MOTIONS IN LIMINE</w:t>
            </w:r>
          </w:p>
          <w:p>
            <w:pPr>
              <w:ind w:left="216"/>
            </w:pPr>
          </w:p>
          <w:p>
            <w:pPr>
              <w:ind w:left="216"/>
            </w:pPr>
            <w:r>
              <w:rPr>
                <w:b w:val="0"/>
                <w:i w:val="0"/>
              </w:rPr>
              <w:t>NOTE ON MOTION CALENDAR: [________], 2025</w:t>
            </w:r>
          </w:p>
          <w:p>
            <w:pPr>
              <w:ind w:left="216"/>
            </w:pPr>
          </w:p>
          <w:p>
            <w:pPr>
              <w:ind w:left="216"/>
            </w:pPr>
            <w:r>
              <w:rPr>
                <w:b w:val="0"/>
                <w:i w:val="0"/>
              </w:rPr>
              <w:t>Final Pretrial Conference: February 10, 2025</w:t>
            </w:r>
          </w:p>
          <w:p>
            <w:pPr>
              <w:ind w:left="216"/>
            </w:pPr>
            <w:r>
              <w:rPr>
                <w:b w:val="0"/>
                <w:i w:val="0"/>
              </w:rPr>
              <w:t>Trial Date: February 24, 2025</w:t>
            </w:r>
          </w:p>
          <w:p>
            <w:pPr>
              <w:ind w:left="216"/>
            </w:pPr>
          </w:p>
          <w:p>
            <w:pPr>
              <w:ind w:left="216"/>
            </w:pPr>
            <w:r>
              <w:rPr>
                <w:b w:val="0"/>
                <w:i w:val="0"/>
              </w:rPr>
              <w:t>ORAL ARGUMENT REQUESTED</w:t>
            </w:r>
          </w:p>
        </w:tc>
      </w:tr>
    </w:tbl>
    <w:p>
      <w:pPr>
        <w:spacing w:line="240" w:lineRule="auto" w:after="0"/>
      </w:pPr>
    </w:p>
    <w:p>
      <w:pPr>
        <w:spacing w:line="480" w:lineRule="auto" w:after="0"/>
        <w:jc w:val="center"/>
      </w:pPr>
      <w:r>
        <w:rPr>
          <w:b/>
          <w:i w:val="0"/>
        </w:rPr>
        <w:t>RELIEF REQUESTED</w:t>
      </w:r>
    </w:p>
    <w:p>
      <w:pPr>
        <w:spacing w:line="480" w:lineRule="auto" w:after="0"/>
        <w:ind w:firstLine="720"/>
        <w:jc w:val="both"/>
      </w:pPr>
      <w:r>
        <w:rPr>
          <w:b w:val="0"/>
          <w:i w:val="0"/>
        </w:rPr>
        <w:t>Defendant Cascade Polymer Solutions, Inc. ("Cascade") respectfully moves in limine, pursuant to Federal Rules of Evidence 104(a), 403, 404(b), 407, and 702 and Local Civil Rule 7(d)(4), for an order before trial:</w:t>
      </w:r>
    </w:p>
    <w:p>
      <w:pPr>
        <w:spacing w:line="480" w:lineRule="auto" w:after="0"/>
        <w:ind w:left="1440" w:hanging="720"/>
      </w:pPr>
      <w:r>
        <w:rPr>
          <w:b w:val="0"/>
          <w:i w:val="0"/>
        </w:rPr>
        <w:t>1.</w:t>
        <w:tab/>
      </w:r>
      <w:r>
        <w:rPr>
          <w:b/>
          <w:i w:val="0"/>
        </w:rPr>
        <w:t>Excluding specified opinions of Plaintiff's damages expert, Dr. Lena Marchetti</w:t>
      </w:r>
      <w:r>
        <w:rPr>
          <w:b w:val="0"/>
          <w:i w:val="0"/>
        </w:rPr>
        <w:t xml:space="preserve"> (PX-20): (a) her $3,000,000 "reputational harm / loss of future business" opinion; (b) her $6,780,000 "lost profits" opinion; and (c) her $2,340,000 "scrap and rework" opinion; and precluding her from presenting a $14,200,000 aggregate damages figure to the jury;</w:t>
      </w:r>
    </w:p>
    <w:p>
      <w:pPr>
        <w:spacing w:line="480" w:lineRule="auto" w:after="0"/>
        <w:ind w:left="1440" w:hanging="720"/>
      </w:pPr>
      <w:r>
        <w:rPr>
          <w:b w:val="0"/>
          <w:i w:val="0"/>
        </w:rPr>
        <w:t>2.</w:t>
        <w:tab/>
      </w:r>
      <w:r>
        <w:rPr>
          <w:b/>
          <w:i w:val="0"/>
        </w:rPr>
        <w:t>Excluding all evidence, testimony, and argument concerning Cascade's November 2023 changes to its moisture-testing and packaging practices</w:t>
      </w:r>
      <w:r>
        <w:rPr>
          <w:b w:val="0"/>
          <w:i w:val="0"/>
        </w:rPr>
        <w:t>, including Plaintiff's Exhibits PX-22, PX-23, and PX-24 and any related portions of PX-21; and</w:t>
      </w:r>
    </w:p>
    <w:p>
      <w:pPr>
        <w:spacing w:line="480" w:lineRule="auto" w:after="0"/>
        <w:ind w:left="1440" w:hanging="720"/>
      </w:pPr>
      <w:r>
        <w:rPr>
          <w:b w:val="0"/>
          <w:i w:val="0"/>
        </w:rPr>
        <w:t>3.</w:t>
        <w:tab/>
      </w:r>
      <w:r>
        <w:rPr>
          <w:b/>
          <w:i w:val="0"/>
        </w:rPr>
        <w:t>Excluding all evidence, testimony, and argument concerning OSHA Citation No. 2023-OR-00487</w:t>
      </w:r>
      <w:r>
        <w:rPr>
          <w:b w:val="0"/>
          <w:i w:val="0"/>
        </w:rPr>
        <w:t>, including Plaintiff's Exhibits PX-25, PX-26, and PX-27.</w:t>
      </w:r>
    </w:p>
    <w:p>
      <w:pPr>
        <w:spacing w:line="480" w:lineRule="auto" w:after="0"/>
        <w:ind w:firstLine="720"/>
        <w:jc w:val="both"/>
      </w:pPr>
      <w:r>
        <w:rPr>
          <w:b w:val="0"/>
          <w:i w:val="0"/>
        </w:rPr>
        <w:t xml:space="preserve">Each request is independent and severable. Cascade does </w:t>
      </w:r>
      <w:r>
        <w:rPr>
          <w:b/>
          <w:i w:val="0"/>
        </w:rPr>
        <w:t>not</w:t>
      </w:r>
      <w:r>
        <w:rPr>
          <w:b w:val="0"/>
          <w:i w:val="0"/>
        </w:rPr>
        <w:t xml:space="preserve"> seek to exclude Dr. Marchetti's calculation of the contract price of the resin at issue ($1,578,500) or her arithmetic calculation of the replacement-resin price differential ($512,500) under Rule 702; Cascade reserves all merits and contractual defenses to those amounts, including under Sections 5.4, 5.5, 6.3, 7.1, and 7.2 of the parties' Supply Agreement.</w:t>
      </w:r>
    </w:p>
    <w:p>
      <w:pPr>
        <w:spacing w:line="480" w:lineRule="auto" w:after="0"/>
        <w:jc w:val="center"/>
      </w:pPr>
      <w:r>
        <w:rPr>
          <w:b/>
          <w:i w:val="0"/>
        </w:rPr>
        <w:t>I. INTRODUCTION</w:t>
      </w:r>
    </w:p>
    <w:p>
      <w:pPr>
        <w:spacing w:line="480" w:lineRule="auto" w:after="0"/>
        <w:ind w:firstLine="720"/>
        <w:jc w:val="both"/>
      </w:pPr>
      <w:r>
        <w:rPr>
          <w:b w:val="0"/>
          <w:i w:val="0"/>
        </w:rPr>
        <w:t>This is a commercial dispute between two sophisticated businesses over four shipments of polymer resin. Plaintiff Ridgeline Manufacturing Corp. ("Ridgeline") alleges that 410,000 pounds of CascadeMax 7200 resin delivered between June and September 2023 exceeded the contractual moisture specification. Cascade's Certificates of Analysis show that every shipment met specification when it left Cascade's facility, and the evidence will show that Ridgeline staged the resin on an uncovered outdoor pad in Kent, Washington during months of 75–88% relative humidity. The jury should decide that dispute on the evidence that bears on it. Three categories of evidence Ridgeline intends to offer do not.</w:t>
      </w:r>
    </w:p>
    <w:p>
      <w:pPr>
        <w:spacing w:line="480" w:lineRule="auto" w:after="0"/>
        <w:ind w:firstLine="720"/>
        <w:jc w:val="both"/>
      </w:pPr>
      <w:r>
        <w:rPr>
          <w:b/>
          <w:i w:val="0"/>
        </w:rPr>
        <w:t>First</w:t>
      </w:r>
      <w:r>
        <w:rPr>
          <w:b w:val="0"/>
          <w:i w:val="0"/>
        </w:rPr>
        <w:t>, Ridgeline's damages expert, Dr. Lena Marchetti, would ask the jury to award $14.2 million—more than the entire estimated three-year value of the Supply Agreement ($13,860,000)—for resin that cost $1,578,500. More than $12 million of that figure rests on opinions that cannot satisfy amended Rule 702. Her $3,000,000 reputational-harm figure is, by her own admission, based on no study, no survey, no model, and no comparable-company analysis—only a "five to ten percent" range "drawn from my professional experience." Her $6,780,000 "lost profits" figure is not a profit figure at all: it is a gross revenue shortfall, with no deduction for costs Ridgeline avoided; it is labeled a 24-month loss but is computed over twelve months; it cannot be reproduced from her own regression equation; and it ignores an industry-wide downturn she admitted she was unaware of. Her $2,340,000 scrap-and-rework figure is a party spreadsheet passed through an expert's letterhead without verification of any kind. None of these opinions accounts for Ridgeline's four-month delay in procuring replacement resin.</w:t>
      </w:r>
    </w:p>
    <w:p>
      <w:pPr>
        <w:spacing w:line="480" w:lineRule="auto" w:after="0"/>
        <w:ind w:firstLine="720"/>
        <w:jc w:val="both"/>
      </w:pPr>
      <w:r>
        <w:rPr>
          <w:b/>
          <w:i w:val="0"/>
        </w:rPr>
        <w:t>Second</w:t>
      </w:r>
      <w:r>
        <w:rPr>
          <w:b w:val="0"/>
          <w:i w:val="0"/>
        </w:rPr>
        <w:t>, Ridgeline seeks to introduce Cascade's post-dispute adoption of three-point moisture sampling and desiccant packaging. Ridgeline's own exhibit list states the purpose plainly: to show that Cascade's prior method "was inadequate" and that the change "constitutes an admission that Cascade's original shipping method was defective." That is precisely the use Rule 407 forbids. The "feasibility" exception Ridgeline invokes in meet-and-confer correspondence does not apply because Cascade has never contested feasibility—and Cascade will so stipulate.</w:t>
      </w:r>
    </w:p>
    <w:p>
      <w:pPr>
        <w:spacing w:line="480" w:lineRule="auto" w:after="0"/>
        <w:ind w:firstLine="720"/>
        <w:jc w:val="both"/>
      </w:pPr>
      <w:r>
        <w:rPr>
          <w:b/>
          <w:i w:val="0"/>
        </w:rPr>
        <w:t>Third</w:t>
      </w:r>
      <w:r>
        <w:rPr>
          <w:b w:val="0"/>
          <w:i w:val="0"/>
        </w:rPr>
        <w:t>, Ridgeline seeks to introduce a 2023 OSHA citation for a seized exhaust-fan motor and clogged air filters in a blending room—a workplace air-quality issue, abated and verified by OSHA before the first shipment at issue, having nothing to do with resin moisture. Ridgeline's exhibit list candidly offers it to show a "corporate pattern and culture of cutting corners." That is the textbook propensity inference Rule 404(b)(1) prohibits, and any marginal relevance is overwhelmed by the Rule 403 dangers.</w:t>
      </w:r>
    </w:p>
    <w:p>
      <w:pPr>
        <w:spacing w:line="480" w:lineRule="auto" w:after="0"/>
        <w:jc w:val="center"/>
      </w:pPr>
      <w:r>
        <w:rPr>
          <w:b/>
          <w:i w:val="0"/>
        </w:rPr>
        <w:t>II. FACTUAL BACKGROUND</w:t>
      </w:r>
    </w:p>
    <w:p>
      <w:pPr>
        <w:spacing w:line="240" w:lineRule="auto" w:after="240"/>
      </w:pPr>
      <w:r>
        <w:rPr>
          <w:b/>
          <w:i w:val="0"/>
        </w:rPr>
        <w:t>A. The Supply Agreement</w:t>
      </w:r>
    </w:p>
    <w:p>
      <w:pPr>
        <w:spacing w:line="480" w:lineRule="auto" w:after="0"/>
        <w:ind w:firstLine="720"/>
        <w:jc w:val="both"/>
      </w:pPr>
      <w:r>
        <w:rPr>
          <w:b w:val="0"/>
          <w:i w:val="0"/>
        </w:rPr>
        <w:t>Cascade and Ridgeline executed a Supply Agreement dated March 15, 2022, for CascadeMax 7200 resin at $3.85 per pound, with an estimated (non-binding) annual volume of 1,200,000 pounds—an estimated annual value of $4,620,000 and an estimated three-year value of $13,860,000. (Declaration of James Calloway ("Calloway Decl."), Ex. A (Supply Agreement) §§ 1.8, 3.1, 4.1.) Cascade warranted that the resin would conform to the Exhibit A specifications—including a 0.08% maximum moisture content—"at the time of shipment." (Id. §§ 1.5, 5.1, 6.1 &amp; Ex. A n.2.) Ridgeline agreed to store the resin in a "fully enclosed, climate-controlled facility" below 40% relative humidity, and the storage guidelines expressly prohibit storage "outdoors, in uncovered staging areas, [or] on open loading docks." (Id. § 6.5 &amp; Ex. B ¶¶ 1–2, 5.)</w:t>
      </w:r>
    </w:p>
    <w:p>
      <w:pPr>
        <w:spacing w:line="480" w:lineRule="auto" w:after="0"/>
        <w:ind w:firstLine="720"/>
        <w:jc w:val="both"/>
      </w:pPr>
      <w:r>
        <w:rPr>
          <w:b w:val="0"/>
          <w:i w:val="0"/>
        </w:rPr>
        <w:t>The Agreement requires written notice of any defect within thirty days after Ridgeline discovers or reasonably should have discovered it, makes timely notice "a condition precedent to any claim," limits remedies for defective product to replacement or refund, caps direct damages, and excludes consequential damages—expressly including "lost profits, loss of revenue, loss of business opportunity, cost of substitute goods or services, [and] reputational harm." (Id. §§ 5.4, 5.5, 7.1, 7.2.) If a court nonetheless finds consequential damages recoverable, Section 7.2 caps them at $2,000,000 in the aggregate. (Id. § 7.2.) The Agreement disclaims the implied warranty of merchantability and is governed by Washington law. (Id. §§ 6.4, 9.1.)</w:t>
      </w:r>
    </w:p>
    <w:p>
      <w:pPr>
        <w:spacing w:line="240" w:lineRule="auto" w:after="240"/>
      </w:pPr>
      <w:r>
        <w:rPr>
          <w:b/>
          <w:i w:val="0"/>
        </w:rPr>
        <w:t>B. The Shipments, Ridgeline's Storage Practices, and Notice</w:t>
      </w:r>
    </w:p>
    <w:p>
      <w:pPr>
        <w:spacing w:line="480" w:lineRule="auto" w:after="0"/>
        <w:ind w:firstLine="720"/>
        <w:jc w:val="both"/>
      </w:pPr>
      <w:r>
        <w:rPr>
          <w:b w:val="0"/>
          <w:i w:val="0"/>
        </w:rPr>
        <w:t>Between June and September 2023, Cascade delivered four shipments totaling 410,000 pounds. Each was accompanied by a Certificate of Analysis reporting moisture content at or below 0.08% by Karl Fischer titration. (Calloway Decl., Ex. C (Gerhardt Rebuttal Report) ¶ 31.) Ridgeline claims that it discovered elevated moisture (approximately 0.18%) on August 22, 2023. (Calloway Decl., Ex. B (Marchetti Report) § IV.) It did not send written notice until September 28, 2023—thirty-seven days later. (Id.; Gerhardt Rep. ¶ 24.) Photographs taken August 30 and October 2, 2023 show Ridgeline's resin pallets on an uncovered outdoor concrete staging pad, some containers without intact seals, during a period when relative humidity in Kent ranged from 75% to 88%. (Gerhardt Rep. ¶¶ 32–33.) Ridgeline did not order replacement resin until December 11, 2023. (Id. ¶ 24.)</w:t>
      </w:r>
    </w:p>
    <w:p>
      <w:pPr>
        <w:spacing w:line="240" w:lineRule="auto" w:after="240"/>
      </w:pPr>
      <w:r>
        <w:rPr>
          <w:b/>
          <w:i w:val="0"/>
        </w:rPr>
        <w:t>C. Dr. Marchetti's Report and Deposition</w:t>
      </w:r>
    </w:p>
    <w:p>
      <w:pPr>
        <w:spacing w:line="480" w:lineRule="auto" w:after="0"/>
        <w:ind w:firstLine="720"/>
        <w:jc w:val="both"/>
      </w:pPr>
      <w:r>
        <w:rPr>
          <w:b w:val="0"/>
          <w:i w:val="0"/>
        </w:rPr>
        <w:t>Dr. Marchetti's October 14, 2024 report opines that Ridgeline suffered $14,200,000 in damages, consisting of five components:</w:t>
      </w:r>
    </w:p>
    <w:tbl>
      <w:tblPr>
        <w:tblStyle w:val="TableGrid"/>
        <w:tblW w:type="auto" w:w="0"/>
        <w:jc w:val="center"/>
        <w:tblLook w:firstColumn="1" w:firstRow="1" w:lastColumn="0" w:lastRow="0" w:noHBand="0" w:noVBand="1" w:val="04A0"/>
      </w:tblPr>
      <w:tblGrid>
        <w:gridCol w:w="3120"/>
        <w:gridCol w:w="3120"/>
        <w:gridCol w:w="3120"/>
      </w:tblGrid>
      <w:tr>
        <w:tc>
          <w:tcPr>
            <w:tcW w:type="dxa" w:w="4320"/>
          </w:tcPr>
          <w:p>
            <w:r/>
            <w:r>
              <w:rPr>
                <w:b/>
                <w:sz w:val="22"/>
              </w:rPr>
              <w:t>Damages Category</w:t>
            </w:r>
          </w:p>
        </w:tc>
        <w:tc>
          <w:tcPr>
            <w:tcW w:type="dxa" w:w="1872"/>
          </w:tcPr>
          <w:p>
            <w:pPr>
              <w:jc w:val="right"/>
            </w:pPr>
            <w:r/>
            <w:r>
              <w:rPr>
                <w:b/>
                <w:sz w:val="22"/>
              </w:rPr>
              <w:t>Amount</w:t>
            </w:r>
          </w:p>
        </w:tc>
        <w:tc>
          <w:tcPr>
            <w:tcW w:type="dxa" w:w="3168"/>
          </w:tcPr>
          <w:p>
            <w:r/>
            <w:r>
              <w:rPr>
                <w:b/>
                <w:sz w:val="22"/>
              </w:rPr>
              <w:t>Basis</w:t>
            </w:r>
          </w:p>
        </w:tc>
      </w:tr>
      <w:tr>
        <w:tc>
          <w:tcPr>
            <w:tcW w:type="dxa" w:w="4320"/>
          </w:tcPr>
          <w:p>
            <w:r/>
            <w:r>
              <w:rPr>
                <w:b w:val="0"/>
                <w:sz w:val="22"/>
              </w:rPr>
              <w:t>Cost of defective resin and disposal</w:t>
            </w:r>
          </w:p>
        </w:tc>
        <w:tc>
          <w:tcPr>
            <w:tcW w:type="dxa" w:w="1872"/>
          </w:tcPr>
          <w:p>
            <w:pPr>
              <w:jc w:val="right"/>
            </w:pPr>
            <w:r/>
            <w:r>
              <w:rPr>
                <w:b w:val="0"/>
                <w:sz w:val="22"/>
              </w:rPr>
              <w:t>$1,578,500</w:t>
            </w:r>
          </w:p>
        </w:tc>
        <w:tc>
          <w:tcPr>
            <w:tcW w:type="dxa" w:w="3168"/>
          </w:tcPr>
          <w:p>
            <w:r/>
            <w:r>
              <w:rPr>
                <w:b w:val="0"/>
                <w:sz w:val="22"/>
              </w:rPr>
              <w:t>410,000 lbs × $3.85/lb</w:t>
            </w:r>
          </w:p>
        </w:tc>
      </w:tr>
      <w:tr>
        <w:tc>
          <w:tcPr>
            <w:tcW w:type="dxa" w:w="4320"/>
          </w:tcPr>
          <w:p>
            <w:r/>
            <w:r>
              <w:rPr>
                <w:b w:val="0"/>
                <w:sz w:val="22"/>
              </w:rPr>
              <w:t>Scrap and rework costs</w:t>
            </w:r>
          </w:p>
        </w:tc>
        <w:tc>
          <w:tcPr>
            <w:tcW w:type="dxa" w:w="1872"/>
          </w:tcPr>
          <w:p>
            <w:pPr>
              <w:jc w:val="right"/>
            </w:pPr>
            <w:r/>
            <w:r>
              <w:rPr>
                <w:b w:val="0"/>
                <w:sz w:val="22"/>
              </w:rPr>
              <w:t>$2,340,000</w:t>
            </w:r>
          </w:p>
        </w:tc>
        <w:tc>
          <w:tcPr>
            <w:tcW w:type="dxa" w:w="3168"/>
          </w:tcPr>
          <w:p>
            <w:r/>
            <w:r>
              <w:rPr>
                <w:b w:val="0"/>
                <w:sz w:val="22"/>
              </w:rPr>
              <w:t>Ridgeline spreadsheet (Cho)</w:t>
            </w:r>
          </w:p>
        </w:tc>
      </w:tr>
      <w:tr>
        <w:tc>
          <w:tcPr>
            <w:tcW w:type="dxa" w:w="4320"/>
          </w:tcPr>
          <w:p>
            <w:r/>
            <w:r>
              <w:rPr>
                <w:b w:val="0"/>
                <w:sz w:val="22"/>
              </w:rPr>
              <w:t>Lost profits from delayed customer orders</w:t>
            </w:r>
          </w:p>
        </w:tc>
        <w:tc>
          <w:tcPr>
            <w:tcW w:type="dxa" w:w="1872"/>
          </w:tcPr>
          <w:p>
            <w:pPr>
              <w:jc w:val="right"/>
            </w:pPr>
            <w:r/>
            <w:r>
              <w:rPr>
                <w:b w:val="0"/>
                <w:sz w:val="22"/>
              </w:rPr>
              <w:t>$6,780,000</w:t>
            </w:r>
          </w:p>
        </w:tc>
        <w:tc>
          <w:tcPr>
            <w:tcW w:type="dxa" w:w="3168"/>
          </w:tcPr>
          <w:p>
            <w:r/>
            <w:r>
              <w:rPr>
                <w:b w:val="0"/>
                <w:sz w:val="22"/>
              </w:rPr>
              <w:t>Linear regression of revenue</w:t>
            </w:r>
          </w:p>
        </w:tc>
      </w:tr>
      <w:tr>
        <w:tc>
          <w:tcPr>
            <w:tcW w:type="dxa" w:w="4320"/>
          </w:tcPr>
          <w:p>
            <w:r/>
            <w:r>
              <w:rPr>
                <w:b w:val="0"/>
                <w:sz w:val="22"/>
              </w:rPr>
              <w:t>Replacement resin premium</w:t>
            </w:r>
          </w:p>
        </w:tc>
        <w:tc>
          <w:tcPr>
            <w:tcW w:type="dxa" w:w="1872"/>
          </w:tcPr>
          <w:p>
            <w:pPr>
              <w:jc w:val="right"/>
            </w:pPr>
            <w:r/>
            <w:r>
              <w:rPr>
                <w:b w:val="0"/>
                <w:sz w:val="22"/>
              </w:rPr>
              <w:t>$512,500</w:t>
            </w:r>
          </w:p>
        </w:tc>
        <w:tc>
          <w:tcPr>
            <w:tcW w:type="dxa" w:w="3168"/>
          </w:tcPr>
          <w:p>
            <w:r/>
            <w:r>
              <w:rPr>
                <w:b w:val="0"/>
                <w:sz w:val="22"/>
              </w:rPr>
              <w:t>410,000 lbs × ($5.10 − $3.85)</w:t>
            </w:r>
          </w:p>
        </w:tc>
      </w:tr>
      <w:tr>
        <w:tc>
          <w:tcPr>
            <w:tcW w:type="dxa" w:w="4320"/>
          </w:tcPr>
          <w:p>
            <w:r/>
            <w:r>
              <w:rPr>
                <w:b w:val="0"/>
                <w:sz w:val="22"/>
              </w:rPr>
              <w:t>Reputational harm / loss of future business</w:t>
            </w:r>
          </w:p>
        </w:tc>
        <w:tc>
          <w:tcPr>
            <w:tcW w:type="dxa" w:w="1872"/>
          </w:tcPr>
          <w:p>
            <w:pPr>
              <w:jc w:val="right"/>
            </w:pPr>
            <w:r/>
            <w:r>
              <w:rPr>
                <w:b w:val="0"/>
                <w:sz w:val="22"/>
              </w:rPr>
              <w:t>$3,000,000</w:t>
            </w:r>
          </w:p>
        </w:tc>
        <w:tc>
          <w:tcPr>
            <w:tcW w:type="dxa" w:w="3168"/>
          </w:tcPr>
          <w:p>
            <w:r/>
            <w:r>
              <w:rPr>
                <w:b w:val="0"/>
                <w:sz w:val="22"/>
              </w:rPr>
              <w:t>"Professional judgment"</w:t>
            </w:r>
          </w:p>
        </w:tc>
      </w:tr>
      <w:tr>
        <w:tc>
          <w:tcPr>
            <w:tcW w:type="dxa" w:w="4320"/>
          </w:tcPr>
          <w:p>
            <w:r/>
            <w:r>
              <w:rPr>
                <w:b/>
                <w:sz w:val="22"/>
              </w:rPr>
              <w:t>Stated total</w:t>
            </w:r>
          </w:p>
        </w:tc>
        <w:tc>
          <w:tcPr>
            <w:tcW w:type="dxa" w:w="1872"/>
          </w:tcPr>
          <w:p>
            <w:pPr>
              <w:jc w:val="right"/>
            </w:pPr>
            <w:r/>
            <w:r>
              <w:rPr>
                <w:b/>
                <w:sz w:val="22"/>
              </w:rPr>
              <w:t>$14,200,000</w:t>
            </w:r>
          </w:p>
        </w:tc>
        <w:tc>
          <w:tcPr>
            <w:tcW w:type="dxa" w:w="3168"/>
          </w:tcPr>
          <w:p>
            <w:r/>
            <w:r>
              <w:rPr>
                <w:b/>
                <w:sz w:val="22"/>
              </w:rPr>
            </w:r>
          </w:p>
        </w:tc>
      </w:tr>
      <w:tr>
        <w:tc>
          <w:tcPr>
            <w:tcW w:type="dxa" w:w="4320"/>
          </w:tcPr>
          <w:p>
            <w:r/>
            <w:r>
              <w:rPr>
                <w:b/>
                <w:sz w:val="22"/>
              </w:rPr>
              <w:t>Actual sum of components</w:t>
            </w:r>
          </w:p>
        </w:tc>
        <w:tc>
          <w:tcPr>
            <w:tcW w:type="dxa" w:w="1872"/>
          </w:tcPr>
          <w:p>
            <w:pPr>
              <w:jc w:val="right"/>
            </w:pPr>
            <w:r/>
            <w:r>
              <w:rPr>
                <w:b/>
                <w:sz w:val="22"/>
              </w:rPr>
              <w:t>$14,211,000</w:t>
            </w:r>
          </w:p>
        </w:tc>
        <w:tc>
          <w:tcPr>
            <w:tcW w:type="dxa" w:w="3168"/>
          </w:tcPr>
          <w:p>
            <w:r/>
            <w:r>
              <w:rPr>
                <w:b/>
                <w:sz w:val="22"/>
              </w:rPr>
            </w:r>
          </w:p>
        </w:tc>
      </w:tr>
    </w:tbl>
    <w:p>
      <w:pPr>
        <w:spacing w:line="240" w:lineRule="auto" w:after="240"/>
      </w:pPr>
      <w:r>
        <w:rPr>
          <w:b w:val="0"/>
          <w:i w:val="0"/>
        </w:rPr>
        <w:t>(Marchetti Rep. § VI.A.)</w:t>
      </w:r>
    </w:p>
    <w:p>
      <w:pPr>
        <w:spacing w:line="480" w:lineRule="auto" w:after="0"/>
        <w:ind w:firstLine="720"/>
        <w:jc w:val="both"/>
      </w:pPr>
      <w:r>
        <w:rPr>
          <w:b w:val="0"/>
          <w:i w:val="0"/>
        </w:rPr>
        <w:t>The five components sum to $14,211,000, not $14,200,000; Dr. Marchetti could not explain the $11,000 discrepancy at deposition. (Calloway Decl., Ex. D (Marchetti Dep.) 92:1–93:16, 138:21–24.) She categorized $10,292,500 of her total as "consequential damages." (Marchetti Rep. § VI.B.) She conceded that her total does not account for the Supply Agreement's limitation-of-liability provisions. (Marchetti Dep. 126:15–127:2.) Dr. Marchetti has testified in approximately thirty state-court and arbitration matters but has never been qualified as an expert in federal court or had her methodology examined under Rule 702. (Id. 12:19–13:21, 116:1–3.) Her specific admissions are addressed in the Argument below.</w:t>
      </w:r>
    </w:p>
    <w:p>
      <w:pPr>
        <w:spacing w:line="240" w:lineRule="auto" w:after="240"/>
      </w:pPr>
      <w:r>
        <w:rPr>
          <w:b/>
          <w:i w:val="0"/>
        </w:rPr>
        <w:t>D. The November 2023 Changes to Cascade's Practices</w:t>
      </w:r>
    </w:p>
    <w:p>
      <w:pPr>
        <w:spacing w:line="480" w:lineRule="auto" w:after="0"/>
        <w:ind w:firstLine="720"/>
        <w:jc w:val="both"/>
      </w:pPr>
      <w:r>
        <w:rPr>
          <w:b w:val="0"/>
          <w:i w:val="0"/>
        </w:rPr>
        <w:t>In November 2023—after Ridgeline's September 28, 2023 notice and Cascade's October 15, 2023 response—Cascade moved from single-point to three-point statistical moisture sampling for outgoing shipments and began including desiccant packets in sealed containers. Ridgeline's exhibit list designates the revised protocol (PX-22), the desiccant directive (PX-23), and an internal email chain discussing the change, which Ridgeline describes as referencing "the defective-resin complaints from Ridgeline . . . as the impetus for the change" and "management's concern regarding potential litigation exposure" (PX-24). (Calloway Decl., Ex. E (Pl.'s Exhibit List).) Ridgeline states that it offers PX-22 "to demonstrate that Cascade's pre-dispute single-point sampling methodology was inadequate," and PX-23 as "an admission that Cascade's original shipping method was defective." (Id.)</w:t>
      </w:r>
    </w:p>
    <w:p>
      <w:pPr>
        <w:spacing w:line="240" w:lineRule="auto" w:after="240"/>
      </w:pPr>
      <w:r>
        <w:rPr>
          <w:b/>
          <w:i w:val="0"/>
        </w:rPr>
        <w:t>E. The OSHA Citation</w:t>
      </w:r>
    </w:p>
    <w:p>
      <w:pPr>
        <w:spacing w:line="480" w:lineRule="auto" w:after="0"/>
        <w:ind w:firstLine="720"/>
        <w:jc w:val="both"/>
      </w:pPr>
      <w:r>
        <w:rPr>
          <w:b w:val="0"/>
          <w:i w:val="0"/>
        </w:rPr>
        <w:t>On April 10, 2023, following a programmed (not complaint-driven) inspection, OSHA issued Citation No. 2023-OR-00487 to Cascade's Portland facility for inadequate ventilation in the Building C blending room: an exhaust-fan motor at one blending station had seized, and dilution-ventilation filters were overdue for replacement, resulting in an airborne-dust reading of 12.3 mg/m³ against a 10 mg/m³ limit. (Calloway Decl., Ex. F (OSHA Citation).) OSHA rated the severity "lesser," noted Cascade's written safety program and cooperation, and recorded no prior citations in the preceding five years. (Id.) Cascade replaced the motor and filters by April 24, 2023, paid the $14,502 penalty on May 2, 2023, and OSHA verified and accepted abatement on May 10, 2023—three weeks before the first shipment at issue. (Id.) The citation says nothing about resin quality, moisture testing, certificates of analysis, packaging, or CascadeMax 7200. Ridgeline designates the citation (PX-25), penalty-payment records (PX-26), and deposition excerpts of Cascade's CEO about the citation (PX-27), offered "to demonstrate a corporate pattern and culture of cutting corners on safety and quality protocols." (Pl.'s Exhibit List.)</w:t>
      </w:r>
    </w:p>
    <w:p>
      <w:pPr>
        <w:spacing w:line="240" w:lineRule="auto" w:after="240"/>
      </w:pPr>
      <w:r>
        <w:rPr>
          <w:b/>
          <w:i w:val="0"/>
        </w:rPr>
        <w:t>F. Meet and Confer</w:t>
      </w:r>
    </w:p>
    <w:p>
      <w:pPr>
        <w:spacing w:line="480" w:lineRule="auto" w:after="0"/>
        <w:ind w:firstLine="720"/>
        <w:jc w:val="both"/>
      </w:pPr>
      <w:r>
        <w:rPr>
          <w:b w:val="0"/>
          <w:i w:val="0"/>
        </w:rPr>
        <w:t>Counsel for Cascade set out these objections by letter dated January 8, 2025, and the parties met and conferred. Ridgeline confirmed in writing that it will offer the challenged exhibits and oppose exclusion. (Calloway Decl., Ex. G (Solano correspondence).)</w:t>
      </w:r>
    </w:p>
    <w:p>
      <w:pPr>
        <w:spacing w:line="480" w:lineRule="auto" w:after="0"/>
        <w:jc w:val="center"/>
      </w:pPr>
      <w:r>
        <w:rPr>
          <w:b/>
          <w:i w:val="0"/>
        </w:rPr>
        <w:t>III. LEGAL STANDARDS</w:t>
      </w:r>
    </w:p>
    <w:p>
      <w:pPr>
        <w:spacing w:line="480" w:lineRule="auto" w:after="0"/>
        <w:ind w:firstLine="720"/>
        <w:jc w:val="both"/>
      </w:pPr>
      <w:r>
        <w:rPr>
          <w:b/>
          <w:i w:val="0"/>
        </w:rPr>
        <w:t>Motions in limine.</w:t>
      </w:r>
      <w:r>
        <w:rPr>
          <w:b w:val="0"/>
          <w:i w:val="0"/>
        </w:rPr>
        <w:t xml:space="preserve"> District courts have inherent authority to rule on evidentiary issues in advance of trial to manage the course of proceedings. </w:t>
      </w:r>
      <w:r>
        <w:rPr>
          <w:b w:val="0"/>
          <w:i/>
        </w:rPr>
        <w:t>Luce v. United States</w:t>
      </w:r>
      <w:r>
        <w:rPr>
          <w:b w:val="0"/>
          <w:i w:val="0"/>
        </w:rPr>
        <w:t>, 469 U.S. 38, 41 n.4 (1984). Preliminary questions of admissibility are decided by the Court under Rule 104(a).</w:t>
      </w:r>
    </w:p>
    <w:p>
      <w:pPr>
        <w:spacing w:line="480" w:lineRule="auto" w:after="0"/>
        <w:ind w:firstLine="720"/>
        <w:jc w:val="both"/>
      </w:pPr>
      <w:r>
        <w:rPr>
          <w:b/>
          <w:i w:val="0"/>
        </w:rPr>
        <w:t>Rule 702.</w:t>
      </w:r>
      <w:r>
        <w:rPr>
          <w:b w:val="0"/>
          <w:i w:val="0"/>
        </w:rPr>
        <w:t xml:space="preserve"> As amended effective December 1, 2023, Rule 702 permits expert opinion testimony only if "the proponent demonstrates to the court that it is more likely than not that" (a) the expert's specialized knowledge will help the trier of fact; (b) "the testimony is based on sufficient facts or data"; (c) "the testimony is the product of reliable principles and methods"; and (d) "the expert's opinion reflects a reliable application of the principles and methods to the facts of the case." Fed. R. Evid. 702. The trial court acts as gatekeeper for all expert testimony, including testimony based on experience. </w:t>
      </w:r>
      <w:r>
        <w:rPr>
          <w:b w:val="0"/>
          <w:i/>
        </w:rPr>
        <w:t>Daubert v. Merrell Dow Pharms., Inc.</w:t>
      </w:r>
      <w:r>
        <w:rPr>
          <w:b w:val="0"/>
          <w:i w:val="0"/>
        </w:rPr>
        <w:t xml:space="preserve">, 509 U.S. 579, 589–95 (1993); </w:t>
      </w:r>
      <w:r>
        <w:rPr>
          <w:b w:val="0"/>
          <w:i/>
        </w:rPr>
        <w:t>Kumho Tire Co. v. Carmichael</w:t>
      </w:r>
      <w:r>
        <w:rPr>
          <w:b w:val="0"/>
          <w:i w:val="0"/>
        </w:rPr>
        <w:t xml:space="preserve">, 526 U.S. 137, 147–52 (1999). "[N]othing in either </w:t>
      </w:r>
      <w:r>
        <w:rPr>
          <w:b w:val="0"/>
          <w:i/>
        </w:rPr>
        <w:t>Daubert</w:t>
      </w:r>
      <w:r>
        <w:rPr>
          <w:b w:val="0"/>
          <w:i w:val="0"/>
        </w:rPr>
        <w:t xml:space="preserve"> or the Federal Rules of Evidence requires a district court to admit opinion evidence that is connected to existing data only by the </w:t>
      </w:r>
      <w:r>
        <w:rPr>
          <w:b w:val="0"/>
          <w:i/>
        </w:rPr>
        <w:t>ipse dixit</w:t>
      </w:r>
      <w:r>
        <w:rPr>
          <w:b w:val="0"/>
          <w:i w:val="0"/>
        </w:rPr>
        <w:t xml:space="preserve"> of the expert." </w:t>
      </w:r>
      <w:r>
        <w:rPr>
          <w:b w:val="0"/>
          <w:i/>
        </w:rPr>
        <w:t>Gen. Elec. Co. v. Joiner</w:t>
      </w:r>
      <w:r>
        <w:rPr>
          <w:b w:val="0"/>
          <w:i w:val="0"/>
        </w:rPr>
        <w:t xml:space="preserve">, 522 U.S. 136, 146 (1997). The 2023 amendment was adopted to correct decisions holding "that the critical questions of the sufficiency of an expert's basis, and the application of the expert's methodology, are questions of weight and not admissibility"; those rulings "are an incorrect application of Rules 702 and 104(a)." Fed. R. Evid. 702 advisory committee's note to 2023 amendment. And an expert relying on experience "must explain how that experience leads to the conclusion reached, why that experience is a sufficient basis for the opinion, and how that experience is reliably applied to the facts." Fed. R. Evid. 702 advisory committee's note to 2000 amendment. </w:t>
      </w:r>
      <w:r>
        <w:rPr>
          <w:b w:val="0"/>
          <w:i/>
        </w:rPr>
        <w:t>See also Daubert v. Merrell Dow Pharms., Inc.</w:t>
      </w:r>
      <w:r>
        <w:rPr>
          <w:b w:val="0"/>
          <w:i w:val="0"/>
        </w:rPr>
        <w:t xml:space="preserve">, 43 F.3d 1311, 1316–19 (9th Cir. 1995) (on remand); </w:t>
      </w:r>
      <w:r>
        <w:rPr>
          <w:b w:val="0"/>
          <w:i/>
        </w:rPr>
        <w:t>Primiano v. Cook</w:t>
      </w:r>
      <w:r>
        <w:rPr>
          <w:b w:val="0"/>
          <w:i w:val="0"/>
        </w:rPr>
        <w:t>, 598 F.3d 558, 564–65 (9th Cir. 2010).</w:t>
      </w:r>
    </w:p>
    <w:p>
      <w:pPr>
        <w:spacing w:line="480" w:lineRule="auto" w:after="0"/>
        <w:ind w:firstLine="720"/>
        <w:jc w:val="both"/>
      </w:pPr>
      <w:r>
        <w:rPr>
          <w:b/>
          <w:i w:val="0"/>
        </w:rPr>
        <w:t>Rule 407.</w:t>
      </w:r>
      <w:r>
        <w:rPr>
          <w:b w:val="0"/>
          <w:i w:val="0"/>
        </w:rPr>
        <w:t xml:space="preserve"> "When measures are taken that would have made an earlier injury or harm less likely to occur, evidence of the subsequent measures is not admissible to prove: negligence; culpable conduct; a defect in a product or its design; or a need for a warning or instruction." Fed. R. Evid. 407. Such evidence may be admitted for another purpose, such as "impeachment or—if disputed—proving ownership, control, or the feasibility of precautionary measures." Id.</w:t>
      </w:r>
    </w:p>
    <w:p>
      <w:pPr>
        <w:spacing w:line="480" w:lineRule="auto" w:after="0"/>
        <w:ind w:firstLine="720"/>
        <w:jc w:val="both"/>
      </w:pPr>
      <w:r>
        <w:rPr>
          <w:b/>
          <w:i w:val="0"/>
        </w:rPr>
        <w:t>Rule 404(b).</w:t>
      </w:r>
      <w:r>
        <w:rPr>
          <w:b w:val="0"/>
          <w:i w:val="0"/>
        </w:rPr>
        <w:t xml:space="preserve"> "Evidence of any other crime, wrong, or act is not admissible to prove a person's character in order to show that on a particular occasion the person acted in accordance with the character." Fed. R. Evid. 404(b)(1). Such evidence may be admissible for another purpose, such as knowledge or plan, only if the proponent shows that (1) it tends to prove a material point, (2) it is not too remote in time, (3) there is sufficient evidence the act occurred, and (4) where offered to prove knowledge or intent, the act is similar to the conduct at issue; and even then it remains subject to Rule 403. </w:t>
      </w:r>
      <w:r>
        <w:rPr>
          <w:b w:val="0"/>
          <w:i/>
        </w:rPr>
        <w:t>See Duran v. City of Maywood</w:t>
      </w:r>
      <w:r>
        <w:rPr>
          <w:b w:val="0"/>
          <w:i w:val="0"/>
        </w:rPr>
        <w:t xml:space="preserve">, 221 F.3d 1127, 1132–33 (9th Cir. 2000) (applying test in civil case); </w:t>
      </w:r>
      <w:r>
        <w:rPr>
          <w:b w:val="0"/>
          <w:i/>
        </w:rPr>
        <w:t>Huddleston v. United States</w:t>
      </w:r>
      <w:r>
        <w:rPr>
          <w:b w:val="0"/>
          <w:i w:val="0"/>
        </w:rPr>
        <w:t>, 485 U.S. 681, 691–92 (1988).</w:t>
      </w:r>
    </w:p>
    <w:p>
      <w:pPr>
        <w:spacing w:line="480" w:lineRule="auto" w:after="0"/>
        <w:ind w:firstLine="720"/>
        <w:jc w:val="both"/>
      </w:pPr>
      <w:r>
        <w:rPr>
          <w:b/>
          <w:i w:val="0"/>
        </w:rPr>
        <w:t>Rule 403.</w:t>
      </w:r>
      <w:r>
        <w:rPr>
          <w:b w:val="0"/>
          <w:i w:val="0"/>
        </w:rPr>
        <w:t xml:space="preserve"> The Court "may exclude relevant evidence if its probative value is substantially outweighed by a danger of . . . unfair prejudice, confusing the issues, misleading the jury, undue delay, [or] wasting time." Fed. R. Evid. 403. "Unfair prejudice" includes "an undue tendency to suggest decision on an improper basis." </w:t>
      </w:r>
      <w:r>
        <w:rPr>
          <w:b w:val="0"/>
          <w:i/>
        </w:rPr>
        <w:t>Old Chief v. United States</w:t>
      </w:r>
      <w:r>
        <w:rPr>
          <w:b w:val="0"/>
          <w:i w:val="0"/>
        </w:rPr>
        <w:t xml:space="preserve">, 519 U.S. 172, 180 (1997) (quoting advisory committee's note). Because expert testimony "can be both powerful and quite misleading," the Rule 403 inquiry carries particular force as to experts. </w:t>
      </w:r>
      <w:r>
        <w:rPr>
          <w:b w:val="0"/>
          <w:i/>
        </w:rPr>
        <w:t>Daubert</w:t>
      </w:r>
      <w:r>
        <w:rPr>
          <w:b w:val="0"/>
          <w:i w:val="0"/>
        </w:rPr>
        <w:t>, 509 U.S. at 595.</w:t>
      </w:r>
    </w:p>
    <w:p>
      <w:pPr>
        <w:spacing w:line="480" w:lineRule="auto" w:after="0"/>
        <w:jc w:val="center"/>
      </w:pPr>
      <w:r>
        <w:rPr>
          <w:b/>
          <w:i w:val="0"/>
        </w:rPr>
        <w:t>IV. ARGUMENT</w:t>
      </w:r>
    </w:p>
    <w:p>
      <w:pPr>
        <w:spacing w:line="240" w:lineRule="auto" w:after="240"/>
      </w:pPr>
      <w:r>
        <w:rPr>
          <w:b/>
          <w:i w:val="0"/>
        </w:rPr>
        <w:t>MOTION IN LIMINE NO. 1: The Court Should Exclude Dr. Marchetti's Reputational-Harm, Lost-Profits, and Scrap-and-Rework Opinions.</w:t>
      </w:r>
    </w:p>
    <w:p>
      <w:pPr>
        <w:spacing w:line="480" w:lineRule="auto" w:after="0"/>
        <w:ind w:firstLine="720"/>
        <w:jc w:val="both"/>
      </w:pPr>
      <w:r>
        <w:rPr>
          <w:b w:val="0"/>
          <w:i w:val="0"/>
        </w:rPr>
        <w:t>Ridgeline bears the burden of demonstrating, by a preponderance of the evidence, that each of Dr. Marchetti's opinions satisfies Rule 702. It cannot do so for the three opinions below, which together account for $12,120,000 of her $14.2 million total. Each argument is independent, and Cascade requests a separate ruling on each.</w:t>
      </w:r>
    </w:p>
    <w:p>
      <w:pPr>
        <w:spacing w:line="240" w:lineRule="auto" w:after="240"/>
        <w:ind w:left="720"/>
      </w:pPr>
      <w:r>
        <w:rPr>
          <w:b/>
          <w:i w:val="0"/>
        </w:rPr>
        <w:t xml:space="preserve">A. The $3,000,000 Reputational-Harm Opinion Is Unsupported </w:t>
      </w:r>
      <w:r>
        <w:rPr>
          <w:b/>
          <w:i/>
        </w:rPr>
        <w:t>Ipse Dixit</w:t>
      </w:r>
      <w:r>
        <w:rPr>
          <w:b/>
          <w:i w:val="0"/>
        </w:rPr>
        <w:t>.</w:t>
      </w:r>
    </w:p>
    <w:p>
      <w:pPr>
        <w:spacing w:line="480" w:lineRule="auto" w:after="0"/>
        <w:ind w:firstLine="720"/>
        <w:jc w:val="both"/>
      </w:pPr>
      <w:r>
        <w:rPr>
          <w:b w:val="0"/>
          <w:i w:val="0"/>
        </w:rPr>
        <w:t>Dr. Marchetti's reputational-harm opinion rests on a single premise: that "companies experiencing significant quality disruptions . . . typically lose between 5% and 10% of their customer base within two years." (Marchetti Rep. § V.F.) At deposition she conceded that this range has no empirical basis beyond her own recollection:</w:t>
      </w:r>
    </w:p>
    <w:p>
      <w:pPr>
        <w:spacing w:line="240" w:lineRule="auto" w:after="240"/>
        <w:ind w:left="1440" w:right="1080"/>
      </w:pPr>
      <w:r>
        <w:rPr>
          <w:b w:val="0"/>
          <w:i w:val="0"/>
        </w:rPr>
        <w:t>"Q. . . . What peer-reviewed study or academic literature supports that range? A. I don't point to a specific peer-reviewed study. That range is drawn from my professional experience consulting in manufacturing sectors." (Marchetti Dep. 74:15–20.)</w:t>
      </w:r>
    </w:p>
    <w:p>
      <w:pPr>
        <w:spacing w:line="480" w:lineRule="auto" w:after="0"/>
        <w:ind w:firstLine="720"/>
        <w:jc w:val="both"/>
      </w:pPr>
      <w:r>
        <w:rPr>
          <w:b w:val="0"/>
          <w:i w:val="0"/>
        </w:rPr>
        <w:t>She conducted no customer survey (id. 75:3), performed no regression or other quantitative model (id. 75:4–7), and performed no comparable-company analysis (id. 75:8–13). She confirmed that the "fundamental driver" of the calculation is "based solely on [her] professional experience and judgment" and is not based on "any published study," "any customer survey," "any quantitative model," or "any comparable-company analysis." (Id. 76:11–24; see also id. 116:19–22 (method never published or peer reviewed); 138:11–16.)</w:t>
      </w:r>
    </w:p>
    <w:p>
      <w:pPr>
        <w:spacing w:line="480" w:lineRule="auto" w:after="0"/>
        <w:ind w:firstLine="720"/>
        <w:jc w:val="both"/>
      </w:pPr>
      <w:r>
        <w:rPr>
          <w:b w:val="0"/>
          <w:i w:val="0"/>
        </w:rPr>
        <w:t>This opinion fails every prong of Rule 702.</w:t>
      </w:r>
    </w:p>
    <w:p>
      <w:pPr>
        <w:spacing w:line="480" w:lineRule="auto" w:after="0"/>
        <w:ind w:firstLine="720"/>
        <w:jc w:val="both"/>
      </w:pPr>
      <w:r>
        <w:rPr>
          <w:b/>
          <w:i w:val="0"/>
        </w:rPr>
        <w:t>No sufficient facts or data (Rule 702(b)).</w:t>
      </w:r>
      <w:r>
        <w:rPr>
          <w:b w:val="0"/>
          <w:i w:val="0"/>
        </w:rPr>
        <w:t xml:space="preserve"> The opinion identifies no Ridgeline customer that has reduced or terminated its business. Ridgeline's own exhibit list includes customer complaint correspondence (PX-19), yet Dr. Marchetti did not use it—or any other Ridgeline-specific data—to measure actual attrition. An opinion about what "typically" happens to unidentified companies is not an opinion about what happened to Ridgeline.</w:t>
      </w:r>
    </w:p>
    <w:p>
      <w:pPr>
        <w:spacing w:line="480" w:lineRule="auto" w:after="0"/>
        <w:ind w:firstLine="720"/>
        <w:jc w:val="both"/>
      </w:pPr>
      <w:r>
        <w:rPr>
          <w:b/>
          <w:i w:val="0"/>
        </w:rPr>
        <w:t>No reliable method (Rule 702(c)).</w:t>
      </w:r>
      <w:r>
        <w:rPr>
          <w:b w:val="0"/>
          <w:i w:val="0"/>
        </w:rPr>
        <w:t xml:space="preserve"> The 5–10% range cannot be tested, has no known error rate, has never been peer reviewed, and has no demonstrated acceptance. </w:t>
      </w:r>
      <w:r>
        <w:rPr>
          <w:b w:val="0"/>
          <w:i/>
        </w:rPr>
        <w:t>Daubert</w:t>
      </w:r>
      <w:r>
        <w:rPr>
          <w:b w:val="0"/>
          <w:i w:val="0"/>
        </w:rPr>
        <w:t>, 509 U.S. at 593–94. Dr. Marchetti did not identify the prior engagements from which the range was supposedly derived, the companies involved, the magnitude of their disruptions, or how attrition was measured. That is precisely what the Advisory Committee requires of an experience-based expert—an explanation of "how that experience leads to the conclusion reached"—and it is entirely absent. Fed. R. Evid. 702 advisory committee's note to 2000 amendment.</w:t>
      </w:r>
    </w:p>
    <w:p>
      <w:pPr>
        <w:spacing w:line="480" w:lineRule="auto" w:after="0"/>
        <w:ind w:firstLine="720"/>
        <w:jc w:val="both"/>
      </w:pPr>
      <w:r>
        <w:rPr>
          <w:b/>
          <w:i w:val="0"/>
        </w:rPr>
        <w:t>No reliable application (Rule 702(d)).</w:t>
      </w:r>
      <w:r>
        <w:rPr>
          <w:b w:val="0"/>
          <w:i w:val="0"/>
        </w:rPr>
        <w:t xml:space="preserve"> Even taking the range as given, the $3,000,000 output cannot be traced to any disclosed input. The report states only that Dr. Marchetti applied a 7.5% midpoint "to the revenue most at risk from the quality disruption." (Marchetti Rep. § V.F.) The report never identifies that revenue base. At deposition she stated that "[t]he precise calculation is set forth in my report," but could not identify the revenue figure she used. (Marchetti Dep. 75:24–76:8.) It is not in the report. Simple arithmetic shows the problem: applying 7.5% to Ridgeline's approximately $78 million annual revenue over two years would yield roughly $11.7 million; the $3,000,000 figure implies an undisclosed base of roughly $20 million. The jury cannot evaluate, and Cascade cannot cross-examine, a number whose principal input has never been disclosed. This is the "analytical gap" that requires exclusion. </w:t>
      </w:r>
      <w:r>
        <w:rPr>
          <w:b w:val="0"/>
          <w:i/>
        </w:rPr>
        <w:t>Joiner</w:t>
      </w:r>
      <w:r>
        <w:rPr>
          <w:b w:val="0"/>
          <w:i w:val="0"/>
        </w:rPr>
        <w:t>, 522 U.S. at 146.</w:t>
      </w:r>
    </w:p>
    <w:p>
      <w:pPr>
        <w:spacing w:line="480" w:lineRule="auto" w:after="0"/>
        <w:ind w:firstLine="720"/>
        <w:jc w:val="both"/>
      </w:pPr>
      <w:r>
        <w:rPr>
          <w:b/>
          <w:i w:val="0"/>
        </w:rPr>
        <w:t>Double counting.</w:t>
      </w:r>
      <w:r>
        <w:rPr>
          <w:b w:val="0"/>
          <w:i w:val="0"/>
        </w:rPr>
        <w:t xml:space="preserve"> The opinion also overlaps with Dr. Marchetti's lost-profits figure. Both purport to measure revenue lost because customers reduced their business with Ridgeline after the disruption, and both cover the same post-August 2023 period; her lost-profits model expressly attributes its shortfall in part to "loss of customer confidence." (Marchetti Rep. App. B.) She performed no analysis to ensure the two categories do not compensate the same loss twice. An opinion that invites a duplicative award is unhelpful to the jury and misleading under Rule 403.</w:t>
      </w:r>
    </w:p>
    <w:p>
      <w:pPr>
        <w:spacing w:line="480" w:lineRule="auto" w:after="0"/>
        <w:ind w:firstLine="720"/>
        <w:jc w:val="both"/>
      </w:pPr>
      <w:r>
        <w:rPr>
          <w:b w:val="0"/>
          <w:i w:val="0"/>
        </w:rPr>
        <w:t>Finally, reputational harm is among the categories the parties expressly agreed would not be recoverable. (Supply Agreement § 7.2 (excluding "reputational harm" and "loss of goodwill").) Permitting an unsupported $3,000,000 figure on an expressly excluded category would serve only to inflate the jury's sense of the case. The opinion should be excluded in its entirety.</w:t>
      </w:r>
    </w:p>
    <w:p>
      <w:pPr>
        <w:spacing w:line="240" w:lineRule="auto" w:after="240"/>
        <w:ind w:left="720"/>
      </w:pPr>
      <w:r>
        <w:rPr>
          <w:b/>
          <w:i w:val="0"/>
        </w:rPr>
        <w:t>B. The $6,780,000 "Lost Profits" Opinion Is Not a Reliable Application of Regression Analysis.</w:t>
      </w:r>
    </w:p>
    <w:p>
      <w:pPr>
        <w:spacing w:line="480" w:lineRule="auto" w:after="0"/>
        <w:ind w:firstLine="720"/>
        <w:jc w:val="both"/>
      </w:pPr>
      <w:r>
        <w:rPr>
          <w:b w:val="0"/>
          <w:i w:val="0"/>
        </w:rPr>
        <w:t>Cascade does not dispute that linear regression is, in the abstract, an accepted tool. The problem is Rule 702(b) and (d): Dr. Marchetti's application of the tool to the facts is unreliable in at least five respects, each of which independently distorts the output.</w:t>
      </w:r>
    </w:p>
    <w:p>
      <w:pPr>
        <w:spacing w:line="480" w:lineRule="auto" w:after="0"/>
        <w:ind w:firstLine="720"/>
        <w:jc w:val="both"/>
      </w:pPr>
      <w:r>
        <w:rPr>
          <w:b/>
          <w:i w:val="0"/>
        </w:rPr>
        <w:t>1. The figure measures lost revenue, not lost profits.</w:t>
      </w:r>
      <w:r>
        <w:rPr>
          <w:b w:val="0"/>
          <w:i w:val="0"/>
        </w:rPr>
        <w:t xml:space="preserve"> Dr. Marchetti's report states that the $6,780,000 "represents the revenue shortfall between the projected 'but-for' trajectory and Ridgeline's actual performance." (Marchetti Rep. § V.B; App. B.) Her tables compute the figure by subtracting actual revenue from projected revenue—nothing more. She made no deduction for the costs Ridgeline would have incurred to generate the "lost" revenue: resin, labor, energy, freight, and other variable costs. Lost profits are, by definition, net of costs saved. </w:t>
      </w:r>
      <w:r>
        <w:rPr>
          <w:b w:val="0"/>
          <w:i/>
        </w:rPr>
        <w:t>See</w:t>
      </w:r>
      <w:r>
        <w:rPr>
          <w:b w:val="0"/>
          <w:i w:val="0"/>
        </w:rPr>
        <w:t xml:space="preserve"> Restatement (Second) of Contracts § 347(c) (damages reduced by "any cost or other loss that [the injured party] has avoided by not having to perform"). Presenting gross revenue to the jury under the label "lost profits" overstates the claim by the full amount of Ridgeline's avoided costs and is, by itself, a sufficient ground to exclude the opinion.</w:t>
      </w:r>
    </w:p>
    <w:p>
      <w:pPr>
        <w:spacing w:line="480" w:lineRule="auto" w:after="0"/>
        <w:ind w:firstLine="720"/>
        <w:jc w:val="both"/>
      </w:pPr>
      <w:r>
        <w:rPr>
          <w:b/>
          <w:i w:val="0"/>
        </w:rPr>
        <w:t>2. The "24-month" figure is calculated over twelve months—and projects losses through a date after the report was written.</w:t>
      </w:r>
      <w:r>
        <w:rPr>
          <w:b w:val="0"/>
          <w:i w:val="0"/>
        </w:rPr>
        <w:t xml:space="preserve"> Dr. Marchetti's report, and her deposition testimony, describe the $6,780,000 as a loss over a "24-month impact period from August 2023 through July 2025." (Marchetti Rep. § V.B; Marchetti Dep. 37:13–17, 102:23–103:2.) But her own table covers only August 2023 through July 2024—twelve months—and the quarterly shortfalls in that table sum exactly to $6,780,000. (Marchetti Rep. § V.B tbl.; App. B tbl.) Moreover, a report dated October 14, 2024 could not have compared projections against "actual" revenue for months through July 2025. Either the figure is a twelve-month figure mislabeled as a twenty-four-month figure, or Dr. Marchetti intends to testify to losses for a period she never actually modeled. Either way, the jury would be misled.</w:t>
      </w:r>
    </w:p>
    <w:p>
      <w:pPr>
        <w:spacing w:line="480" w:lineRule="auto" w:after="0"/>
        <w:ind w:firstLine="720"/>
        <w:jc w:val="both"/>
      </w:pPr>
      <w:r>
        <w:rPr>
          <w:b/>
          <w:i w:val="0"/>
        </w:rPr>
        <w:t>3. The projections cannot be reproduced from the report's own regression equation.</w:t>
      </w:r>
      <w:r>
        <w:rPr>
          <w:b w:val="0"/>
          <w:i w:val="0"/>
        </w:rPr>
        <w:t xml:space="preserve"> The report discloses the fitted equation: monthly revenue = $5,420,000 + $38,200 × t, where t = 1 for January 2019. (Marchetti Rep. App. B.) Applying that equation yields projected revenue of approximately $15,157,000 for August–September 2023 (t = 56–57), $23,021,000 for Q4 2023 (t = 58–60), and $7,979,000 for July 2024 (t = 67). The report's table instead states $13,840,000, $21,200,000, and $7,450,000 for those periods. (Id.) Because the projected "but-for" figures do not follow from the disclosed model, the model cannot be the source of the opinion, and neither the Court nor Cascade can determine what method actually produced the numbers presented. That is the antithesis of a testable, reliable methodology.</w:t>
      </w:r>
    </w:p>
    <w:p>
      <w:pPr>
        <w:spacing w:line="480" w:lineRule="auto" w:after="0"/>
        <w:ind w:firstLine="720"/>
        <w:jc w:val="both"/>
      </w:pPr>
      <w:r>
        <w:rPr>
          <w:b/>
          <w:i w:val="0"/>
        </w:rPr>
        <w:t>4. The FY2020 exclusion was never tested.</w:t>
      </w:r>
      <w:r>
        <w:rPr>
          <w:b w:val="0"/>
          <w:i w:val="0"/>
        </w:rPr>
        <w:t xml:space="preserve"> Dr. Marchetti dropped all of calendar 2020—twelve of the forty-eight available baseline months—because of "pandemic distortions," fitting her trend only to 2019, 2021, and 2022. (Marchetti Rep. § V.B; Marchetti Dep. 34:12–35:4.) Excluding a depressed year from the middle of a short baseline predictably steepens the fitted trend line and raises every projected "but-for" value. Yet she admitted she performed no sensitivity analysis comparing results with and without 2020, tested no alternative (such as excluding only the shutdown quarters or using an indicator variable), and had "no quantitative basis" beyond "professional judgment" for the choice. (Marchetti Dep. 35:5–17, 138:2–5; see also id. 116:11–18 (specific application never published or peer reviewed).) Dr. Gerhardt explains that without such testing it is impossible to know whether the exclusion drives the result. (Gerhardt Rep. ¶¶ 12–13.) An expert may exercise judgment in selecting data, but Rule 702(d) requires her to show that the judgment was reliably applied; she cannot insulate an untested, outcome-determinative choice from scrutiny by calling it judgment.</w:t>
      </w:r>
    </w:p>
    <w:p>
      <w:pPr>
        <w:spacing w:line="480" w:lineRule="auto" w:after="0"/>
        <w:ind w:firstLine="720"/>
        <w:jc w:val="both"/>
      </w:pPr>
      <w:r>
        <w:rPr>
          <w:b/>
          <w:i w:val="0"/>
        </w:rPr>
        <w:t>5. The model ignores an obvious alternative cause: the Q2 2023 regional downturn.</w:t>
      </w:r>
      <w:r>
        <w:rPr>
          <w:b w:val="0"/>
          <w:i w:val="0"/>
        </w:rPr>
        <w:t xml:space="preserve"> A "but-for" model is reliable only if it isolates the effect of the alleged breach from other causes. Dr. Marchetti's model uses a single explanatory variable—time—and therefore attributes every dollar of shortfall from a pre-2023 trend line to the resin. Industry sources document a Pacific Northwest automotive-components downturn beginning in Q2 2023, with sector-wide revenue declines of approximately 12–15% among regional injection molders. (Gerhardt Rep. ¶ 14; Marchetti Dep. Ex. 7.) Dr. Marchetti testified that she "was not specifically aware of it," did not account for it, did not investigate whether competitors suffered similar declines, and regarded the question as "not something I was asked to analyze." (Marchetti Dep. 36:10–37:12, 138:6–10.) Her report, meanwhile, lists industry reports among the materials she reviewed and states that she "determined" that Ridgeline's performance was "primarily driven by company-specific factors"—without any analysis supporting that determination. (Marchetti Rep. § III ¶ 12 &amp; App. B ("Note on Industry Conditions").) Either she reviewed the industry data and disregarded it without explanation, or she did not review it; neither is a reliable application of method. Ridgeline is a supplier to the very automotive sector that contracted; a model that cannot distinguish a market-wide decline from a defect-caused decline does not "fit" the causal question the jury must answer. </w:t>
      </w:r>
      <w:r>
        <w:rPr>
          <w:b w:val="0"/>
          <w:i/>
        </w:rPr>
        <w:t>See Daubert</w:t>
      </w:r>
      <w:r>
        <w:rPr>
          <w:b w:val="0"/>
          <w:i w:val="0"/>
        </w:rPr>
        <w:t>, 509 U.S. at 591.</w:t>
      </w:r>
    </w:p>
    <w:p>
      <w:pPr>
        <w:spacing w:line="480" w:lineRule="auto" w:after="0"/>
        <w:ind w:firstLine="720"/>
        <w:jc w:val="both"/>
      </w:pPr>
      <w:r>
        <w:rPr>
          <w:b w:val="0"/>
          <w:i w:val="0"/>
        </w:rPr>
        <w:t>Each of these defects independently renders the $6,780,000 figure unreliable; together, they leave nothing for cross-examination to test. Discovery closed on December 6, 2024, and the time to supplement has passed. The opinion should be excluded. In the alternative, Dr. Marchetti should be barred from characterizing any revenue shortfall as "lost profits," from presenting any figure for periods she did not model, and from attributing any shortfall to the resin without accounting for the regional downturn.</w:t>
      </w:r>
    </w:p>
    <w:p>
      <w:pPr>
        <w:spacing w:line="240" w:lineRule="auto" w:after="240"/>
        <w:ind w:left="720"/>
      </w:pPr>
      <w:r>
        <w:rPr>
          <w:b/>
          <w:i w:val="0"/>
        </w:rPr>
        <w:t>C. The $2,340,000 Scrap-and-Rework Opinion Merely Repeats an Unverified Party Spreadsheet.</w:t>
      </w:r>
    </w:p>
    <w:p>
      <w:pPr>
        <w:spacing w:line="480" w:lineRule="auto" w:after="0"/>
        <w:ind w:firstLine="720"/>
        <w:jc w:val="both"/>
      </w:pPr>
      <w:r>
        <w:rPr>
          <w:b w:val="0"/>
          <w:i w:val="0"/>
        </w:rPr>
        <w:t>Dr. Marchetti's scrap-and-rework figure is taken entirely from a spreadsheet prepared by Ridgeline's Director of Operations, Kevin Cho, and "provided to [her] by counsel for Ridgeline." (Marchetti Dep. 56:6–10.) She admitted that she did not verify it against production logs, did not request those logs, did not review production-line records to confirm scrapped or reworked volumes, did not reconcile it to Ridgeline's audited financial statements, and did not consult Ridgeline's auditors. (Id. 56:11–57:6.) She agreed that "sitting here today, [she has] no independent basis—beyond Mr. Cho's spreadsheet itself—to confirm that $2,340,000 in scrap and rework costs were actually incurred." (Id. 58:1–5.) Nor did she evaluate whether any scrap resulted from causes other than the resin, such as operator error, tooling wear, or other inputs. (Gerhardt Rep. ¶ 19(d).)</w:t>
      </w:r>
    </w:p>
    <w:p>
      <w:pPr>
        <w:spacing w:line="480" w:lineRule="auto" w:after="0"/>
        <w:ind w:firstLine="720"/>
        <w:jc w:val="both"/>
      </w:pPr>
      <w:r>
        <w:rPr>
          <w:b w:val="0"/>
          <w:i w:val="0"/>
        </w:rPr>
        <w:t>Rule 702(b) requires that expert testimony rest on "sufficient facts or data." An expert may rely on client-furnished data, but she must apply her expertise to it; when she simply adopts the client's conclusion, her testimony adds nothing but the imprimatur of expertise, and it should come in, if at all, through the fact witness who prepared the document and can be cross-examined on it. Here the record shows specific reasons verification was required:</w:t>
      </w:r>
    </w:p>
    <w:p>
      <w:pPr>
        <w:spacing w:line="480" w:lineRule="auto" w:after="0"/>
        <w:ind w:left="1440" w:hanging="360"/>
      </w:pPr>
      <w:r>
        <w:rPr>
          <w:b w:val="0"/>
          <w:i w:val="0"/>
        </w:rPr>
        <w:t>•</w:t>
        <w:tab/>
        <w:t>Ridgeline's own exhibit list describes the Cho spreadsheet (PX-12) as covering June–November 2023, while Dr. Marchetti's report describes it as covering June 2023–January 2024. (Compare Pl.'s Exhibit List, PX-12, with Marchetti Rep. §§ III ¶ 4, V.D.)</w:t>
      </w:r>
    </w:p>
    <w:p>
      <w:pPr>
        <w:spacing w:line="480" w:lineRule="auto" w:after="0"/>
        <w:ind w:left="1440" w:hanging="360"/>
      </w:pPr>
      <w:r>
        <w:rPr>
          <w:b w:val="0"/>
          <w:i w:val="0"/>
        </w:rPr>
        <w:t>•</w:t>
        <w:tab/>
        <w:t>The spreadsheet's period begins in June 2023—months before Ridgeline's claimed August 22, 2023 discovery—and Ridgeline describes it as covering all three of its facilities, while the shipments were delivered to the Kent facility. (Pl.'s Exhibit List, PX-12; Marchetti Rep. § IV.)</w:t>
      </w:r>
    </w:p>
    <w:p>
      <w:pPr>
        <w:spacing w:line="480" w:lineRule="auto" w:after="0"/>
        <w:ind w:left="1440" w:hanging="360"/>
      </w:pPr>
      <w:r>
        <w:rPr>
          <w:b w:val="0"/>
          <w:i w:val="0"/>
        </w:rPr>
        <w:t>•</w:t>
        <w:tab/>
        <w:t>Dr. Marchetti's report states that the figures were "consistent with Ridgeline's business records and financial reporting" (Marchetti Rep. § V.D), yet she testified that she never reconciled them to Ridgeline's audited financial statements (Marchetti Dep. 56:22–25). Dr. Gerhardt's review of those statements indicates that attributing $2,340,000 to CascadeMax 7200 is difficult to square with Ridgeline's reported facility-wide scrap costs. (Gerhardt Rep. ¶ 21.)</w:t>
      </w:r>
    </w:p>
    <w:p>
      <w:pPr>
        <w:spacing w:line="480" w:lineRule="auto" w:after="0"/>
        <w:ind w:left="1440" w:hanging="360"/>
      </w:pPr>
      <w:r>
        <w:rPr>
          <w:b w:val="0"/>
          <w:i w:val="0"/>
        </w:rPr>
        <w:t>•</w:t>
        <w:tab/>
        <w:t>The $340,000 "machine downtime" component is described as "lost production capacity" that "contributed to delays in fulfilling customer orders" (Marchetti Rep. App. C)—the same lost output that her lost-profits model separately claims as a revenue shortfall. She did no analysis to avoid counting it twice.</w:t>
      </w:r>
    </w:p>
    <w:p>
      <w:pPr>
        <w:spacing w:line="480" w:lineRule="auto" w:after="0"/>
        <w:ind w:firstLine="720"/>
        <w:jc w:val="both"/>
      </w:pPr>
      <w:r>
        <w:rPr>
          <w:b w:val="0"/>
          <w:i w:val="0"/>
        </w:rPr>
        <w:t>The opinion should be excluded. At a minimum, Dr. Marchetti should be precluded from offering the $2,340,000 figure as her own expert opinion or from vouching for the accuracy of the Cho spreadsheet; any such figure must be proven, if at all, through competent fact testimony and admissible business records.</w:t>
      </w:r>
    </w:p>
    <w:p>
      <w:pPr>
        <w:spacing w:line="240" w:lineRule="auto" w:after="240"/>
        <w:ind w:left="720"/>
      </w:pPr>
      <w:r>
        <w:rPr>
          <w:b/>
          <w:i w:val="0"/>
        </w:rPr>
        <w:t>D. The Damages Model's Failure to Account for Mitigation Independently Renders It Unreliable.</w:t>
      </w:r>
    </w:p>
    <w:p>
      <w:pPr>
        <w:spacing w:line="480" w:lineRule="auto" w:after="0"/>
        <w:ind w:firstLine="720"/>
        <w:jc w:val="both"/>
      </w:pPr>
      <w:r>
        <w:rPr>
          <w:b w:val="0"/>
          <w:i w:val="0"/>
        </w:rPr>
        <w:t>Washington's Uniform Commercial Code limits a buyer's consequential damages to losses "which could not reasonably be prevented by cover or otherwise." RCW 62A.2-715(2)(a). Dr. Marchetti's model makes no attempt to measure avoidable loss. Ridgeline claims it discovered the problem on August 22, 2023 but did not order replacement resin until December 11, 2023. (Gerhardt Rep. ¶ 24.) Dr. Marchetti conceded that she did not consider whether any lost profits or scrap costs could have been avoided by earlier procurement, that her figure includes no reduction for that possibility, and that "[i]f suitable replacement material had been procured sooner, the period of disruption could have been shorter, which could affect the lost-profits calculation." (Marchetti Dep. 102:1–103:8.)</w:t>
      </w:r>
    </w:p>
    <w:p>
      <w:pPr>
        <w:spacing w:line="480" w:lineRule="auto" w:after="0"/>
        <w:ind w:firstLine="720"/>
        <w:jc w:val="both"/>
      </w:pPr>
      <w:r>
        <w:rPr>
          <w:b w:val="0"/>
          <w:i w:val="0"/>
        </w:rPr>
        <w:t>Cascade does not ask the Court to decide the mitigation defense in limine. The point is evidentiary: a damages model that, by design, includes losses the governing law makes unrecoverable does not "fit" the measure of damages the jury will be instructed to apply, and it is not a reliable application of damages methodology to the facts. Fed. R. Evid. 702(d). This defect reinforces exclusion of the lost-profits and scrap-and-rework opinions, both of which accrued substantially during the unexplained four-month delay.</w:t>
      </w:r>
    </w:p>
    <w:p>
      <w:pPr>
        <w:spacing w:line="240" w:lineRule="auto" w:after="240"/>
        <w:ind w:left="720"/>
      </w:pPr>
      <w:r>
        <w:rPr>
          <w:b/>
          <w:i w:val="0"/>
        </w:rPr>
        <w:t>E. The Unexplained Arithmetic Error Confirms the Absence of Rigor.</w:t>
      </w:r>
    </w:p>
    <w:p>
      <w:pPr>
        <w:spacing w:line="480" w:lineRule="auto" w:after="0"/>
        <w:ind w:firstLine="720"/>
        <w:jc w:val="both"/>
      </w:pPr>
      <w:r>
        <w:rPr>
          <w:b w:val="0"/>
          <w:i w:val="0"/>
        </w:rPr>
        <w:t xml:space="preserve">Standing alone, an $11,000 error would not warrant exclusion, and Cascade does not contend otherwise. But Dr. Marchetti's headline figure does not equal the sum of her own components, and she could not explain why. (Marchetti Dep. 92:19–93:16, 138:21–24.) Combined with the undisclosed reputational-harm input, the mislabeled impact period, and the regression projections that cannot be reproduced from her own equation, the error confirms that the report was not prepared with "the same level of intellectual rigor that characterizes the practice of an expert in the relevant field." </w:t>
      </w:r>
      <w:r>
        <w:rPr>
          <w:b w:val="0"/>
          <w:i/>
        </w:rPr>
        <w:t>Kumho Tire</w:t>
      </w:r>
      <w:r>
        <w:rPr>
          <w:b w:val="0"/>
          <w:i w:val="0"/>
        </w:rPr>
        <w:t>, 526 U.S. at 152. At a minimum, Dr. Marchetti should not be permitted to present the $14,200,000 total, which is both arithmetically wrong and built predominantly on unreliable components.</w:t>
      </w:r>
    </w:p>
    <w:p>
      <w:pPr>
        <w:spacing w:line="240" w:lineRule="auto" w:after="240"/>
        <w:ind w:left="720"/>
      </w:pPr>
      <w:r>
        <w:rPr>
          <w:b/>
          <w:i w:val="0"/>
        </w:rPr>
        <w:t>F. Rule 403 Independently Requires That the Jury Not Hear an Unadjusted $14.2 Million Figure Before the Court Resolves the Contractual Damages Limitations.</w:t>
      </w:r>
    </w:p>
    <w:p>
      <w:pPr>
        <w:spacing w:line="480" w:lineRule="auto" w:after="0"/>
        <w:ind w:firstLine="720"/>
        <w:jc w:val="both"/>
      </w:pPr>
      <w:r>
        <w:rPr>
          <w:b w:val="0"/>
          <w:i w:val="0"/>
        </w:rPr>
        <w:t>Dr. Marchetti conceded that her $14.2 million total does not account for the Supply Agreement's limitation-of-liability provisions. (Marchetti Dep. 126:15–127:2.) Section 7.2 excludes consequential damages—specifically including lost profits, lost revenue, cost of substitute goods, and reputational harm—and, if consequential damages are nonetheless held recoverable, caps them at $2,000,000. Dr. Marchetti herself classifies $10,292,500 of her total as consequential. (Marchetti Rep. § VI.B.) Section 7.1 separately caps direct damages. Such limitations are enforceable under Washington's UCC unless unconscionable. RCW 62A.2-719(1), (3).</w:t>
      </w:r>
    </w:p>
    <w:p>
      <w:pPr>
        <w:spacing w:line="480" w:lineRule="auto" w:after="0"/>
        <w:ind w:firstLine="720"/>
        <w:jc w:val="both"/>
      </w:pPr>
      <w:r>
        <w:rPr>
          <w:b w:val="0"/>
          <w:i w:val="0"/>
        </w:rPr>
        <w:t>Cascade does not ask the Court to adjudicate the enforceability of Article 7 through this motion; Cascade has pleaded the limitations as affirmative defenses and will present them by appropriate motion. Cascade asks only that the Court sequence its rulings so that the jury is not exposed to damages figures that the Court may determine are legally unrecoverable. Once a jury hears a $14.2 million figure from a credentialed expert, that number anchors deliberations in a way no later instruction can reliably undo. Its probative value on recoverable damages is minimal if Article 7 applies, and the danger of unfair prejudice and of misleading the jury is substantial. Fed. R. Evid. 403.</w:t>
      </w:r>
    </w:p>
    <w:p>
      <w:pPr>
        <w:spacing w:line="480" w:lineRule="auto" w:after="0"/>
        <w:ind w:firstLine="720"/>
        <w:jc w:val="both"/>
      </w:pPr>
      <w:r>
        <w:rPr>
          <w:b w:val="0"/>
          <w:i w:val="0"/>
        </w:rPr>
        <w:t>Cascade therefore requests that, to the extent any of Dr. Marchetti's consequential-damages testimony survives Rule 702 review, the Court (a) resolve the applicability of Sections 7.1 and 7.2 before trial, and preclude presentation of consequential-damages figures that exceed any limitation the Court finds enforceable; or, alternatively, (b) bifurcate trial under Federal Rule of Civil Procedure 42(b) so that damages evidence is presented only after the jury resolves liability, including Cascade's defenses under Sections 5.4, 6.3, and 6.5; and, in any event, (c) preclude Plaintiff's counsel and witnesses from referring to a $14,200,000 (or $14,211,000) total in voir dire, opening statement, or examination until the Court has ruled.</w:t>
      </w:r>
    </w:p>
    <w:p>
      <w:pPr>
        <w:spacing w:line="240" w:lineRule="auto" w:after="240"/>
      </w:pPr>
      <w:r>
        <w:rPr>
          <w:b/>
          <w:i w:val="0"/>
        </w:rPr>
        <w:t>MOTION IN LIMINE NO. 2: The Court Should Exclude Evidence of Cascade's Subsequent Remedial Measures (PX-22, PX-23, PX-24).</w:t>
      </w:r>
    </w:p>
    <w:p>
      <w:pPr>
        <w:spacing w:line="240" w:lineRule="auto" w:after="240"/>
        <w:ind w:left="720"/>
      </w:pPr>
      <w:r>
        <w:rPr>
          <w:b/>
          <w:i w:val="0"/>
        </w:rPr>
        <w:t>A. Ridgeline Offers the November 2023 Changes for Purposes Rule 407 Expressly Prohibits.</w:t>
      </w:r>
    </w:p>
    <w:p>
      <w:pPr>
        <w:spacing w:line="480" w:lineRule="auto" w:after="0"/>
        <w:ind w:firstLine="720"/>
        <w:jc w:val="both"/>
      </w:pPr>
      <w:r>
        <w:rPr>
          <w:b w:val="0"/>
          <w:i w:val="0"/>
        </w:rPr>
        <w:t xml:space="preserve">Rule 407 bars evidence of measures that "would have made an earlier injury or harm less likely to occur" when offered to prove "negligence; culpable conduct; a defect in a product or its design; or a need for a warning or instruction." Its purpose is to avoid discouraging parties from improving their products and practices, and to prevent the jury from treating a post-event improvement as an admission of prior fault. Fed. R. Evid. 407 advisory committee's note. The Ninth Circuit has long applied the rule broadly, including in product cases where the claim does not sound in negligence. </w:t>
      </w:r>
      <w:r>
        <w:rPr>
          <w:b w:val="0"/>
          <w:i/>
        </w:rPr>
        <w:t>See Gauthier v. AMF, Inc.</w:t>
      </w:r>
      <w:r>
        <w:rPr>
          <w:b w:val="0"/>
          <w:i w:val="0"/>
        </w:rPr>
        <w:t>, 788 F.2d 634, 636–37 (9th Cir. 1986). The text of the rule turns on the purpose for which the evidence is offered, not on the label of the cause of action: evidence offered to prove "a defect in a product" or "culpable conduct" is barred whether the claim is pleaded in tort, warranty, or contract.</w:t>
      </w:r>
    </w:p>
    <w:p>
      <w:pPr>
        <w:spacing w:line="480" w:lineRule="auto" w:after="0"/>
        <w:ind w:firstLine="720"/>
        <w:jc w:val="both"/>
      </w:pPr>
      <w:r>
        <w:rPr>
          <w:b w:val="0"/>
          <w:i w:val="0"/>
        </w:rPr>
        <w:t>There is no question that the November 2023 changes are subsequent measures. They were adopted after the shipments, after Ridgeline's September 28, 2023 notice, and—according to Ridgeline's own description of PX-24—with "the defective-resin complaints from Ridgeline" as "the impetus for the change." (Pl.'s Exhibit List, PX-24.)</w:t>
      </w:r>
    </w:p>
    <w:p>
      <w:pPr>
        <w:spacing w:line="480" w:lineRule="auto" w:after="0"/>
        <w:ind w:firstLine="720"/>
        <w:jc w:val="both"/>
      </w:pPr>
      <w:r>
        <w:rPr>
          <w:b w:val="0"/>
          <w:i w:val="0"/>
        </w:rPr>
        <w:t>Nor is there any question about Ridgeline's purpose. Its exhibit list states it:</w:t>
      </w:r>
    </w:p>
    <w:p>
      <w:pPr>
        <w:spacing w:line="480" w:lineRule="auto" w:after="0"/>
        <w:ind w:left="1440" w:hanging="360"/>
      </w:pPr>
      <w:r>
        <w:rPr>
          <w:b w:val="0"/>
          <w:i w:val="0"/>
        </w:rPr>
        <w:t>•</w:t>
        <w:tab/>
        <w:t>PX-22 is offered "to demonstrate that Cascade's pre-dispute single-point sampling methodology was inadequate and that Cascade itself recognized the need for more rigorous testing."</w:t>
      </w:r>
    </w:p>
    <w:p>
      <w:pPr>
        <w:spacing w:line="480" w:lineRule="auto" w:after="0"/>
        <w:ind w:left="1440" w:hanging="360"/>
      </w:pPr>
      <w:r>
        <w:rPr>
          <w:b w:val="0"/>
          <w:i w:val="0"/>
        </w:rPr>
        <w:t>•</w:t>
        <w:tab/>
        <w:t>PX-23 is offered "as evidence that Cascade was aware its prior packaging and shipping practices were insufficient . . . and that Cascade's implementation of the desiccant-packet requirement constitutes an admission that Cascade's original shipping method was defective and contributed to the elevated moisture content."</w:t>
      </w:r>
    </w:p>
    <w:p>
      <w:pPr>
        <w:spacing w:line="480" w:lineRule="auto" w:after="0"/>
        <w:ind w:firstLine="720"/>
        <w:jc w:val="both"/>
      </w:pPr>
      <w:r>
        <w:rPr>
          <w:b w:val="0"/>
          <w:i w:val="0"/>
        </w:rPr>
        <w:t>(Pl.'s Exhibit List, PX-22, PX-23.) Ridgeline's counsel similarly argues that the evidence "directly rebuts Cascade's contention that its original protocol was adequate." (Calloway Decl., Ex. G.) "Inadequate," "insufficient," "defective," and "admission" are the vocabulary of culpable conduct and product defect. This is the precise inference Rule 407 forbids.</w:t>
      </w:r>
    </w:p>
    <w:p>
      <w:pPr>
        <w:spacing w:line="240" w:lineRule="auto" w:after="240"/>
        <w:ind w:left="720"/>
      </w:pPr>
      <w:r>
        <w:rPr>
          <w:b/>
          <w:i w:val="0"/>
        </w:rPr>
        <w:t>B. The Feasibility Exception Does Not Apply Because Cascade Does Not Dispute Feasibility—and Will So Stipulate.</w:t>
      </w:r>
    </w:p>
    <w:p>
      <w:pPr>
        <w:spacing w:line="480" w:lineRule="auto" w:after="0"/>
        <w:ind w:firstLine="720"/>
        <w:jc w:val="both"/>
      </w:pPr>
      <w:r>
        <w:rPr>
          <w:b w:val="0"/>
          <w:i w:val="0"/>
        </w:rPr>
        <w:t>In meet-and-confer correspondence, Ridgeline recast its purpose as proving "the feasibility of precautionary measures." (Calloway Decl., Ex. G.) That exception applies only "if disputed." Fed. R. Evid. 407. Cascade has never contended that three-point statistical sampling or desiccant packaging was technically or economically infeasible in 2023; the fact that Cascade adopted both measures within weeks of the dispute is itself uncontested.</w:t>
      </w:r>
    </w:p>
    <w:p>
      <w:pPr>
        <w:spacing w:line="480" w:lineRule="auto" w:after="0"/>
        <w:ind w:firstLine="720"/>
        <w:jc w:val="both"/>
      </w:pPr>
      <w:r>
        <w:rPr>
          <w:b w:val="0"/>
          <w:i w:val="0"/>
        </w:rPr>
        <w:t xml:space="preserve">Ridgeline argues that Cascade "controverted" feasibility by asserting in its Answer and interrogatory responses that its prior single-point sampling was "industry standard," "adequate," and "consistent with best practices." (Id.) That argument conflates two distinct questions. Whether a prior practice was adequate or met the standard of the industry is a question of culpability or conformance—exactly the question Rule 407 removes subsequent measures from. Whether an alternative measure was possible is a question of feasibility. A defendant does not put feasibility in issue merely by denying fault; if it did, the exception would swallow the rule in every case, because every defendant denies that its prior conduct was deficient. Courts have therefore read the feasibility exception narrowly for exactly this reason. </w:t>
      </w:r>
      <w:r>
        <w:rPr>
          <w:b w:val="0"/>
          <w:i/>
        </w:rPr>
        <w:t>See Flaminio v. Honda Motor Co.</w:t>
      </w:r>
      <w:r>
        <w:rPr>
          <w:b w:val="0"/>
          <w:i w:val="0"/>
        </w:rPr>
        <w:t>, 733 F.2d 463, 468 (7th Cir. 1984) (cautioning that an expansive reading of the exception would undermine the rule). Moreover, Cascade's principal defense does not turn on the adequacy of its sampling method at all: Cascade contends that the resin met specification when shipped, as reflected in its Certificates of Analysis, and that moisture entered afterward in Ridgeline's uncovered staging area. Whether a different sampling protocol or desiccants could have been used says nothing about either proposition.</w:t>
      </w:r>
    </w:p>
    <w:p>
      <w:pPr>
        <w:spacing w:line="480" w:lineRule="auto" w:after="0"/>
        <w:ind w:firstLine="720"/>
        <w:jc w:val="both"/>
      </w:pPr>
      <w:r>
        <w:rPr>
          <w:b w:val="0"/>
          <w:i w:val="0"/>
        </w:rPr>
        <w:t xml:space="preserve">To eliminate any doubt, </w:t>
      </w:r>
      <w:r>
        <w:rPr>
          <w:b/>
          <w:i w:val="0"/>
        </w:rPr>
        <w:t>Cascade will stipulate that three-point statistical moisture sampling and the inclusion of desiccant packets in sealed containers were technically and economically feasible for Cascade during June–September 2023.</w:t>
      </w:r>
      <w:r>
        <w:rPr>
          <w:b w:val="0"/>
          <w:i w:val="0"/>
        </w:rPr>
        <w:t xml:space="preserve"> With that stipulation, feasibility is not "disputed," and the exception has no application.</w:t>
      </w:r>
    </w:p>
    <w:p>
      <w:pPr>
        <w:spacing w:line="240" w:lineRule="auto" w:after="240"/>
        <w:ind w:left="720"/>
      </w:pPr>
      <w:r>
        <w:rPr>
          <w:b/>
          <w:i w:val="0"/>
        </w:rPr>
        <w:t>C. Rule 403 Independently Requires Exclusion.</w:t>
      </w:r>
    </w:p>
    <w:p>
      <w:pPr>
        <w:spacing w:line="480" w:lineRule="auto" w:after="0"/>
        <w:ind w:firstLine="720"/>
        <w:jc w:val="both"/>
      </w:pPr>
      <w:r>
        <w:rPr>
          <w:b w:val="0"/>
          <w:i w:val="0"/>
        </w:rPr>
        <w:t>Even if the evidence had some permissible purpose, its probative value on any undisputed issue would be negligible, and the danger that jurors would treat the changes as an admission of fault—the very danger Rule 407 recognizes—would be overwhelming. PX-24 compounds the problem: by Ridgeline's own description, it contains internal discussion of "potential litigation exposure," inviting the jury to speculate that Cascade's management believed it was at fault. A limiting instruction, which Ridgeline proposes, cannot realistically cure an inference that Ridgeline's own exhibit list says is the point of offering the evidence.</w:t>
      </w:r>
    </w:p>
    <w:p>
      <w:pPr>
        <w:spacing w:line="240" w:lineRule="auto" w:after="240"/>
        <w:ind w:left="720"/>
      </w:pPr>
      <w:r>
        <w:rPr>
          <w:b/>
          <w:i w:val="0"/>
        </w:rPr>
        <w:t>D. Requested Relief and Door-Opening Procedure.</w:t>
      </w:r>
    </w:p>
    <w:p>
      <w:pPr>
        <w:spacing w:line="480" w:lineRule="auto" w:after="0"/>
        <w:ind w:firstLine="720"/>
        <w:jc w:val="both"/>
      </w:pPr>
      <w:r>
        <w:rPr>
          <w:b w:val="0"/>
          <w:i w:val="0"/>
        </w:rPr>
        <w:t>Cascade requests an order excluding PX-22, PX-23, PX-24, any portion of PX-21 (Driscoll deposition excerpts) referring to the November 2023 changes, and any testimony, argument, or reference to those changes in voir dire, opening statement, witness examination, or closing argument. Cascade further requests that, should Ridgeline contend at trial that Cascade has opened the door to such evidence (for example, for impeachment), Ridgeline be required to raise the issue with the Court outside the presence of the jury before offering or referring to the evidence.</w:t>
      </w:r>
    </w:p>
    <w:p>
      <w:pPr>
        <w:spacing w:line="240" w:lineRule="auto" w:after="240"/>
      </w:pPr>
      <w:r>
        <w:rPr>
          <w:b/>
          <w:i w:val="0"/>
        </w:rPr>
        <w:t>MOTION IN LIMINE NO. 3: The Court Should Exclude the OSHA Citation (PX-25, PX-26, PX-27).</w:t>
      </w:r>
    </w:p>
    <w:p>
      <w:pPr>
        <w:spacing w:line="240" w:lineRule="auto" w:after="240"/>
        <w:ind w:left="720"/>
      </w:pPr>
      <w:r>
        <w:rPr>
          <w:b/>
          <w:i w:val="0"/>
        </w:rPr>
        <w:t>A. The Citation Is Irrelevant to Any Issue the Jury Must Decide.</w:t>
      </w:r>
    </w:p>
    <w:p>
      <w:pPr>
        <w:spacing w:line="480" w:lineRule="auto" w:after="0"/>
        <w:ind w:firstLine="720"/>
        <w:jc w:val="both"/>
      </w:pPr>
      <w:r>
        <w:rPr>
          <w:b w:val="0"/>
          <w:i w:val="0"/>
        </w:rPr>
        <w:t>The jury will decide whether the CascadeMax 7200 resin met the 0.08% moisture specification at the time of shipment, whether Ridgeline's storage caused any excess moisture, whether Ridgeline gave timely notice, and what damages, if any, are recoverable. The OSHA citation bears on none of these questions. It concerns a seized exhaust-fan motor and overdue air filters in a blending room, resulting in an airborne-dust exposure hazard to approximately six employees. (OSHA Citation.) It does not mention resin moisture, moisture testing, Karl Fischer titration, certificates of analysis, packaging, or CascadeMax 7200. The condition was abated and OSHA verified abatement on May 10, 2023—before the first shipment at issue. (Id.) Evidence that Cascade's ventilation equipment needed maintenance in March 2023 does not make it more or less probable that resin shipped months later exceeded a moisture specification. Fed. R. Evid. 401.</w:t>
      </w:r>
    </w:p>
    <w:p>
      <w:pPr>
        <w:spacing w:line="240" w:lineRule="auto" w:after="240"/>
        <w:ind w:left="720"/>
      </w:pPr>
      <w:r>
        <w:rPr>
          <w:b/>
          <w:i w:val="0"/>
        </w:rPr>
        <w:t>B. Ridgeline's Stated Purpose Is Forbidden Propensity Reasoning.</w:t>
      </w:r>
    </w:p>
    <w:p>
      <w:pPr>
        <w:spacing w:line="480" w:lineRule="auto" w:after="0"/>
        <w:ind w:firstLine="720"/>
        <w:jc w:val="both"/>
      </w:pPr>
      <w:r>
        <w:rPr>
          <w:b w:val="0"/>
          <w:i w:val="0"/>
        </w:rPr>
        <w:t>Ridgeline's exhibit list states the purpose candidly. PX-25 is offered "to demonstrate a corporate pattern and culture of cutting corners on safety and quality protocols, reflecting Cascade's general disregard for regulatory compliance and industry standards." PX-26 is offered to show "a pattern of inadequate quality and safety oversight across Cascade's operations." PX-27 is offered to show that Cascade's leadership was "aware of systemic compliance deficiencies." (Pl.'s Exhibit List.) The chain of inference is: Cascade was cited once for ventilation; therefore Cascade is the kind of company that cuts corners; therefore Cascade cut corners on this resin. That is character-to-conduct reasoning, and Rule 404(b)(1) prohibits it.</w:t>
      </w:r>
    </w:p>
    <w:p>
      <w:pPr>
        <w:spacing w:line="240" w:lineRule="auto" w:after="240"/>
        <w:ind w:left="720"/>
      </w:pPr>
      <w:r>
        <w:rPr>
          <w:b/>
          <w:i w:val="0"/>
        </w:rPr>
        <w:t>C. "Knowledge" and "Plan" Are Labels, Not Genuine Non-Propensity Purposes.</w:t>
      </w:r>
    </w:p>
    <w:p>
      <w:pPr>
        <w:spacing w:line="480" w:lineRule="auto" w:after="0"/>
        <w:ind w:firstLine="720"/>
        <w:jc w:val="both"/>
      </w:pPr>
      <w:r>
        <w:rPr>
          <w:b w:val="0"/>
          <w:i w:val="0"/>
        </w:rPr>
        <w:t xml:space="preserve">In correspondence, Ridgeline recasts the citation as evidence of "knowledge" and "plan." (Calloway Decl., Ex. G.) Neither survives the Ninth Circuit's test. </w:t>
      </w:r>
      <w:r>
        <w:rPr>
          <w:b w:val="0"/>
          <w:i/>
        </w:rPr>
        <w:t>Duran</w:t>
      </w:r>
      <w:r>
        <w:rPr>
          <w:b w:val="0"/>
          <w:i w:val="0"/>
        </w:rPr>
        <w:t>, 221 F.3d at 1132–33.</w:t>
      </w:r>
    </w:p>
    <w:p>
      <w:pPr>
        <w:spacing w:line="480" w:lineRule="auto" w:after="0"/>
        <w:ind w:firstLine="720"/>
        <w:jc w:val="both"/>
      </w:pPr>
      <w:r>
        <w:rPr>
          <w:b/>
          <w:i w:val="0"/>
        </w:rPr>
        <w:t>Knowledge.</w:t>
      </w:r>
      <w:r>
        <w:rPr>
          <w:b w:val="0"/>
          <w:i w:val="0"/>
        </w:rPr>
        <w:t xml:space="preserve"> Ridgeline argues that the citation put management on notice that "the company's quality-control and safety infrastructure at the Portland facility had significant deficiencies." (Id.) The citation says no such thing. It is a finding about workplace air quality, not quality control. Knowledge that a fan motor had seized is not knowledge of anything relevant to resin moisture, and where other-act evidence is offered to prove knowledge, the prior act must be similar to the conduct at issue. </w:t>
      </w:r>
      <w:r>
        <w:rPr>
          <w:b w:val="0"/>
          <w:i/>
        </w:rPr>
        <w:t>Duran</w:t>
      </w:r>
      <w:r>
        <w:rPr>
          <w:b w:val="0"/>
          <w:i w:val="0"/>
        </w:rPr>
        <w:t>, 221 F.3d at 1132–33. A ventilation citation under 29 C.F.R. §§ 1910.94 and 1910.1000 and a contractual moisture specification involve different processes, equipment, personnel, and regulatory regimes. Ridgeline's reliance on Mr. Driscoll's testimony that he directed the facilities team to fix the ventilation, while denying any broader quality-assurance implications, only confirms the point: the only "knowledge" the citation reflects is knowledge of a ventilation problem that was promptly fixed. Recharacterizing that knowledge as general "corporate awareness" that "quality and compliance systems required attention" is simply propensity reasoning under another name.</w:t>
      </w:r>
    </w:p>
    <w:p>
      <w:pPr>
        <w:spacing w:line="480" w:lineRule="auto" w:after="0"/>
        <w:ind w:firstLine="720"/>
        <w:jc w:val="both"/>
      </w:pPr>
      <w:r>
        <w:rPr>
          <w:b/>
          <w:i w:val="0"/>
        </w:rPr>
        <w:t>Plan.</w:t>
      </w:r>
      <w:r>
        <w:rPr>
          <w:b w:val="0"/>
          <w:i w:val="0"/>
        </w:rPr>
        <w:t xml:space="preserve"> Ridgeline identifies no plan. There is no common scheme, design, or course of conduct linking a blending-room fan to moisture in shipped resin, and Ridgeline's correspondence does not attempt to articulate one.</w:t>
      </w:r>
    </w:p>
    <w:p>
      <w:pPr>
        <w:spacing w:line="240" w:lineRule="auto" w:after="240"/>
        <w:ind w:left="720"/>
      </w:pPr>
      <w:r>
        <w:rPr>
          <w:b/>
          <w:i w:val="0"/>
        </w:rPr>
        <w:t>D. Rule 403 Compels Exclusion in Any Event.</w:t>
      </w:r>
    </w:p>
    <w:p>
      <w:pPr>
        <w:spacing w:line="480" w:lineRule="auto" w:after="0"/>
        <w:ind w:firstLine="720"/>
        <w:jc w:val="both"/>
      </w:pPr>
      <w:r>
        <w:rPr>
          <w:b w:val="0"/>
          <w:i w:val="0"/>
        </w:rPr>
        <w:t>Whatever minimal probative value the citation might have is substantially outweighed by the Rule 403 dangers. The jury would hear that a federal safety agency found a "serious" violation at Cascade and that Cascade paid a penalty "without contest"—a formulation Ridgeline expressly offers as proof that Cascade "accepted responsibility" (PX-26)—inviting a verdict based on a generalized impression that Cascade is careless. The evidence would confuse workplace safety with product quality, and a fair response would require a mini-trial on the inspection, the meaning of OSHA's "serious" classification (which OSHA here paired with a "lesser" severity rating), the good-faith credit, the absence of prior citations, the business reasons for paying rather than contesting a $14,502 penalty, and the prompt verified abatement. That detour would consume trial time on matters that have nothing to do with the resin. A limiting instruction cannot cure evidence whose only real force lies in the forbidden inference.</w:t>
      </w:r>
    </w:p>
    <w:p>
      <w:pPr>
        <w:spacing w:line="240" w:lineRule="auto" w:after="240"/>
        <w:ind w:left="720"/>
      </w:pPr>
      <w:r>
        <w:rPr>
          <w:b/>
          <w:i w:val="0"/>
        </w:rPr>
        <w:t>E. Requested Relief.</w:t>
      </w:r>
    </w:p>
    <w:p>
      <w:pPr>
        <w:spacing w:line="480" w:lineRule="auto" w:after="0"/>
        <w:ind w:firstLine="720"/>
        <w:jc w:val="both"/>
      </w:pPr>
      <w:r>
        <w:rPr>
          <w:b w:val="0"/>
          <w:i w:val="0"/>
        </w:rPr>
        <w:t>Cascade requests an order excluding PX-25, PX-26, and PX-27, and precluding any testimony, argument, or reference—in voir dire, opening statement, witness examination, or closing argument—to OSHA Citation No. 2023-OR-00487, the underlying inspection, the penalty or its payment, or any other regulatory inspection, citation, or penalty unrelated to CascadeMax 7200, absent a prior ruling from the Court outside the presence of the jury.</w:t>
      </w:r>
    </w:p>
    <w:p>
      <w:pPr>
        <w:spacing w:line="480" w:lineRule="auto" w:after="0"/>
        <w:jc w:val="center"/>
      </w:pPr>
      <w:r>
        <w:rPr>
          <w:b/>
          <w:i w:val="0"/>
        </w:rPr>
        <w:t>V. CONCLUSION</w:t>
      </w:r>
    </w:p>
    <w:p>
      <w:pPr>
        <w:spacing w:line="480" w:lineRule="auto" w:after="0"/>
        <w:ind w:firstLine="720"/>
        <w:jc w:val="both"/>
      </w:pPr>
      <w:r>
        <w:rPr>
          <w:b w:val="0"/>
          <w:i w:val="0"/>
        </w:rPr>
        <w:t>For the foregoing reasons, Cascade respectfully requests that the Court enter the accompanying proposed order:</w:t>
      </w:r>
    </w:p>
    <w:p>
      <w:pPr>
        <w:spacing w:line="480" w:lineRule="auto" w:after="0"/>
        <w:ind w:left="1440" w:hanging="720"/>
      </w:pPr>
      <w:r>
        <w:rPr>
          <w:b w:val="0"/>
          <w:i w:val="0"/>
        </w:rPr>
        <w:t>1.</w:t>
        <w:tab/>
        <w:t>Excluding Dr. Marchetti's reputational-harm opinion ($3,000,000) in its entirety;</w:t>
      </w:r>
    </w:p>
    <w:p>
      <w:pPr>
        <w:spacing w:line="480" w:lineRule="auto" w:after="0"/>
        <w:ind w:left="1440" w:hanging="720"/>
      </w:pPr>
      <w:r>
        <w:rPr>
          <w:b w:val="0"/>
          <w:i w:val="0"/>
        </w:rPr>
        <w:t>2.</w:t>
        <w:tab/>
        <w:t>Excluding Dr. Marchetti's lost-profits opinion ($6,780,000) or, alternatively, precluding her from characterizing any revenue shortfall as "lost profits," from presenting any figure for periods she did not model, and from attributing any revenue shortfall to the resin without accounting for the Q2 2023 regional downturn;</w:t>
      </w:r>
    </w:p>
    <w:p>
      <w:pPr>
        <w:spacing w:line="480" w:lineRule="auto" w:after="0"/>
        <w:ind w:left="1440" w:hanging="720"/>
      </w:pPr>
      <w:r>
        <w:rPr>
          <w:b w:val="0"/>
          <w:i w:val="0"/>
        </w:rPr>
        <w:t>3.</w:t>
        <w:tab/>
        <w:t>Excluding Dr. Marchetti's scrap-and-rework opinion ($2,340,000) or, alternatively, precluding her from offering that figure as her own opinion or vouching for the Cho spreadsheet;</w:t>
      </w:r>
    </w:p>
    <w:p>
      <w:pPr>
        <w:spacing w:line="480" w:lineRule="auto" w:after="0"/>
        <w:ind w:left="1440" w:hanging="720"/>
      </w:pPr>
      <w:r>
        <w:rPr>
          <w:b w:val="0"/>
          <w:i w:val="0"/>
        </w:rPr>
        <w:t>4.</w:t>
        <w:tab/>
        <w:t>Precluding any reference to a $14,200,000 (or $14,211,000) aggregate damages figure, and, as to any surviving consequential-damages testimony, resolving the applicability of Supply Agreement Sections 7.1 and 7.2 before such testimony is presented or, alternatively, bifurcating trial under Fed. R. Civ. P. 42(b);</w:t>
      </w:r>
    </w:p>
    <w:p>
      <w:pPr>
        <w:spacing w:line="480" w:lineRule="auto" w:after="0"/>
        <w:ind w:left="1440" w:hanging="720"/>
      </w:pPr>
      <w:r>
        <w:rPr>
          <w:b w:val="0"/>
          <w:i w:val="0"/>
        </w:rPr>
        <w:t>5.</w:t>
        <w:tab/>
        <w:t>Excluding PX-22, PX-23, PX-24, related portions of PX-21, and all evidence, testimony, and argument concerning Cascade's November 2023 testing and packaging changes;</w:t>
      </w:r>
    </w:p>
    <w:p>
      <w:pPr>
        <w:spacing w:line="480" w:lineRule="auto" w:after="0"/>
        <w:ind w:left="1440" w:hanging="720"/>
      </w:pPr>
      <w:r>
        <w:rPr>
          <w:b w:val="0"/>
          <w:i w:val="0"/>
        </w:rPr>
        <w:t>6.</w:t>
        <w:tab/>
        <w:t>Excluding PX-25, PX-26, PX-27, and all evidence, testimony, and argument concerning OSHA Citation No. 2023-OR-00487; and</w:t>
      </w:r>
    </w:p>
    <w:p>
      <w:pPr>
        <w:spacing w:line="480" w:lineRule="auto" w:after="0"/>
        <w:ind w:left="1440" w:hanging="720"/>
      </w:pPr>
      <w:r>
        <w:rPr>
          <w:b w:val="0"/>
          <w:i w:val="0"/>
        </w:rPr>
        <w:t>7.</w:t>
        <w:tab/>
        <w:t>Requiring Plaintiff to raise outside the presence of the jury any contention that Cascade has opened the door to any excluded evidence.</w:t>
      </w:r>
    </w:p>
    <w:p>
      <w:pPr>
        <w:spacing w:line="480" w:lineRule="auto" w:after="0"/>
      </w:pPr>
      <w:r>
        <w:rPr>
          <w:b w:val="0"/>
          <w:i w:val="0"/>
        </w:rPr>
        <w:t>DATED: January 27, 2025.</w:t>
      </w:r>
    </w:p>
    <w:p>
      <w:pPr>
        <w:spacing w:line="240" w:lineRule="auto" w:after="0"/>
        <w:ind w:left="4680"/>
      </w:pPr>
      <w:r>
        <w:rPr>
          <w:b w:val="0"/>
          <w:i w:val="0"/>
        </w:rPr>
        <w:t>Respectfully submitted,</w:t>
      </w:r>
    </w:p>
    <w:p>
      <w:pPr>
        <w:spacing w:line="240" w:lineRule="auto" w:after="0"/>
        <w:ind w:left="4680"/>
      </w:pPr>
    </w:p>
    <w:p>
      <w:pPr>
        <w:spacing w:line="240" w:lineRule="auto" w:after="0"/>
        <w:ind w:left="4680"/>
      </w:pPr>
      <w:r>
        <w:rPr>
          <w:b w:val="0"/>
          <w:i w:val="0"/>
        </w:rPr>
        <w:t>THORNGATE &amp; ASSOCIATES LLP</w:t>
      </w:r>
    </w:p>
    <w:p>
      <w:pPr>
        <w:spacing w:line="240" w:lineRule="auto" w:after="0"/>
        <w:ind w:left="4680"/>
      </w:pPr>
    </w:p>
    <w:p>
      <w:pPr>
        <w:spacing w:line="240" w:lineRule="auto" w:after="0"/>
        <w:ind w:left="4680"/>
      </w:pPr>
      <w:r>
        <w:rPr>
          <w:b w:val="0"/>
          <w:i w:val="0"/>
        </w:rPr>
        <w:t xml:space="preserve">By: s/ James Calloway                              </w:t>
      </w:r>
    </w:p>
    <w:p>
      <w:pPr>
        <w:spacing w:line="240" w:lineRule="auto" w:after="0"/>
        <w:ind w:left="4680"/>
      </w:pPr>
      <w:r>
        <w:rPr>
          <w:b w:val="0"/>
          <w:i w:val="0"/>
        </w:rPr>
        <w:t>James Calloway (Bar No. [______])</w:t>
      </w:r>
    </w:p>
    <w:p>
      <w:pPr>
        <w:spacing w:line="240" w:lineRule="auto" w:after="0"/>
        <w:ind w:left="4680"/>
      </w:pPr>
      <w:r>
        <w:rPr>
          <w:b w:val="0"/>
          <w:i w:val="0"/>
        </w:rPr>
        <w:t>Priya Nandakumar (Bar No. [______])</w:t>
      </w:r>
    </w:p>
    <w:p>
      <w:pPr>
        <w:spacing w:line="240" w:lineRule="auto" w:after="0"/>
        <w:ind w:left="4680"/>
      </w:pPr>
      <w:r>
        <w:rPr>
          <w:b w:val="0"/>
          <w:i w:val="0"/>
        </w:rPr>
        <w:t>700 Morrison Street, Suite 1400</w:t>
      </w:r>
    </w:p>
    <w:p>
      <w:pPr>
        <w:spacing w:line="240" w:lineRule="auto" w:after="0"/>
        <w:ind w:left="4680"/>
      </w:pPr>
      <w:r>
        <w:rPr>
          <w:b w:val="0"/>
          <w:i w:val="0"/>
        </w:rPr>
        <w:t>Portland, Oregon 97204</w:t>
      </w:r>
    </w:p>
    <w:p>
      <w:pPr>
        <w:spacing w:line="240" w:lineRule="auto" w:after="0"/>
        <w:ind w:left="4680"/>
      </w:pPr>
      <w:r>
        <w:rPr>
          <w:b w:val="0"/>
          <w:i w:val="0"/>
        </w:rPr>
        <w:t>Telephone: (503) 555-4100</w:t>
      </w:r>
    </w:p>
    <w:p>
      <w:pPr>
        <w:spacing w:line="240" w:lineRule="auto" w:after="0"/>
        <w:ind w:left="4680"/>
      </w:pPr>
    </w:p>
    <w:p>
      <w:pPr>
        <w:spacing w:line="240" w:lineRule="auto" w:after="0"/>
        <w:ind w:left="4680"/>
      </w:pPr>
      <w:r>
        <w:rPr>
          <w:b w:val="0"/>
          <w:i w:val="0"/>
        </w:rPr>
        <w:t>Attorneys for Defendant</w:t>
      </w:r>
    </w:p>
    <w:p>
      <w:pPr>
        <w:spacing w:line="240" w:lineRule="auto" w:after="0"/>
        <w:ind w:left="4680"/>
      </w:pPr>
      <w:r>
        <w:rPr>
          <w:b w:val="0"/>
          <w:i w:val="0"/>
        </w:rPr>
        <w:t>Cascade Polymer Solutions, Inc.</w:t>
      </w:r>
    </w:p>
    <w:p>
      <w:pPr>
        <w:spacing w:line="240" w:lineRule="auto" w:after="0"/>
      </w:pPr>
    </w:p>
    <w:p>
      <w:pPr>
        <w:spacing w:line="480" w:lineRule="auto" w:after="0"/>
        <w:jc w:val="center"/>
      </w:pPr>
      <w:r>
        <w:rPr>
          <w:b/>
          <w:i w:val="0"/>
        </w:rPr>
        <w:t>LCR 7(d)(4) MEET-AND-CONFER CERTIFICATION</w:t>
      </w:r>
    </w:p>
    <w:p>
      <w:pPr>
        <w:spacing w:line="480" w:lineRule="auto" w:after="0"/>
        <w:ind w:firstLine="720"/>
        <w:jc w:val="both"/>
      </w:pPr>
      <w:r>
        <w:rPr>
          <w:b w:val="0"/>
          <w:i w:val="0"/>
        </w:rPr>
        <w:t>I certify that counsel for Defendant conferred in good faith with counsel for Plaintiff regarding the matters raised in these motions, including by letter dated January 8, 2025 and subsequent meet-and-confer discussion, and that the parties were unable to resolve them. Plaintiff has confirmed in writing that it intends to offer the challenged exhibits and testimony at trial and will oppose exclusion.</w:t>
      </w:r>
    </w:p>
    <w:p>
      <w:pPr>
        <w:spacing w:line="240" w:lineRule="auto" w:after="0"/>
        <w:ind w:left="4680"/>
      </w:pPr>
      <w:r>
        <w:rPr>
          <w:b w:val="0"/>
          <w:i w:val="0"/>
        </w:rPr>
        <w:t>s/ James Calloway</w:t>
      </w:r>
    </w:p>
    <w:p>
      <w:pPr>
        <w:spacing w:line="240" w:lineRule="auto" w:after="0"/>
      </w:pPr>
    </w:p>
    <w:p>
      <w:pPr>
        <w:spacing w:line="480" w:lineRule="auto" w:after="0"/>
        <w:jc w:val="center"/>
      </w:pPr>
      <w:r>
        <w:rPr>
          <w:b/>
          <w:i w:val="0"/>
        </w:rPr>
        <w:t>CERTIFICATE OF COMPLIANCE</w:t>
      </w:r>
    </w:p>
    <w:p>
      <w:pPr>
        <w:spacing w:line="480" w:lineRule="auto" w:after="0"/>
        <w:ind w:firstLine="720"/>
        <w:jc w:val="both"/>
      </w:pPr>
      <w:r>
        <w:rPr>
          <w:b w:val="0"/>
          <w:i w:val="0"/>
        </w:rPr>
        <w:t>I certify that this memorandum contains [_____] words, in compliance with the Local Civil Rules. [CONFIRM APPLICABLE LCR 7(e) LIMIT FOR MOTIONS IN LIMINE AND ANY LIMIT IN THE COURT'S PRETRIAL ORDER BEFORE FILING.]</w:t>
      </w:r>
    </w:p>
    <w:p>
      <w:pPr>
        <w:spacing w:line="240" w:lineRule="auto" w:after="0"/>
        <w:ind w:left="4680"/>
      </w:pPr>
      <w:r>
        <w:rPr>
          <w:b w:val="0"/>
          <w:i w:val="0"/>
        </w:rPr>
        <w:t>s/ James Calloway</w:t>
      </w:r>
    </w:p>
    <w:p>
      <w:r>
        <w:br w:type="page"/>
      </w:r>
    </w:p>
    <w:p>
      <w:pPr>
        <w:spacing w:line="480" w:lineRule="auto" w:after="0"/>
        <w:jc w:val="center"/>
      </w:pPr>
      <w:r>
        <w:rPr>
          <w:b/>
          <w:i w:val="0"/>
        </w:rPr>
        <w:t>CERTIFICATE OF SERVICE</w:t>
      </w:r>
    </w:p>
    <w:p>
      <w:pPr>
        <w:spacing w:line="480" w:lineRule="auto" w:after="0"/>
        <w:ind w:firstLine="720"/>
        <w:jc w:val="both"/>
      </w:pPr>
      <w:r>
        <w:rPr>
          <w:b w:val="0"/>
          <w:i w:val="0"/>
        </w:rPr>
        <w:t>I hereby certify that on January 27, 2025, I electronically filed the foregoing with the Clerk of the Court using the CM/ECF system, which will send notification of such filing to all counsel of record, including:</w:t>
      </w:r>
    </w:p>
    <w:p>
      <w:pPr>
        <w:spacing w:line="240" w:lineRule="auto" w:after="0"/>
        <w:ind w:left="1440"/>
      </w:pPr>
      <w:r>
        <w:rPr>
          <w:b w:val="0"/>
          <w:i w:val="0"/>
        </w:rPr>
        <w:t>Patricia Solano</w:t>
      </w:r>
    </w:p>
    <w:p>
      <w:pPr>
        <w:spacing w:line="240" w:lineRule="auto" w:after="0"/>
        <w:ind w:left="1440"/>
      </w:pPr>
      <w:r>
        <w:rPr>
          <w:b w:val="0"/>
          <w:i w:val="0"/>
        </w:rPr>
        <w:t>BELLWEATHER LITIGATORS LLP</w:t>
      </w:r>
    </w:p>
    <w:p>
      <w:pPr>
        <w:spacing w:line="240" w:lineRule="auto" w:after="0"/>
        <w:ind w:left="1440"/>
      </w:pPr>
      <w:r>
        <w:rPr>
          <w:b w:val="0"/>
          <w:i w:val="0"/>
        </w:rPr>
        <w:t>1201 Third Avenue, Suite 3200</w:t>
      </w:r>
    </w:p>
    <w:p>
      <w:pPr>
        <w:spacing w:line="240" w:lineRule="auto" w:after="0"/>
        <w:ind w:left="1440"/>
      </w:pPr>
      <w:r>
        <w:rPr>
          <w:b w:val="0"/>
          <w:i w:val="0"/>
        </w:rPr>
        <w:t>Seattle, WA 98101</w:t>
      </w:r>
    </w:p>
    <w:p>
      <w:pPr>
        <w:spacing w:line="240" w:lineRule="auto" w:after="0"/>
        <w:ind w:left="1440"/>
      </w:pPr>
      <w:r>
        <w:rPr>
          <w:b w:val="0"/>
          <w:i w:val="0"/>
        </w:rPr>
        <w:t>psolano@bellweatherlit.com</w:t>
      </w:r>
    </w:p>
    <w:p>
      <w:pPr>
        <w:spacing w:line="240" w:lineRule="auto" w:after="0"/>
        <w:ind w:left="1440"/>
      </w:pPr>
      <w:r>
        <w:rPr>
          <w:b w:val="0"/>
          <w:i w:val="0"/>
        </w:rPr>
        <w:t>Attorneys for Plaintiff Ridgeline Manufacturing Corp.</w:t>
      </w:r>
    </w:p>
    <w:p>
      <w:pPr>
        <w:spacing w:line="240" w:lineRule="auto" w:after="0"/>
      </w:pPr>
    </w:p>
    <w:p>
      <w:pPr>
        <w:spacing w:line="240" w:lineRule="auto" w:after="0"/>
        <w:ind w:left="4680"/>
      </w:pPr>
      <w:r>
        <w:rPr>
          <w:b w:val="0"/>
          <w:i w:val="0"/>
        </w:rPr>
        <w:t>s/ James Calloway</w:t>
      </w:r>
    </w:p>
    <w:p>
      <w:pPr>
        <w:spacing w:line="240" w:lineRule="auto" w:after="0"/>
        <w:ind w:left="4680"/>
      </w:pPr>
      <w:r>
        <w:rPr>
          <w:b w:val="0"/>
          <w:i w:val="0"/>
        </w:rPr>
        <w:t>James Calloway</w:t>
      </w:r>
    </w:p>
    <w:p>
      <w:r>
        <w:br w:type="page"/>
      </w:r>
    </w:p>
    <w:p>
      <w:pPr>
        <w:spacing w:line="240" w:lineRule="auto" w:after="0"/>
        <w:jc w:val="right"/>
      </w:pPr>
      <w:r>
        <w:rPr>
          <w:b w:val="0"/>
          <w:i w:val="0"/>
        </w:rPr>
        <w:t>The Honorable Rebecca Whitford</w:t>
      </w:r>
    </w:p>
    <w:p>
      <w:pPr>
        <w:spacing w:line="240" w:lineRule="auto" w:after="0"/>
      </w:pPr>
    </w:p>
    <w:p>
      <w:pPr>
        <w:spacing w:line="240" w:lineRule="auto" w:after="0"/>
        <w:jc w:val="center"/>
      </w:pPr>
      <w:r>
        <w:rPr>
          <w:b/>
          <w:i w:val="0"/>
        </w:rPr>
        <w:t>UNITED STATES DISTRICT COURT</w:t>
      </w:r>
    </w:p>
    <w:p>
      <w:pPr>
        <w:spacing w:line="240" w:lineRule="auto" w:after="0"/>
        <w:jc w:val="center"/>
      </w:pPr>
      <w:r>
        <w:rPr>
          <w:b/>
          <w:i w:val="0"/>
        </w:rPr>
        <w:t>WESTERN DISTRICT OF WASHINGTON</w:t>
      </w:r>
    </w:p>
    <w:p>
      <w:pPr>
        <w:spacing w:line="240" w:lineRule="auto" w:after="240"/>
        <w:jc w:val="center"/>
      </w:pPr>
      <w:r>
        <w:rPr>
          <w:b/>
          <w:i w:val="0"/>
        </w:rPr>
        <w:t>AT SEATTLE</w:t>
      </w:r>
    </w:p>
    <w:tbl>
      <w:tblPr>
        <w:tblW w:type="auto" w:w="0"/>
        <w:jc w:val="center"/>
        <w:tblLook w:firstColumn="1" w:firstRow="1" w:lastColumn="0" w:lastRow="0" w:noHBand="0" w:noVBand="1" w:val="04A0"/>
      </w:tblPr>
      <w:tblGrid>
        <w:gridCol w:w="4896"/>
        <w:gridCol w:w="4464"/>
      </w:tblGrid>
      <w:tr>
        <w:tc>
          <w:tcPr>
            <w:tcW w:type="dxa" w:w="4896"/>
            <w:tcBorders>
              <w:right w:val="single" w:sz="6" w:space="0" w:color="000000"/>
              <w:bottom w:val="single" w:sz="6" w:space="0" w:color="000000"/>
            </w:tcBorders>
          </w:tcPr>
          <w:p>
            <w:r/>
            <w:r>
              <w:t>RIDGELINE MANUFACTURING CORP.,</w:t>
            </w:r>
          </w:p>
          <w:p>
            <w:r/>
          </w:p>
          <w:p>
            <w:r>
              <w:t xml:space="preserve">                    Plaintiff,</w:t>
            </w:r>
          </w:p>
          <w:p>
            <w:r/>
          </w:p>
          <w:p>
            <w:r>
              <w:t xml:space="preserve">          v.</w:t>
            </w:r>
          </w:p>
          <w:p>
            <w:r/>
          </w:p>
          <w:p>
            <w:r>
              <w:t>CASCADE POLYMER SOLUTIONS, INC.,</w:t>
            </w:r>
          </w:p>
          <w:p>
            <w:r/>
          </w:p>
          <w:p>
            <w:r>
              <w:t xml:space="preserve">                    Defendant.</w:t>
            </w:r>
          </w:p>
          <w:p>
            <w:r/>
          </w:p>
        </w:tc>
        <w:tc>
          <w:tcPr>
            <w:tcW w:type="dxa" w:w="4464"/>
          </w:tcPr>
          <w:p>
            <w:pPr>
              <w:ind w:left="216"/>
            </w:pPr>
            <w:r>
              <w:rPr>
                <w:b w:val="0"/>
                <w:i w:val="0"/>
              </w:rPr>
              <w:t>Case No. 2:24-cv-00118-RW</w:t>
            </w:r>
          </w:p>
          <w:p>
            <w:pPr>
              <w:ind w:left="216"/>
            </w:pPr>
          </w:p>
          <w:p>
            <w:pPr>
              <w:ind w:left="216"/>
            </w:pPr>
            <w:r>
              <w:rPr>
                <w:b/>
                <w:i w:val="0"/>
              </w:rPr>
              <w:t>[PROPOSED] ORDER GRANTING DEFENDANT CASCADE POLYMER SOLUTIONS, INC.'S MOTIONS IN LIMINE</w:t>
            </w:r>
          </w:p>
        </w:tc>
      </w:tr>
    </w:tbl>
    <w:p>
      <w:pPr>
        <w:spacing w:line="240" w:lineRule="auto" w:after="0"/>
      </w:pPr>
    </w:p>
    <w:p>
      <w:pPr>
        <w:spacing w:line="480" w:lineRule="auto" w:after="0"/>
        <w:ind w:firstLine="720"/>
        <w:jc w:val="both"/>
      </w:pPr>
      <w:r>
        <w:rPr>
          <w:b w:val="0"/>
          <w:i w:val="0"/>
        </w:rPr>
        <w:t>THIS MATTER came before the Court on Defendant Cascade Polymer Solutions, Inc.'s Motions in Limine. The Court has considered the motion, the Declaration of James Calloway and exhibits thereto, Plaintiff's response, any reply, and the balance of the record. Being fully advised, the Court ORDERS as follows:</w:t>
      </w:r>
    </w:p>
    <w:p>
      <w:pPr>
        <w:spacing w:line="480" w:lineRule="auto" w:after="0"/>
        <w:ind w:left="1440" w:hanging="720"/>
      </w:pPr>
      <w:r>
        <w:rPr>
          <w:b w:val="0"/>
          <w:i w:val="0"/>
        </w:rPr>
        <w:t>1.</w:t>
        <w:tab/>
      </w:r>
      <w:r>
        <w:rPr>
          <w:b/>
          <w:i w:val="0"/>
        </w:rPr>
        <w:t>Motion in Limine No. 1(A)</w:t>
      </w:r>
      <w:r>
        <w:rPr>
          <w:b w:val="0"/>
          <w:i w:val="0"/>
        </w:rPr>
        <w:t xml:space="preserve"> is GRANTED. Dr. Lena Marchetti shall not offer any opinion regarding reputational harm or loss of future business, including the $3,000,000 figure.</w:t>
      </w:r>
    </w:p>
    <w:p>
      <w:pPr>
        <w:spacing w:line="480" w:lineRule="auto" w:after="0"/>
        <w:ind w:left="1440" w:hanging="720"/>
      </w:pPr>
      <w:r>
        <w:rPr>
          <w:b w:val="0"/>
          <w:i w:val="0"/>
        </w:rPr>
        <w:t>2.</w:t>
        <w:tab/>
      </w:r>
      <w:r>
        <w:rPr>
          <w:b/>
          <w:i w:val="0"/>
        </w:rPr>
        <w:t>Motion in Limine No. 1(B)</w:t>
      </w:r>
      <w:r>
        <w:rPr>
          <w:b w:val="0"/>
          <w:i w:val="0"/>
        </w:rPr>
        <w:t xml:space="preserve"> is GRANTED. Dr. Marchetti shall not offer her $6,780,000 lost-profits opinion. [Alternative: Dr. Marchetti shall not characterize any revenue shortfall as lost profits, present any figure for a period she did not model, or attribute any revenue shortfall to the resin without accounting for the Q2 2023 regional market downturn.]</w:t>
      </w:r>
    </w:p>
    <w:p>
      <w:pPr>
        <w:spacing w:line="480" w:lineRule="auto" w:after="0"/>
        <w:ind w:left="1440" w:hanging="720"/>
      </w:pPr>
      <w:r>
        <w:rPr>
          <w:b w:val="0"/>
          <w:i w:val="0"/>
        </w:rPr>
        <w:t>3.</w:t>
        <w:tab/>
      </w:r>
      <w:r>
        <w:rPr>
          <w:b/>
          <w:i w:val="0"/>
        </w:rPr>
        <w:t>Motion in Limine No. 1(C)</w:t>
      </w:r>
      <w:r>
        <w:rPr>
          <w:b w:val="0"/>
          <w:i w:val="0"/>
        </w:rPr>
        <w:t xml:space="preserve"> is GRANTED. Dr. Marchetti shall not offer her $2,340,000 scrap-and-rework opinion or vouch for the accuracy of the spreadsheet prepared by Kevin Cho.</w:t>
      </w:r>
    </w:p>
    <w:p>
      <w:pPr>
        <w:spacing w:line="480" w:lineRule="auto" w:after="0"/>
        <w:ind w:left="1440" w:hanging="720"/>
      </w:pPr>
      <w:r>
        <w:rPr>
          <w:b w:val="0"/>
          <w:i w:val="0"/>
        </w:rPr>
        <w:t>4.</w:t>
        <w:tab/>
      </w:r>
      <w:r>
        <w:rPr>
          <w:b/>
          <w:i w:val="0"/>
        </w:rPr>
        <w:t>Motion in Limine No. 1(D)</w:t>
      </w:r>
      <w:r>
        <w:rPr>
          <w:b w:val="0"/>
          <w:i w:val="0"/>
        </w:rPr>
        <w:t xml:space="preserve"> is GRANTED. No party, counsel, or witness shall refer to a $14,200,000 or $14,211,000 aggregate damages figure. [The Court will resolve the applicability of Sections 7.1 and 7.2 of the Supply Agreement before any consequential-damages testimony is presented / Trial shall be bifurcated under Fed. R. Civ. P. 42(b).]</w:t>
      </w:r>
    </w:p>
    <w:p>
      <w:pPr>
        <w:spacing w:line="480" w:lineRule="auto" w:after="0"/>
        <w:ind w:left="1440" w:hanging="720"/>
      </w:pPr>
      <w:r>
        <w:rPr>
          <w:b w:val="0"/>
          <w:i w:val="0"/>
        </w:rPr>
        <w:t>5.</w:t>
        <w:tab/>
      </w:r>
      <w:r>
        <w:rPr>
          <w:b/>
          <w:i w:val="0"/>
        </w:rPr>
        <w:t>Motion in Limine No. 2</w:t>
      </w:r>
      <w:r>
        <w:rPr>
          <w:b w:val="0"/>
          <w:i w:val="0"/>
        </w:rPr>
        <w:t xml:space="preserve"> is GRANTED. Plaintiff's Exhibits PX-22, PX-23, and PX-24, and any portion of PX-21 referring to Cascade's November 2023 testing or packaging changes, are EXCLUDED, and no party, counsel, or witness shall refer to those changes.</w:t>
      </w:r>
    </w:p>
    <w:p>
      <w:pPr>
        <w:spacing w:line="480" w:lineRule="auto" w:after="0"/>
        <w:ind w:left="1440" w:hanging="720"/>
      </w:pPr>
      <w:r>
        <w:rPr>
          <w:b w:val="0"/>
          <w:i w:val="0"/>
        </w:rPr>
        <w:t>6.</w:t>
        <w:tab/>
      </w:r>
      <w:r>
        <w:rPr>
          <w:b/>
          <w:i w:val="0"/>
        </w:rPr>
        <w:t>Motion in Limine No. 3</w:t>
      </w:r>
      <w:r>
        <w:rPr>
          <w:b w:val="0"/>
          <w:i w:val="0"/>
        </w:rPr>
        <w:t xml:space="preserve"> is GRANTED. Plaintiff's Exhibits PX-25, PX-26, and PX-27 are EXCLUDED, and no party, counsel, or witness shall refer to OSHA Citation No. 2023-OR-00487, the underlying inspection, or the penalty or its payment.</w:t>
      </w:r>
    </w:p>
    <w:p>
      <w:pPr>
        <w:spacing w:line="480" w:lineRule="auto" w:after="0"/>
        <w:ind w:left="1440" w:hanging="720"/>
      </w:pPr>
      <w:r>
        <w:rPr>
          <w:b w:val="0"/>
          <w:i w:val="0"/>
        </w:rPr>
        <w:t>7.</w:t>
        <w:tab/>
        <w:t>Any party contending that the door has been opened to evidence excluded by this Order shall raise the matter with the Court outside the presence of the jury before offering or referring to such evidence.</w:t>
      </w:r>
    </w:p>
    <w:p>
      <w:pPr>
        <w:spacing w:line="480" w:lineRule="auto" w:after="0"/>
      </w:pPr>
      <w:r>
        <w:rPr>
          <w:b/>
          <w:i w:val="0"/>
        </w:rPr>
        <w:t>IT IS SO ORDERED.</w:t>
      </w:r>
    </w:p>
    <w:p>
      <w:pPr>
        <w:spacing w:line="480" w:lineRule="auto" w:after="0"/>
      </w:pPr>
      <w:r>
        <w:rPr>
          <w:b w:val="0"/>
          <w:i w:val="0"/>
        </w:rPr>
        <w:t>DATED this ____ day of ____________, 2025.</w:t>
      </w:r>
    </w:p>
    <w:p>
      <w:pPr>
        <w:spacing w:line="240" w:lineRule="auto" w:after="0"/>
        <w:ind w:left="4680"/>
      </w:pPr>
    </w:p>
    <w:p>
      <w:pPr>
        <w:spacing w:line="240" w:lineRule="auto" w:after="0"/>
        <w:ind w:left="4680"/>
      </w:pPr>
      <w:r>
        <w:rPr>
          <w:b w:val="0"/>
          <w:i w:val="0"/>
        </w:rPr>
        <w:t>______________________________</w:t>
      </w:r>
    </w:p>
    <w:p>
      <w:pPr>
        <w:spacing w:line="240" w:lineRule="auto" w:after="0"/>
        <w:ind w:left="4680"/>
      </w:pPr>
      <w:r>
        <w:rPr>
          <w:b w:val="0"/>
          <w:i w:val="0"/>
        </w:rPr>
        <w:t>The Honorable Rebecca Whitford</w:t>
      </w:r>
    </w:p>
    <w:p>
      <w:pPr>
        <w:spacing w:line="240" w:lineRule="auto" w:after="0"/>
        <w:ind w:left="4680"/>
      </w:pPr>
      <w:r>
        <w:rPr>
          <w:b w:val="0"/>
          <w:i w:val="0"/>
        </w:rPr>
        <w:t>United States District Judge</w:t>
      </w:r>
    </w:p>
    <w:p>
      <w:pPr>
        <w:spacing w:line="240" w:lineRule="auto" w:after="0"/>
      </w:pPr>
    </w:p>
    <w:p>
      <w:pPr>
        <w:spacing w:line="240" w:lineRule="auto" w:after="0"/>
      </w:pPr>
      <w:r>
        <w:rPr>
          <w:b w:val="0"/>
          <w:i w:val="0"/>
        </w:rPr>
        <w:t>Presented by: THORNGATE &amp; ASSOCIATES LLP, s/ James Calloway, Attorneys for Defendant Cascade Polymer Solutions, Inc.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8"/>
      </w:rPr>
      <w:t xml:space="preserve">DEF. CASCADE'S MOTIONS IN LIMINE (No. 2:24-cv-00118-RW) – </w:t>
    </w:r>
    <w:r>
      <w:rPr>
        <w:sz w:val="18"/>
      </w:rPr>
      <w:fldChar w:fldCharType="begin"/>
    </w:r>
    <w:r>
      <w:rPr>
        <w:sz w:val="18"/>
      </w:rPr>
      <w:instrText xml:space="preserve">PAGE</w:instrText>
    </w:r>
    <w:r>
      <w:rPr>
        <w:sz w:val="18"/>
      </w:rPr>
      <w:fldChar w:fldCharType="end"/>
    </w:r>
  </w:p>
  <w:p>
    <w:r>
      <w:rPr>
        <w:sz w:val="18"/>
      </w:rPr>
      <w:t>Thorngate &amp; Associates LLP, 700 Morrison St., Ste. 1400, Portland, OR 97204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