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240"/>
        <w:jc w:val="center"/>
      </w:pPr>
      <w:r>
        <w:rPr>
          <w:b/>
        </w:rPr>
        <w:t>IN THE UNITED STATES DISTRICT COURT</w:t>
        <w:br/>
        <w:t>FOR THE WESTERN DISTRICT OF PENNSYLVANIA</w:t>
      </w:r>
    </w:p>
    <w:tbl>
      <w:tblPr>
        <w:tblW w:type="dxa" w:w="9360"/>
        <w:tblLayout w:type="fixed"/>
        <w:tblLook w:firstColumn="1" w:firstRow="1" w:lastColumn="0" w:lastRow="0" w:noHBand="0" w:noVBand="1" w:val="04A0"/>
        <w:jc w:val="center"/>
        <w:tblBorders>
          <w:top w:val="nil" w:sz="4" w:color="000000"/>
          <w:left w:val="nil" w:sz="4" w:color="000000"/>
          <w:bottom w:val="nil" w:sz="4" w:color="000000"/>
          <w:right w:val="nil" w:sz="4" w:color="000000"/>
          <w:insideH w:val="nil" w:sz="4" w:color="000000"/>
          <w:insideV w:val="nil" w:sz="4" w:color="000000"/>
        </w:tblBorders>
      </w:tblPr>
      <w:tblGrid>
        <w:gridCol w:w="5040"/>
        <w:gridCol w:w="4320"/>
      </w:tblGrid>
      <w:tr>
        <w:tc>
          <w:tcPr>
            <w:tcW w:type="dxa" w:w="5040"/>
            <w:tcBorders>
              <w:right w:val="single" w:sz="6" w:color="000000"/>
              <w:bottom w:val="single" w:sz="6" w:color="000000"/>
            </w:tcBorders>
          </w:tcPr>
          <w:p>
            <w:pPr>
              <w:jc w:val="left"/>
            </w:pPr>
            <w:r>
              <w:rPr>
                <w:b/>
              </w:rPr>
            </w:r>
            <w:r>
              <w:rPr>
                <w:b/>
                <w:sz w:val="24"/>
              </w:rPr>
              <w:t>VANTAGE INDUSTRIAL</w:t>
            </w:r>
          </w:p>
          <w:p>
            <w:pPr>
              <w:jc w:val="left"/>
            </w:pPr>
            <w:r>
              <w:rPr>
                <w:b/>
                <w:sz w:val="24"/>
              </w:rPr>
              <w:t>HOLDINGS, INC.,</w:t>
            </w:r>
          </w:p>
          <w:p>
            <w:pPr>
              <w:jc w:val="left"/>
            </w:pPr>
            <w:r>
              <w:rPr>
                <w:sz w:val="24"/>
              </w:rPr>
              <w:t>a Delaware corporation,</w:t>
            </w:r>
          </w:p>
          <w:p>
            <w:pPr>
              <w:jc w:val="left"/>
            </w:pPr>
          </w:p>
          <w:p>
            <w:pPr>
              <w:jc w:val="left"/>
            </w:pPr>
            <w:r>
              <w:rPr>
                <w:sz w:val="24"/>
              </w:rPr>
              <w:t xml:space="preserve">                    Plaintiff,</w:t>
            </w:r>
          </w:p>
          <w:p>
            <w:pPr>
              <w:jc w:val="left"/>
            </w:pPr>
          </w:p>
          <w:p>
            <w:pPr>
              <w:jc w:val="left"/>
            </w:pPr>
            <w:r>
              <w:rPr>
                <w:sz w:val="24"/>
              </w:rPr>
              <w:t xml:space="preserve">          v.</w:t>
            </w:r>
          </w:p>
          <w:p>
            <w:pPr>
              <w:jc w:val="left"/>
            </w:pPr>
          </w:p>
          <w:p>
            <w:pPr>
              <w:jc w:val="left"/>
            </w:pPr>
            <w:r>
              <w:rPr>
                <w:b/>
                <w:sz w:val="24"/>
              </w:rPr>
              <w:t>CORBIN MACHINING &amp;</w:t>
            </w:r>
          </w:p>
          <w:p>
            <w:pPr>
              <w:jc w:val="left"/>
            </w:pPr>
            <w:r>
              <w:rPr>
                <w:b/>
                <w:sz w:val="24"/>
              </w:rPr>
              <w:t>FABRICATION, LLC,</w:t>
            </w:r>
          </w:p>
          <w:p>
            <w:pPr>
              <w:jc w:val="left"/>
            </w:pPr>
            <w:r>
              <w:rPr>
                <w:sz w:val="24"/>
              </w:rPr>
              <w:t>an Ohio limited liability company,</w:t>
            </w:r>
          </w:p>
          <w:p>
            <w:pPr>
              <w:jc w:val="left"/>
            </w:pPr>
          </w:p>
          <w:p>
            <w:pPr>
              <w:jc w:val="left"/>
            </w:pPr>
            <w:r>
              <w:rPr>
                <w:sz w:val="24"/>
              </w:rPr>
              <w:t xml:space="preserve">                    Defendant.</w:t>
            </w:r>
          </w:p>
        </w:tc>
        <w:tc>
          <w:tcPr>
            <w:tcW w:type="dxa" w:w="4320"/>
          </w:tcPr>
          <w:p>
            <w:pPr>
              <w:ind w:left="288"/>
              <w:jc w:val="left"/>
            </w:pPr>
            <w:r/>
          </w:p>
          <w:p>
            <w:pPr>
              <w:ind w:left="288"/>
              <w:jc w:val="left"/>
            </w:pPr>
            <w:r>
              <w:rPr>
                <w:sz w:val="24"/>
              </w:rPr>
              <w:t>Civil Action No.</w:t>
            </w:r>
          </w:p>
          <w:p>
            <w:pPr>
              <w:ind w:left="288"/>
              <w:jc w:val="left"/>
            </w:pPr>
            <w:r>
              <w:rPr>
                <w:sz w:val="24"/>
              </w:rPr>
              <w:t>2:24-cv-00831-CAR</w:t>
            </w:r>
          </w:p>
          <w:p>
            <w:pPr>
              <w:ind w:left="288"/>
              <w:jc w:val="left"/>
            </w:pPr>
          </w:p>
          <w:p>
            <w:pPr>
              <w:ind w:left="288"/>
              <w:jc w:val="left"/>
            </w:pPr>
            <w:r>
              <w:rPr>
                <w:sz w:val="24"/>
              </w:rPr>
              <w:t>Hon. Christine A. Radford,</w:t>
            </w:r>
          </w:p>
          <w:p>
            <w:pPr>
              <w:ind w:left="288"/>
              <w:jc w:val="left"/>
            </w:pPr>
            <w:r>
              <w:rPr>
                <w:sz w:val="24"/>
              </w:rPr>
              <w:t>U.S. District Judge</w:t>
            </w:r>
          </w:p>
          <w:p>
            <w:pPr>
              <w:ind w:left="288"/>
              <w:jc w:val="left"/>
            </w:pPr>
          </w:p>
          <w:p>
            <w:pPr>
              <w:ind w:left="288"/>
              <w:jc w:val="left"/>
            </w:pPr>
            <w:r>
              <w:rPr>
                <w:sz w:val="24"/>
              </w:rPr>
              <w:t>Hon. David P. Sheehan,</w:t>
            </w:r>
          </w:p>
          <w:p>
            <w:pPr>
              <w:ind w:left="288"/>
              <w:jc w:val="left"/>
            </w:pPr>
            <w:r>
              <w:rPr>
                <w:sz w:val="24"/>
              </w:rPr>
              <w:t>U.S. Magistrate Judge</w:t>
            </w:r>
          </w:p>
          <w:p>
            <w:pPr>
              <w:ind w:left="288"/>
              <w:jc w:val="left"/>
            </w:pPr>
          </w:p>
          <w:p>
            <w:pPr>
              <w:ind w:left="288"/>
              <w:jc w:val="left"/>
            </w:pPr>
            <w:r>
              <w:rPr>
                <w:b/>
                <w:sz w:val="24"/>
              </w:rPr>
              <w:t>Filed Electronically</w:t>
            </w:r>
          </w:p>
        </w:tc>
      </w:tr>
    </w:tbl>
    <w:p>
      <w:pPr>
        <w:spacing w:line="240" w:lineRule="auto" w:after="120"/>
        <w:jc w:val="both"/>
      </w:pPr>
    </w:p>
    <w:p>
      <w:pPr>
        <w:spacing w:line="240" w:lineRule="auto" w:after="240"/>
        <w:jc w:val="center"/>
      </w:pPr>
      <w:r>
        <w:rPr>
          <w:b/>
        </w:rPr>
        <w:t>PLAINTIFF VANTAGE INDUSTRIAL HOLDINGS, INC.'S MOTION TO COMPEL DISCOVERY RESPONSES, FOR A FINDING OF PRIVILEGE WAIVER, AND FOR AN AWARD OF EXPENSES PURSUANT TO FED. R. CIV. P. 37(a)</w:t>
      </w:r>
    </w:p>
    <w:p>
      <w:pPr>
        <w:spacing w:line="480" w:lineRule="auto" w:after="0"/>
        <w:ind w:firstLine="720"/>
        <w:jc w:val="both"/>
      </w:pPr>
      <w:r>
        <w:t>Plaintiff Vantage Industrial Holdings, Inc. ("Vantage"), by its undersigned counsel, moves pursuant to Federal Rules of Civil Procedure 26(b), 33, 34, and 37(a), Local Rule 37.1, Sections 4 and 5 of the Case Management Order (entered June 24, 2024) ("CMO"), and Magistrate Judge Sheehan's Standing Order Regarding Discovery Motions, for an order compelling Defendant Corbin Machining &amp; Fabrication, LLC ("Corbin") to provide complete discovery responses. In support, Vantage states as follows:</w:t>
      </w:r>
    </w:p>
    <w:p>
      <w:pPr>
        <w:spacing w:line="480" w:lineRule="auto" w:after="0"/>
        <w:ind w:firstLine="720"/>
        <w:jc w:val="both"/>
      </w:pPr>
      <w:r>
        <w:t>1.</w:t>
        <w:tab/>
        <w:t>This action arises from Corbin's supply of approximately 4,280 Type 347 stainless steel turbine housings to Vantage under a Master Supply Agreement dated March 15, 2021 ("MSA"). Vantage alleges that Corbin shipped nonconforming housings under falsified Certificates of Conformance ("CoCs"), resulting in thirty-eight turbine failures and damages exceeding $14.7 million.</w:t>
      </w:r>
    </w:p>
    <w:p>
      <w:pPr>
        <w:spacing w:line="480" w:lineRule="auto" w:after="0"/>
        <w:ind w:firstLine="720"/>
        <w:jc w:val="both"/>
      </w:pPr>
      <w:r>
        <w:t>2.</w:t>
        <w:tab/>
        <w:t>On June 17, 2024, Vantage served its First Set of Interrogatories (Nos. 1–25) and First Request for Production of Documents (Nos. 1–42). (Exs. 1, 2.) After an agreed two-week extension, Corbin served responses on July 31, 2024. (Exs. 3-A, 3-B.)</w:t>
      </w:r>
    </w:p>
    <w:p>
      <w:pPr>
        <w:spacing w:line="480" w:lineRule="auto" w:after="0"/>
        <w:ind w:firstLine="720"/>
        <w:jc w:val="both"/>
      </w:pPr>
      <w:r>
        <w:t>3.</w:t>
        <w:tab/>
        <w:t>Corbin's responses are deficient in at least six independent respects, each addressed in the accompanying Memorandum of Law and in the Summary Chart attached as Appendix A:</w:t>
      </w:r>
    </w:p>
    <w:p>
      <w:pPr>
        <w:spacing w:line="480" w:lineRule="auto" w:after="0"/>
        <w:ind w:left="1440" w:hanging="720"/>
        <w:jc w:val="both"/>
      </w:pPr>
      <w:r>
        <w:t>(a)</w:t>
        <w:tab/>
      </w:r>
      <w:r>
        <w:rPr>
          <w:b/>
        </w:rPr>
        <w:t>Corbin responded to requests Vantage never served.</w:t>
      </w:r>
      <w:r>
        <w:t xml:space="preserve"> The interrogatories and requests "quoted" in Corbin's responses differ from, and in most instances bear no relationship to, the numbered requests Vantage actually served. As a result, Corbin has never answered most of Vantage's interrogatories and requests as written.</w:t>
      </w:r>
    </w:p>
    <w:p>
      <w:pPr>
        <w:spacing w:line="480" w:lineRule="auto" w:after="0"/>
        <w:ind w:left="1440" w:hanging="720"/>
        <w:jc w:val="both"/>
      </w:pPr>
      <w:r>
        <w:t>(b)</w:t>
        <w:tab/>
      </w:r>
      <w:r>
        <w:rPr>
          <w:b/>
        </w:rPr>
        <w:t>Corbin withheld documents on privilege grounds without ever serving a privilege log</w:t>
      </w:r>
      <w:r>
        <w:t>, in violation of Rule 26(b)(5)(A) and CMO § 4.4, which required a log no later than August 14, 2024. Corbin's counsel conceded the omission was an "oversight," promised a log by September 28, 2024, and still has not served one.</w:t>
      </w:r>
    </w:p>
    <w:p>
      <w:pPr>
        <w:spacing w:line="480" w:lineRule="auto" w:after="0"/>
        <w:ind w:left="1440" w:hanging="720"/>
        <w:jc w:val="both"/>
      </w:pPr>
      <w:r>
        <w:t>(c)</w:t>
        <w:tab/>
      </w:r>
      <w:r>
        <w:rPr>
          <w:b/>
        </w:rPr>
        <w:t>Corbin refused to produce entire categories of core documents</w:t>
      </w:r>
      <w:r>
        <w:t xml:space="preserve"> — quality-control records, CMM and metallurgical data, nonconformance reports, internal QC communications, and its document-retention policies — on the basis of boilerplate burden, trade-secret, and relevance objections unsupported by any declaration and never presented to the Court by motion for protective order as CMO § 4.7 requires.</w:t>
      </w:r>
    </w:p>
    <w:p>
      <w:pPr>
        <w:spacing w:line="480" w:lineRule="auto" w:after="0"/>
        <w:ind w:left="1440" w:hanging="720"/>
        <w:jc w:val="both"/>
      </w:pPr>
      <w:r>
        <w:t>(d)</w:t>
        <w:tab/>
      </w:r>
      <w:r>
        <w:rPr>
          <w:b/>
        </w:rPr>
        <w:t>Corbin's sworn answer to Interrogatory No. 18 is contradicted by its own production.</w:t>
      </w:r>
      <w:r>
        <w:t xml:space="preserve"> Corbin, through a verification signed by Raymond T. Corbin, swore it is "not aware of any parts that 'failed' internal quality inspection and were thereafter shipped to Vantage." Corbin's own document CORBIN-000247 is a September 14, 2022 email from its Quality Control Manager to Raymond T. Corbin reporting that "another batch of 15 housings . . . didn't pass CMM inspection but I've cleared them for shipment per your instruction." (Ex. 5.)</w:t>
      </w:r>
    </w:p>
    <w:p>
      <w:pPr>
        <w:spacing w:line="480" w:lineRule="auto" w:after="0"/>
        <w:ind w:left="1440" w:hanging="720"/>
        <w:jc w:val="both"/>
      </w:pPr>
      <w:r>
        <w:t>(e)</w:t>
        <w:tab/>
      </w:r>
      <w:r>
        <w:rPr>
          <w:b/>
        </w:rPr>
        <w:t>Corbin cannot locate 35 of the 47 CoCs</w:t>
      </w:r>
      <w:r>
        <w:t xml:space="preserve"> (74.5%) that MSA § 9.4 required it to retain for seven years, yet refuses to produce its retention policies or litigation hold notices or to describe its search.</w:t>
      </w:r>
    </w:p>
    <w:p>
      <w:pPr>
        <w:spacing w:line="480" w:lineRule="auto" w:after="0"/>
        <w:ind w:left="1440" w:hanging="720"/>
        <w:jc w:val="both"/>
      </w:pPr>
      <w:r>
        <w:t>(f)</w:t>
        <w:tab/>
      </w:r>
      <w:r>
        <w:rPr>
          <w:b/>
        </w:rPr>
        <w:t>Corbin refuses to produce its communications with its metallurgical testing subcontractor</w:t>
      </w:r>
      <w:r>
        <w:t>, Allegheny Materials Testing, Inc. ("AMT"), on a "third-party confidentiality" theory that is not a recognized basis for withholding discovery and is foreclosed by MSA § 14.3.3.</w:t>
      </w:r>
    </w:p>
    <w:p>
      <w:pPr>
        <w:spacing w:line="480" w:lineRule="auto" w:after="0"/>
        <w:ind w:firstLine="720"/>
        <w:jc w:val="both"/>
      </w:pPr>
      <w:r>
        <w:t>4.</w:t>
        <w:tab/>
        <w:t>Vantage's counsel conferred in good faith with Corbin's counsel by letters dated August 14, September 9, and October 7, 2024, and by a telephone conference of approximately ninety minutes on August 28, 2024. (Ex. 4.) Corbin did not respond in writing to any letter, has not supplemented any response, has produced no document beyond its initial 312 pages, and has not served the privilege log it promised. The Local Rule 37.1 Certification is set forth below.</w:t>
      </w:r>
    </w:p>
    <w:p>
      <w:pPr>
        <w:spacing w:line="480" w:lineRule="auto" w:after="0"/>
        <w:ind w:firstLine="720"/>
        <w:jc w:val="both"/>
      </w:pPr>
      <w:r>
        <w:t>5.</w:t>
        <w:tab/>
        <w:t>As required by the Standing Order, the Summary Chart of disputed requests is attached as Appendix A, and complete copies of the requests and responses at issue are attached as Exhibits 1 through 3-B.</w:t>
      </w:r>
    </w:p>
    <w:p>
      <w:pPr>
        <w:spacing w:line="480" w:lineRule="auto" w:after="0"/>
        <w:ind w:firstLine="720"/>
        <w:jc w:val="both"/>
      </w:pPr>
      <w:r>
        <w:t xml:space="preserve">WHEREFORE, Vantage respectfully requests that the Court enter the attached proposed Order (i) overruling Corbin's general and specific objections as set forth in Appendix A; (ii) compelling Corbin, within fourteen (14) days, to serve complete, verified answers to Interrogatory Nos. 1–25 and complete written responses to, and full production in response to, Request Nos. 1–42, each as actually served; (iii) declaring Corbin's privilege and work-product objections waived or, in the alternative, requiring a compliant privilege log within seven (7) days with </w:t>
      </w:r>
      <w:r>
        <w:rPr>
          <w:i/>
        </w:rPr>
        <w:t>in camera</w:t>
      </w:r>
      <w:r>
        <w:t xml:space="preserve"> review; (iv) requiring a sworn declaration regarding Corbin's search for the missing CoCs, its retention practices, and its litigation hold; (v) awarding Vantage its reasonable expenses, including attorney's fees, under Rule 37(a)(5)(A); and (vi) granting such further relief as the Court deems just.</w:t>
      </w:r>
    </w:p>
    <w:p>
      <w:pPr>
        <w:spacing w:line="240" w:lineRule="auto" w:after="240"/>
        <w:jc w:val="left"/>
      </w:pPr>
      <w:r>
        <w:t>Dated: October 15, 2024</w:t>
      </w:r>
    </w:p>
    <w:p>
      <w:pPr>
        <w:spacing w:line="240" w:lineRule="auto" w:after="0"/>
        <w:ind w:left="4680"/>
        <w:jc w:val="left"/>
      </w:pPr>
      <w:r>
        <w:t>Respectfully submitted,</w:t>
      </w:r>
    </w:p>
    <w:p>
      <w:pPr>
        <w:spacing w:line="240" w:lineRule="auto" w:after="0"/>
        <w:ind w:left="4680"/>
        <w:jc w:val="left"/>
      </w:pPr>
    </w:p>
    <w:p>
      <w:pPr>
        <w:spacing w:line="240" w:lineRule="auto" w:after="0"/>
        <w:ind w:left="4680"/>
        <w:jc w:val="left"/>
      </w:pPr>
      <w:r>
        <w:rPr>
          <w:b/>
        </w:rPr>
        <w:t>DRAYTON, KESSLER &amp; MORROW LLP</w:t>
      </w:r>
    </w:p>
    <w:p>
      <w:pPr>
        <w:spacing w:line="240" w:lineRule="auto" w:after="0"/>
        <w:ind w:left="4680"/>
        <w:jc w:val="left"/>
      </w:pPr>
    </w:p>
    <w:p>
      <w:pPr>
        <w:spacing w:line="240" w:lineRule="auto" w:after="0"/>
        <w:ind w:left="4680"/>
        <w:jc w:val="left"/>
      </w:pPr>
      <w:r>
        <w:t>By: /s/ Andrew J. Niles</w:t>
      </w:r>
    </w:p>
    <w:p>
      <w:pPr>
        <w:spacing w:line="240" w:lineRule="auto" w:after="0"/>
        <w:ind w:left="4680"/>
        <w:jc w:val="left"/>
      </w:pPr>
      <w:r>
        <w:t>Patricia C. Morrow (PA I.D. No. [</w:t>
      </w:r>
      <w:r>
        <w:rPr>
          <w:u w:val="single"/>
        </w:rPr>
        <w:t>_</w:t>
      </w:r>
      <w:r>
        <w:t>])</w:t>
      </w:r>
    </w:p>
    <w:p>
      <w:pPr>
        <w:spacing w:line="240" w:lineRule="auto" w:after="0"/>
        <w:ind w:left="4680"/>
        <w:jc w:val="left"/>
      </w:pPr>
      <w:r>
        <w:t>Andrew J. Niles (PA I.D. No. [</w:t>
      </w:r>
      <w:r>
        <w:rPr>
          <w:u w:val="single"/>
        </w:rPr>
        <w:t>_</w:t>
      </w:r>
      <w:r>
        <w:t>])</w:t>
      </w:r>
    </w:p>
    <w:p>
      <w:pPr>
        <w:spacing w:line="240" w:lineRule="auto" w:after="0"/>
        <w:ind w:left="4680"/>
        <w:jc w:val="left"/>
      </w:pPr>
      <w:r>
        <w:t>610 Grant Street, Suite 3200</w:t>
      </w:r>
    </w:p>
    <w:p>
      <w:pPr>
        <w:spacing w:line="240" w:lineRule="auto" w:after="0"/>
        <w:ind w:left="4680"/>
        <w:jc w:val="left"/>
      </w:pPr>
      <w:r>
        <w:t>Pittsburgh, PA 15219</w:t>
      </w:r>
    </w:p>
    <w:p>
      <w:pPr>
        <w:spacing w:line="240" w:lineRule="auto" w:after="0"/>
        <w:ind w:left="4680"/>
        <w:jc w:val="left"/>
      </w:pPr>
      <w:r>
        <w:t>Telephone: (412) 555-7100</w:t>
      </w:r>
    </w:p>
    <w:p>
      <w:pPr>
        <w:spacing w:line="240" w:lineRule="auto" w:after="0"/>
        <w:ind w:left="4680"/>
        <w:jc w:val="left"/>
      </w:pPr>
      <w:r>
        <w:t>Facsimile: (412) 555-7101</w:t>
      </w:r>
    </w:p>
    <w:p>
      <w:pPr>
        <w:spacing w:line="240" w:lineRule="auto" w:after="0"/>
        <w:ind w:left="4680"/>
        <w:jc w:val="left"/>
      </w:pPr>
      <w:r>
        <w:t>pmorrow@draytonkessler.com</w:t>
      </w:r>
    </w:p>
    <w:p>
      <w:pPr>
        <w:spacing w:line="240" w:lineRule="auto" w:after="0"/>
        <w:ind w:left="4680"/>
        <w:jc w:val="left"/>
      </w:pPr>
      <w:r>
        <w:t>aniles@draytonkessler.com</w:t>
      </w:r>
    </w:p>
    <w:p>
      <w:pPr>
        <w:spacing w:line="240" w:lineRule="auto" w:after="0"/>
        <w:ind w:left="4680"/>
        <w:jc w:val="left"/>
      </w:pPr>
    </w:p>
    <w:p>
      <w:pPr>
        <w:spacing w:line="240" w:lineRule="auto" w:after="0"/>
        <w:ind w:left="4680"/>
        <w:jc w:val="left"/>
      </w:pPr>
      <w:r>
        <w:rPr>
          <w:i/>
        </w:rPr>
        <w:t>Counsel for Plaintiff Vantage Industrial Holdings, Inc.</w:t>
      </w:r>
    </w:p>
    <w:p>
      <w:pPr>
        <w:spacing w:line="240" w:lineRule="auto" w:after="0"/>
        <w:jc w:val="both"/>
      </w:pPr>
    </w:p>
    <w:p>
      <w:r>
        <w:br w:type="page"/>
      </w:r>
    </w:p>
    <w:p>
      <w:pPr>
        <w:spacing w:line="240" w:lineRule="auto" w:after="240"/>
        <w:jc w:val="center"/>
      </w:pPr>
      <w:r>
        <w:rPr>
          <w:b/>
        </w:rPr>
        <w:t>IN THE UNITED STATES DISTRICT COURT</w:t>
        <w:br/>
        <w:t>FOR THE WESTERN DISTRICT OF PENNSYLVANIA</w:t>
      </w:r>
    </w:p>
    <w:tbl>
      <w:tblPr>
        <w:tblW w:type="dxa" w:w="9360"/>
        <w:tblLayout w:type="fixed"/>
        <w:tblLook w:firstColumn="1" w:firstRow="1" w:lastColumn="0" w:lastRow="0" w:noHBand="0" w:noVBand="1" w:val="04A0"/>
        <w:jc w:val="center"/>
        <w:tblBorders>
          <w:top w:val="nil" w:sz="4" w:color="000000"/>
          <w:left w:val="nil" w:sz="4" w:color="000000"/>
          <w:bottom w:val="nil" w:sz="4" w:color="000000"/>
          <w:right w:val="nil" w:sz="4" w:color="000000"/>
          <w:insideH w:val="nil" w:sz="4" w:color="000000"/>
          <w:insideV w:val="nil" w:sz="4" w:color="000000"/>
        </w:tblBorders>
      </w:tblPr>
      <w:tblGrid>
        <w:gridCol w:w="5040"/>
        <w:gridCol w:w="4320"/>
      </w:tblGrid>
      <w:tr>
        <w:tc>
          <w:tcPr>
            <w:tcW w:type="dxa" w:w="5040"/>
            <w:tcBorders>
              <w:right w:val="single" w:sz="6" w:color="000000"/>
              <w:bottom w:val="single" w:sz="6" w:color="000000"/>
            </w:tcBorders>
          </w:tcPr>
          <w:p>
            <w:pPr>
              <w:jc w:val="left"/>
            </w:pPr>
            <w:r>
              <w:rPr>
                <w:b/>
              </w:rPr>
            </w:r>
            <w:r>
              <w:rPr>
                <w:b/>
                <w:sz w:val="24"/>
              </w:rPr>
              <w:t>VANTAGE INDUSTRIAL</w:t>
            </w:r>
          </w:p>
          <w:p>
            <w:pPr>
              <w:jc w:val="left"/>
            </w:pPr>
            <w:r>
              <w:rPr>
                <w:b/>
                <w:sz w:val="24"/>
              </w:rPr>
              <w:t>HOLDINGS, INC.,</w:t>
            </w:r>
          </w:p>
          <w:p>
            <w:pPr>
              <w:jc w:val="left"/>
            </w:pPr>
            <w:r>
              <w:rPr>
                <w:sz w:val="24"/>
              </w:rPr>
              <w:t>a Delaware corporation,</w:t>
            </w:r>
          </w:p>
          <w:p>
            <w:pPr>
              <w:jc w:val="left"/>
            </w:pPr>
          </w:p>
          <w:p>
            <w:pPr>
              <w:jc w:val="left"/>
            </w:pPr>
            <w:r>
              <w:rPr>
                <w:sz w:val="24"/>
              </w:rPr>
              <w:t xml:space="preserve">                    Plaintiff,</w:t>
            </w:r>
          </w:p>
          <w:p>
            <w:pPr>
              <w:jc w:val="left"/>
            </w:pPr>
          </w:p>
          <w:p>
            <w:pPr>
              <w:jc w:val="left"/>
            </w:pPr>
            <w:r>
              <w:rPr>
                <w:sz w:val="24"/>
              </w:rPr>
              <w:t xml:space="preserve">          v.</w:t>
            </w:r>
          </w:p>
          <w:p>
            <w:pPr>
              <w:jc w:val="left"/>
            </w:pPr>
          </w:p>
          <w:p>
            <w:pPr>
              <w:jc w:val="left"/>
            </w:pPr>
            <w:r>
              <w:rPr>
                <w:b/>
                <w:sz w:val="24"/>
              </w:rPr>
              <w:t>CORBIN MACHINING &amp;</w:t>
            </w:r>
          </w:p>
          <w:p>
            <w:pPr>
              <w:jc w:val="left"/>
            </w:pPr>
            <w:r>
              <w:rPr>
                <w:b/>
                <w:sz w:val="24"/>
              </w:rPr>
              <w:t>FABRICATION, LLC,</w:t>
            </w:r>
          </w:p>
          <w:p>
            <w:pPr>
              <w:jc w:val="left"/>
            </w:pPr>
            <w:r>
              <w:rPr>
                <w:sz w:val="24"/>
              </w:rPr>
              <w:t>an Ohio limited liability company,</w:t>
            </w:r>
          </w:p>
          <w:p>
            <w:pPr>
              <w:jc w:val="left"/>
            </w:pPr>
          </w:p>
          <w:p>
            <w:pPr>
              <w:jc w:val="left"/>
            </w:pPr>
            <w:r>
              <w:rPr>
                <w:sz w:val="24"/>
              </w:rPr>
              <w:t xml:space="preserve">                    Defendant.</w:t>
            </w:r>
          </w:p>
        </w:tc>
        <w:tc>
          <w:tcPr>
            <w:tcW w:type="dxa" w:w="4320"/>
          </w:tcPr>
          <w:p>
            <w:pPr>
              <w:ind w:left="288"/>
              <w:jc w:val="left"/>
            </w:pPr>
            <w:r/>
          </w:p>
          <w:p>
            <w:pPr>
              <w:ind w:left="288"/>
              <w:jc w:val="left"/>
            </w:pPr>
            <w:r>
              <w:rPr>
                <w:sz w:val="24"/>
              </w:rPr>
              <w:t>Civil Action No.</w:t>
            </w:r>
          </w:p>
          <w:p>
            <w:pPr>
              <w:ind w:left="288"/>
              <w:jc w:val="left"/>
            </w:pPr>
            <w:r>
              <w:rPr>
                <w:sz w:val="24"/>
              </w:rPr>
              <w:t>2:24-cv-00831-CAR</w:t>
            </w:r>
          </w:p>
          <w:p>
            <w:pPr>
              <w:ind w:left="288"/>
              <w:jc w:val="left"/>
            </w:pPr>
          </w:p>
          <w:p>
            <w:pPr>
              <w:ind w:left="288"/>
              <w:jc w:val="left"/>
            </w:pPr>
            <w:r>
              <w:rPr>
                <w:sz w:val="24"/>
              </w:rPr>
              <w:t>Hon. Christine A. Radford,</w:t>
            </w:r>
          </w:p>
          <w:p>
            <w:pPr>
              <w:ind w:left="288"/>
              <w:jc w:val="left"/>
            </w:pPr>
            <w:r>
              <w:rPr>
                <w:sz w:val="24"/>
              </w:rPr>
              <w:t>U.S. District Judge</w:t>
            </w:r>
          </w:p>
          <w:p>
            <w:pPr>
              <w:ind w:left="288"/>
              <w:jc w:val="left"/>
            </w:pPr>
          </w:p>
          <w:p>
            <w:pPr>
              <w:ind w:left="288"/>
              <w:jc w:val="left"/>
            </w:pPr>
            <w:r>
              <w:rPr>
                <w:sz w:val="24"/>
              </w:rPr>
              <w:t>Hon. David P. Sheehan,</w:t>
            </w:r>
          </w:p>
          <w:p>
            <w:pPr>
              <w:ind w:left="288"/>
              <w:jc w:val="left"/>
            </w:pPr>
            <w:r>
              <w:rPr>
                <w:sz w:val="24"/>
              </w:rPr>
              <w:t>U.S. Magistrate Judge</w:t>
            </w:r>
          </w:p>
          <w:p>
            <w:pPr>
              <w:ind w:left="288"/>
              <w:jc w:val="left"/>
            </w:pPr>
          </w:p>
          <w:p>
            <w:pPr>
              <w:ind w:left="288"/>
              <w:jc w:val="left"/>
            </w:pPr>
            <w:r>
              <w:rPr>
                <w:b/>
                <w:sz w:val="24"/>
              </w:rPr>
              <w:t>Filed Electronically</w:t>
            </w:r>
          </w:p>
        </w:tc>
      </w:tr>
    </w:tbl>
    <w:p>
      <w:pPr>
        <w:spacing w:line="240" w:lineRule="auto" w:after="120"/>
        <w:jc w:val="both"/>
      </w:pPr>
    </w:p>
    <w:p>
      <w:pPr>
        <w:spacing w:line="240" w:lineRule="auto" w:after="240"/>
        <w:jc w:val="center"/>
      </w:pPr>
      <w:r>
        <w:rPr>
          <w:b/>
        </w:rPr>
        <w:t>PLAINTIFF VANTAGE INDUSTRIAL HOLDINGS, INC.'S MEMORANDUM OF LAW IN SUPPORT OF ITS MOTION TO COMPEL DISCOVERY RESPONSES</w:t>
      </w:r>
    </w:p>
    <w:p>
      <w:pPr>
        <w:keepNext/>
        <w:spacing w:line="240" w:lineRule="auto" w:after="120" w:before="120"/>
        <w:jc w:val="left"/>
      </w:pPr>
      <w:r>
        <w:rPr>
          <w:b/>
        </w:rPr>
        <w:t>I.</w:t>
        <w:tab/>
        <w:t>INTRODUCTION</w:t>
      </w:r>
    </w:p>
    <w:p>
      <w:pPr>
        <w:spacing w:line="480" w:lineRule="auto" w:after="0"/>
        <w:ind w:firstLine="720"/>
        <w:jc w:val="both"/>
      </w:pPr>
      <w:r>
        <w:t>This is a fraud case about quality records. Vantage alleges that Corbin knowingly shipped out-of-tolerance turbine housings and certified them as conforming. The documents that will prove or disprove that allegation — Corbin's CMM inspection data, metallurgical test results, nonconformance reports, Certificates of Conformance, and internal communications about quality — are exclusively in Corbin's possession. Corbin has produced none of them, save twelve CoCs and a single email that, standing alone, corroborates Vantage's core allegation.</w:t>
      </w:r>
    </w:p>
    <w:p>
      <w:pPr>
        <w:spacing w:line="480" w:lineRule="auto" w:after="0"/>
        <w:ind w:firstLine="720"/>
        <w:jc w:val="both"/>
      </w:pPr>
      <w:r>
        <w:t>That email is the reason this motion cannot wait. On September 14, 2022, Corbin's Quality Control Manager, Gerald Foss, wrote to Corbin's sole member-manager, Raymond T. Corbin, that "another batch of 15 housings . . . didn't pass CMM inspection but I've cleared them for shipment per your instruction," that bore diameters were running "0.003 to 0.005 over the ±0.002 tolerance," that this was "the third time this quarter we've shipped housings to Vantage with CMM failures on this spec," and that he had "already signed off on the CoC for this shipment as conforming." (Ex. 5, CORBIN-000247.) Yet Corbin, in interrogatory answers verified by Mr. Corbin himself, swore it is "not aware of any parts that 'failed' internal quality inspection and were thereafter shipped to Vantage." (Ex. 3-A, Resp. to Interrog. No. 18.) And Corbin refuses to produce the QC records, QC communications, and CoC process documents that would reveal how many other batches were handled the same way.</w:t>
      </w:r>
    </w:p>
    <w:p>
      <w:pPr>
        <w:spacing w:line="480" w:lineRule="auto" w:after="0"/>
        <w:ind w:firstLine="720"/>
        <w:jc w:val="both"/>
      </w:pPr>
      <w:r>
        <w:t>Corbin's responses are not a good-faith effort to comply with Rules 33 and 34. Corbin rewrote Vantage's requests before "answering" them; asserted privilege over whole categories of business records without a log; invoked trade secrecy without ever seeking a protective order; declined to produce its retention policies while admitting that 74.5% of the CoCs it was contractually bound to keep are missing; and refused to produce its testing laboratory's reports on the very steel at issue. Two and a half months of conferral produced nothing but a broken promise to serve a privilege log. With fact discovery closing on March 31, 2025, Vantage respectfully asks the Court to compel complete responses.</w:t>
      </w:r>
    </w:p>
    <w:p>
      <w:pPr>
        <w:keepNext/>
        <w:spacing w:line="240" w:lineRule="auto" w:after="120" w:before="120"/>
        <w:jc w:val="left"/>
      </w:pPr>
      <w:r>
        <w:rPr>
          <w:b/>
        </w:rPr>
        <w:t>II.</w:t>
        <w:tab/>
        <w:t>FACTUAL AND PROCEDURAL BACKGROUND</w:t>
      </w:r>
    </w:p>
    <w:p>
      <w:pPr>
        <w:keepNext/>
        <w:spacing w:line="240" w:lineRule="auto" w:after="120" w:before="120"/>
        <w:jc w:val="left"/>
      </w:pPr>
      <w:r>
        <w:rPr>
          <w:b/>
        </w:rPr>
        <w:t>A.</w:t>
        <w:tab/>
        <w:t>The MSA and Corbin's Quality and Retention Obligations</w:t>
      </w:r>
    </w:p>
    <w:p>
      <w:pPr>
        <w:spacing w:line="480" w:lineRule="auto" w:after="0"/>
        <w:ind w:firstLine="720"/>
        <w:jc w:val="both"/>
      </w:pPr>
      <w:r>
        <w:t>Under the MSA, Corbin agreed to manufacture turbine housings in strict conformance with Vantage Engineering Specification VES-4400, Rev. C, including a ±0.002-inch tolerance on critical surfaces, minimum tensile strength of 75 ksi, and Charpy V-notch impact toughness of at least 40 ft-lbs at -20°F. (Ex. 6, MSA §§ 4.2.1–4.2.2.) Corbin agreed to perform CMM dimensional inspection and metallurgical testing before every shipment; to keep "complete and accurate records" of every test, including the tester, date, and result; to quarantine and document all nonconforming product; and never to ship nonconforming product. (</w:t>
      </w:r>
      <w:r>
        <w:rPr>
          <w:i/>
        </w:rPr>
        <w:t>Id.</w:t>
      </w:r>
      <w:r>
        <w:t xml:space="preserve"> § 4.2.3.) Every shipment was to be accompanied by a CoC signed by Corbin's Quality Control Manager warranting conformance. (</w:t>
      </w:r>
      <w:r>
        <w:rPr>
          <w:i/>
        </w:rPr>
        <w:t>Id.</w:t>
      </w:r>
      <w:r>
        <w:t xml:space="preserve"> § 4.2.4.)</w:t>
      </w:r>
    </w:p>
    <w:p>
      <w:pPr>
        <w:spacing w:line="480" w:lineRule="auto" w:after="0"/>
        <w:ind w:firstLine="720"/>
        <w:jc w:val="both"/>
      </w:pPr>
      <w:r>
        <w:t>Corbin further agreed to retain all "Quality Records" — expressly including test results, inspection reports, CoCs, nonconformance reports, corrective action records, and subcontractor test reports — for seven years after shipment, and not to destroy any of them without Vantage's written consent. (</w:t>
      </w:r>
      <w:r>
        <w:rPr>
          <w:i/>
        </w:rPr>
        <w:t>Id.</w:t>
      </w:r>
      <w:r>
        <w:t xml:space="preserve"> §§ 9.4.1, 9.4.3.) Corbin agreed that its obligation to obtain and produce its testing subcontractors' records "shall not be excused by any confidentiality or non-disclosure agreement" with those subcontractors (</w:t>
      </w:r>
      <w:r>
        <w:rPr>
          <w:i/>
        </w:rPr>
        <w:t>id.</w:t>
      </w:r>
      <w:r>
        <w:t xml:space="preserve"> § 14.3.3), and that its contractual audit obligations do not limit discovery under the Federal Rules (</w:t>
      </w:r>
      <w:r>
        <w:rPr>
          <w:i/>
        </w:rPr>
        <w:t>id.</w:t>
      </w:r>
      <w:r>
        <w:t xml:space="preserve"> § 14.3.4).</w:t>
      </w:r>
    </w:p>
    <w:p>
      <w:pPr>
        <w:keepNext/>
        <w:spacing w:line="240" w:lineRule="auto" w:after="120" w:before="120"/>
        <w:jc w:val="left"/>
      </w:pPr>
      <w:r>
        <w:rPr>
          <w:b/>
        </w:rPr>
        <w:t>B.</w:t>
        <w:tab/>
        <w:t>The Discovery Requests and Corbin's Responses</w:t>
      </w:r>
    </w:p>
    <w:p>
      <w:pPr>
        <w:spacing w:line="480" w:lineRule="auto" w:after="0"/>
        <w:ind w:firstLine="720"/>
        <w:jc w:val="both"/>
      </w:pPr>
      <w:r>
        <w:t>Vantage served twenty-five interrogatories and forty-two document requests on June 17, 2024. (Exs. 1, 2.) Corbin served responses on July 31, 2024, together with a 312-page production (CORBIN-000001 to -000312), consisting principally of the executed MSA, purchase-order confirmations, invoice summaries, one company-wide organizational chart, insurance declaration pages, summary financial information, public Articles of Organization, twelve CoCs, and the Foss email. (Ex. 3-B at Summary of Production.) Corbin's responses incorporate nine "General Objections" into every answer. It refused to produce any document at all in response to the overwhelming majority of the requests.</w:t>
      </w:r>
    </w:p>
    <w:p>
      <w:pPr>
        <w:spacing w:line="480" w:lineRule="auto" w:after="0"/>
        <w:ind w:firstLine="720"/>
        <w:jc w:val="both"/>
      </w:pPr>
      <w:r>
        <w:t>A comparison of the responses to the requests reveals a more fundamental problem: the request text reproduced in Corbin's responses is not the text Vantage served. For example, Vantage's Interrogatory No. 1 asked Corbin to identify the persons involved in negotiating the MSA; Corbin's response "answers" an interrogatory asking it to identify its own form of organization. Vantage's Interrogatory No. 16 asked for Raymond T. Corbin's role in the quality-control process; Corbin's response recites the VES-4400 dimensional tolerance. Vantage's Request No. 15 sought Raymond Corbin–Gerald Foss communications for a defined Relevant Period; Corbin's version omits the time limit and then objects that the request "contains no temporal limitation." The same pattern pervades both sets of responses, as detailed in Appendix A.</w:t>
      </w:r>
    </w:p>
    <w:p>
      <w:pPr>
        <w:keepNext/>
        <w:spacing w:line="240" w:lineRule="auto" w:after="120" w:before="120"/>
        <w:jc w:val="left"/>
      </w:pPr>
      <w:r>
        <w:rPr>
          <w:b/>
        </w:rPr>
        <w:t>C.</w:t>
        <w:tab/>
        <w:t>The Meet-and-Confer Process</w:t>
      </w:r>
    </w:p>
    <w:p>
      <w:pPr>
        <w:spacing w:line="480" w:lineRule="auto" w:after="0"/>
        <w:ind w:firstLine="720"/>
        <w:jc w:val="both"/>
      </w:pPr>
      <w:r>
        <w:t>On August 14, 2024, Vantage's counsel sent Corbin's counsel a detailed deficiency letter, requested supplementation by September 4, 2024, offered to enter a stipulated protective order, and requested a telephone conference. (Ex. 4, Letter 1.) On August 28, 2024, counsel conferred by telephone for approximately ninety minutes. Corbin's counsel declined to withdraw any objection or supplement any response, asserted that the Foss email had been "taken out of context" without explaining how, maintained the "millions of pages" burden claim without any support, and stated that AMT communications could not be produced without AMT's consent. Counsel acknowledged that the failure to serve a privilege log was an "oversight" and committed to serve one within thirty days. (</w:t>
      </w:r>
      <w:r>
        <w:rPr>
          <w:i/>
        </w:rPr>
        <w:t>Id.</w:t>
      </w:r>
      <w:r>
        <w:t>, Letter 2.) Vantage memorialized that conference on September 9, 2024, and sent a final notice on October 7, 2024, setting an October 14 deadline. (</w:t>
      </w:r>
      <w:r>
        <w:rPr>
          <w:i/>
        </w:rPr>
        <w:t>Id.</w:t>
      </w:r>
      <w:r>
        <w:t>, Letters 2–3.) Corbin never responded in writing, never accepted or rejected the offered protective order, has not supplemented a single response, and has not served a privilege log.</w:t>
      </w:r>
    </w:p>
    <w:p>
      <w:pPr>
        <w:keepNext/>
        <w:spacing w:line="240" w:lineRule="auto" w:after="120" w:before="120"/>
        <w:jc w:val="left"/>
      </w:pPr>
      <w:r>
        <w:rPr>
          <w:b/>
        </w:rPr>
        <w:t>III.</w:t>
        <w:tab/>
        <w:t>LEGAL STANDARD</w:t>
      </w:r>
    </w:p>
    <w:p>
      <w:pPr>
        <w:spacing w:line="480" w:lineRule="auto" w:after="0"/>
        <w:ind w:firstLine="720"/>
        <w:jc w:val="both"/>
      </w:pPr>
      <w:r>
        <w:t xml:space="preserve">Parties may obtain discovery of "any nonprivileged matter that is relevant to any party's claim or defense and proportional to the needs of the case." Fed. R. Civ. P. 26(b)(1). This Court has already found that, given the amount in controversy, the fraudulent-concealment allegations, and the technical complexity of this case, "broad discovery is anticipated and appropriate." (CMO § 4.1.) A party moving to compel bears the initial burden of showing relevance; the burden then shifts to the objecting party to show specifically why discovery should not be had. </w:t>
      </w:r>
      <w:r>
        <w:rPr>
          <w:i/>
        </w:rPr>
        <w:t>Josephs v. Harris Corp.</w:t>
      </w:r>
      <w:r>
        <w:t xml:space="preserve">, 677 F.2d 985, 992 (3d Cir. 1982) ("the mere statement by a party that the interrogatory was 'overly broad, burdensome, oppressive and irrelevant' is not adequate to voice a successful objection"). Interrogatory objections must be stated "with specificity," and any ground not timely stated is waived. Fed. R. Civ. P. 33(b)(4). Document-request objections must be stated with specificity and "must state whether any responsive materials are being withheld on the basis of that objection." Fed. R. Civ. P. 34(b)(2)(B)–(C); </w:t>
      </w:r>
      <w:r>
        <w:rPr>
          <w:i/>
        </w:rPr>
        <w:t>accord</w:t>
      </w:r>
      <w:r>
        <w:t xml:space="preserve"> CMO § 4.3. An "evasive or incomplete disclosure, answer, or response must be treated as a failure to disclose, answer, or respond." Fed. R. Civ. P. 37(a)(4).</w:t>
      </w:r>
    </w:p>
    <w:p>
      <w:pPr>
        <w:keepNext/>
        <w:spacing w:line="240" w:lineRule="auto" w:after="120" w:before="120"/>
        <w:jc w:val="left"/>
      </w:pPr>
      <w:r>
        <w:rPr>
          <w:b/>
        </w:rPr>
        <w:t>IV.</w:t>
        <w:tab/>
        <w:t>ARGUMENT</w:t>
      </w:r>
    </w:p>
    <w:p>
      <w:pPr>
        <w:keepNext/>
        <w:spacing w:line="240" w:lineRule="auto" w:after="120" w:before="120"/>
        <w:jc w:val="left"/>
      </w:pPr>
      <w:r>
        <w:rPr>
          <w:b/>
        </w:rPr>
        <w:t>A.</w:t>
        <w:tab/>
        <w:t>Corbin Must Answer the Interrogatories and Requests Vantage Actually Served, and Its Objections to the Unanswered Requests Are Waived.</w:t>
      </w:r>
    </w:p>
    <w:p>
      <w:pPr>
        <w:spacing w:line="480" w:lineRule="auto" w:after="0"/>
        <w:ind w:firstLine="720"/>
        <w:jc w:val="both"/>
      </w:pPr>
      <w:r>
        <w:t>Rule 33(b)(3) requires that "[e]ach interrogatory must . . . be answered separately and fully," and Rule 34(b)(2)(B) requires a response to "each item or category." A responding party may not substitute questions of its own choosing for those propounded. Yet that is what Corbin did. As Appendix A shows, of Vantage's twenty-five served interrogatories, Corbin's responses correspond in substance to only a handful (principally Nos. 7, 12, and 18, and in part Nos. 6, 11, and 17). Served Interrogatory Nos. 1–5, 10, 14, 16, and 20–25 — covering, among other things, the persons involved in manufacturing and shipping (No. 2), shipment-release authority (No. 14), Raymond T. Corbin's role in quality decisions (No. 16), ESI repositories (No. 20), document destruction (No. 21), Corbin's contention that the housings conformed (No. 22), and its trial witnesses (No. 25) — received no response at all. The same is true of served Request Nos. 16, 17, 24, 26, 27, 35, 38, and 40, among others, and many other requests were answered only as to a narrowed, rewritten version.</w:t>
      </w:r>
    </w:p>
    <w:p>
      <w:pPr>
        <w:spacing w:line="480" w:lineRule="auto" w:after="0"/>
        <w:ind w:firstLine="720"/>
        <w:jc w:val="both"/>
      </w:pPr>
      <w:r>
        <w:t>Because Corbin failed to state any objection to the interrogatories as actually served, its objections to them are waived. Fed. R. Civ. P. 33(b)(4). Courts apply the same principle to untimely objections to Rule 34 requests, and Corbin has offered no good cause. At a minimum, Corbin should be ordered to answer and respond to every interrogatory and request as served, without the benefit of objections it never lodged to the actual text. Whatever the explanation for the discrepancy, it is Corbin's obligation — not Vantage's — to respond to the discovery that was served.</w:t>
      </w:r>
    </w:p>
    <w:p>
      <w:pPr>
        <w:keepNext/>
        <w:spacing w:line="240" w:lineRule="auto" w:after="120" w:before="120"/>
        <w:jc w:val="left"/>
      </w:pPr>
      <w:r>
        <w:rPr>
          <w:b/>
        </w:rPr>
        <w:t>B.</w:t>
        <w:tab/>
        <w:t>Corbin's Privilege and Work-Product Objections Are Waived by Its Failure to Serve a Privilege Log.</w:t>
      </w:r>
    </w:p>
    <w:p>
      <w:pPr>
        <w:spacing w:line="480" w:lineRule="auto" w:after="0"/>
        <w:ind w:firstLine="720"/>
        <w:jc w:val="both"/>
      </w:pPr>
      <w:r>
        <w:t>A party withholding otherwise discoverable information as privileged must "expressly make the claim" and "describe the nature of the documents . . . not produced" so as to "enable other parties to assess the claim." Fed. R. Civ. P. 26(b)(5)(A). This Court's CMO goes further: privilege logs "must be served concurrently with discovery responses or within fourteen (14) days thereafter," failure to do so "may be deemed a waiver," and "[t]he Court will strictly enforce this requirement." (CMO § 4.4.) Corbin's log was due no later than August 14, 2024. Two months later, none has been served, despite counsel's admission of the "oversight" and a self-imposed September 28 deadline that came and went without explanation.</w:t>
      </w:r>
    </w:p>
    <w:p>
      <w:pPr>
        <w:spacing w:line="480" w:lineRule="auto" w:after="0"/>
        <w:ind w:firstLine="720"/>
        <w:jc w:val="both"/>
      </w:pPr>
      <w:r>
        <w:t xml:space="preserve">Corbin asserted privilege or work product to withhold documents or information responsive to Request Nos. 5, 7, 13, 14, 15, 21, 39, and 41 (served numbering; </w:t>
      </w:r>
      <w:r>
        <w:rPr>
          <w:i/>
        </w:rPr>
        <w:t>see</w:t>
      </w:r>
      <w:r>
        <w:t xml:space="preserve"> App. A) and Interrogatory Nos. 2, 12, 15, 20, and 21 (as responded to), and its General Objection No. 1 purports to reserve privilege as to every request. Boilerplate privilege objections unaccompanied by a timely log do not preserve the privilege. </w:t>
      </w:r>
      <w:r>
        <w:rPr>
          <w:i/>
        </w:rPr>
        <w:t>See Burlington N. &amp; Santa Fe Ry. Co. v. U.S. Dist. Ct.</w:t>
      </w:r>
      <w:r>
        <w:t xml:space="preserve">, 408 F.3d 1142, 1149 (9th Cir. 2005) (boilerplate objections insufficient to assert privilege; untimely log may result in waiver). The party asserting privilege bears the burden of establishing it, and because privileges obstruct the search for truth they are construed narrowly. </w:t>
      </w:r>
      <w:r>
        <w:rPr>
          <w:i/>
        </w:rPr>
        <w:t>Westinghouse Elec. Corp. v. Republic of the Philippines</w:t>
      </w:r>
      <w:r>
        <w:t>, 951 F.2d 1414, 1423–24 (3d Cir. 1991). Given the CMO's express warning, Corbin's concession, and its disregard of its own promised deadline, the Court should deem Corbin's privilege and work-product objections waived.</w:t>
      </w:r>
    </w:p>
    <w:p>
      <w:pPr>
        <w:spacing w:line="480" w:lineRule="auto" w:after="0"/>
        <w:ind w:firstLine="720"/>
        <w:jc w:val="both"/>
      </w:pPr>
      <w:r>
        <w:t xml:space="preserve">The objections also fail on their own terms. Corbin claims privilege over </w:t>
      </w:r>
      <w:r>
        <w:rPr>
          <w:i/>
        </w:rPr>
        <w:t>all</w:t>
      </w:r>
      <w:r>
        <w:t xml:space="preserve"> communications between its quality-control and production departments (Req. No. 14) and </w:t>
      </w:r>
      <w:r>
        <w:rPr>
          <w:i/>
        </w:rPr>
        <w:t>all</w:t>
      </w:r>
      <w:r>
        <w:t xml:space="preserve"> communications between Mr. Corbin and Mr. Foss (Req. No. 15) because some such communications "may" involve counsel. But the attorney-client privilege protects only communications made for the purpose of obtaining legal advice, </w:t>
      </w:r>
      <w:r>
        <w:rPr>
          <w:i/>
        </w:rPr>
        <w:t>Westinghouse</w:t>
      </w:r>
      <w:r>
        <w:t xml:space="preserve">, 951 F.2d at 1423–24, and never the underlying facts, </w:t>
      </w:r>
      <w:r>
        <w:rPr>
          <w:i/>
        </w:rPr>
        <w:t>Upjohn Co. v. United States</w:t>
      </w:r>
      <w:r>
        <w:t xml:space="preserve">, 449 U.S. 383, 395–96 (1981). Communications among shop-floor quality personnel about CMM results are ordinary business records — as the Foss email, which Corbin itself produced without any claim of privilege, illustrates. Likewise, documents prepared in the ordinary course of business — nonconformance reports, audits, management reviews, and corrective-action records that ISO 9001 and MSA § 4.2.3 require Corbin to generate — are not work product merely because litigation later ensued. </w:t>
      </w:r>
      <w:r>
        <w:rPr>
          <w:i/>
        </w:rPr>
        <w:t>See Martin v. Bally's Park Place Hotel &amp; Casino</w:t>
      </w:r>
      <w:r>
        <w:t xml:space="preserve">, 983 F.2d 1252, 1260–61 (3d Cir. 1993). Corbin's claim that its entire root-cause investigation and all remedial measures (Req. Nos. 13, 39) were "initiated and supervised by counsel" is unsupported by any declaration, and in any event cannot shield pre-existing records or engineering facts. If the Court declines to find waiver, it should order a compliant log within seven days and review withheld documents </w:t>
      </w:r>
      <w:r>
        <w:rPr>
          <w:i/>
        </w:rPr>
        <w:t>in camera</w:t>
      </w:r>
      <w:r>
        <w:t>.</w:t>
      </w:r>
    </w:p>
    <w:p>
      <w:pPr>
        <w:keepNext/>
        <w:spacing w:line="240" w:lineRule="auto" w:after="120" w:before="120"/>
        <w:jc w:val="left"/>
      </w:pPr>
      <w:r>
        <w:rPr>
          <w:b/>
        </w:rPr>
        <w:t>C.</w:t>
        <w:tab/>
        <w:t>Corbin's Boilerplate "General Objections" Should Be Stricken.</w:t>
      </w:r>
    </w:p>
    <w:p>
      <w:pPr>
        <w:spacing w:line="480" w:lineRule="auto" w:after="0"/>
        <w:ind w:firstLine="720"/>
        <w:jc w:val="both"/>
      </w:pPr>
      <w:r>
        <w:t>Corbin prefaces each set of responses with a list of General Objections that are "incorporated by reference into every specific response" and "preserve[]" objections "whether or not" restated. (Ex. 3-B, Gen. Obj. ¶ 9; Ex. 3-A at Gen. Obj.) Such objections are precisely what Rules 33(b)(4) and 34(b)(2)(B)–(C) prohibit, and the CMO warns that "[g]eneral or boilerplate objections are disfavored by this Court and may be deemed waived." (CMO § 4.3.) Worse, Corbin's responses repeatedly state that documents are produced "subject to and without waiving" these objections, without stating whether anything is being withheld — leaving Vantage unable to determine whether, for example, the "certain" purchase-order confirmations (Req. No. 2), "certain" formal correspondence (Req. No. 28), or twelve-page set of agendas and sign-in sheets (Req. No. 29) are complete. The Court should overrule the General Objections in their entirety and require Corbin to state, for each request, whether responsive materials are being withheld and on what basis.</w:t>
      </w:r>
    </w:p>
    <w:p>
      <w:pPr>
        <w:keepNext/>
        <w:spacing w:line="240" w:lineRule="auto" w:after="120" w:before="120"/>
        <w:jc w:val="left"/>
      </w:pPr>
      <w:r>
        <w:rPr>
          <w:b/>
        </w:rPr>
        <w:t>D.</w:t>
        <w:tab/>
        <w:t>Corbin's Burden, Overbreadth, and Proportionality Objections Are Unsupported.</w:t>
      </w:r>
    </w:p>
    <w:p>
      <w:pPr>
        <w:spacing w:line="480" w:lineRule="auto" w:after="0"/>
        <w:ind w:firstLine="720"/>
        <w:jc w:val="both"/>
      </w:pPr>
      <w:r>
        <w:t xml:space="preserve">An objecting party claiming undue burden must "show specifically how . . . each interrogatory is not relevant or how each question is overly broad, burdensome or oppressive," typically with affidavits or other evidence revealing the nature of the burden. </w:t>
      </w:r>
      <w:r>
        <w:rPr>
          <w:i/>
        </w:rPr>
        <w:t>Josephs</w:t>
      </w:r>
      <w:r>
        <w:t>, 677 F.2d at 991–92. Corbin has offered no declaration, no estimate of cost, and no description of how its records are kept. Its central claim — that producing QC records for Vantage's parts would require reviewing "millions of pages" (Resp. to Req. No. 5) — is implausible on its face. The requests are limited to one customer, one part family, one specification, 47 purchase orders, and roughly 4,280 units shipped over 33 months. Corbin was contractually required to maintain those records in an organized, retrievable form and to produce them to Vantage within fifteen business days of a request. (Ex. 6, MSA §§ 4.2.3, 9.4.2, 9.4.4.) A party cannot credibly claim that producing records it promised to keep ready for production is unduly burdensome. Corbin also claims that reviewing "all line-item invoices" (Req. No. 3) and shipping documents is disproportionate, yet those records establish which lots, serial numbers, and CoCs went to Vantage and are indispensable to tracing the 38 failed units.</w:t>
      </w:r>
    </w:p>
    <w:p>
      <w:pPr>
        <w:spacing w:line="480" w:lineRule="auto" w:after="0"/>
        <w:ind w:firstLine="720"/>
        <w:jc w:val="both"/>
      </w:pPr>
      <w:r>
        <w:t>Each proportionality factor favors production. The amount in controversy exceeds $14.7 million; Corbin's contract with Vantage was worth approximately $23.6 million; the claims involve safety-critical turbine components and allegations of fraud; and Corbin alone holds the information. Fed. R. Civ. P. 26(b)(1); CMO § 4.1. Corbin's evasive responses — for instance, its answer to served Interrogatory No. 17 that it "maintained quality-control procedures designed to ensure compliance" — do not describe any deviation at all, and must be treated as failures to answer. Fed. R. Civ. P. 37(a)(4).</w:t>
      </w:r>
    </w:p>
    <w:p>
      <w:pPr>
        <w:keepNext/>
        <w:spacing w:line="240" w:lineRule="auto" w:after="120" w:before="120"/>
        <w:jc w:val="left"/>
      </w:pPr>
      <w:r>
        <w:rPr>
          <w:b/>
        </w:rPr>
        <w:t>E.</w:t>
        <w:tab/>
        <w:t>Corbin's Trade-Secret and Confidentiality Objections Do Not Justify Withholding Discovery.</w:t>
      </w:r>
    </w:p>
    <w:p>
      <w:pPr>
        <w:spacing w:line="480" w:lineRule="auto" w:after="0"/>
        <w:ind w:firstLine="720"/>
        <w:jc w:val="both"/>
      </w:pPr>
      <w:r>
        <w:t xml:space="preserve">"[T]here is no absolute privilege for trade secrets and similar confidential information." </w:t>
      </w:r>
      <w:r>
        <w:rPr>
          <w:i/>
        </w:rPr>
        <w:t>Fed. Open Mkt. Comm. v. Merrill</w:t>
      </w:r>
      <w:r>
        <w:t xml:space="preserve">, 443 U.S. 340, 362 (1979) (quotation omitted). The remedy for legitimate confidentiality concerns is a protective order under Rule 26(c), which requires the party seeking protection to show "good cause" through a particularized demonstration that disclosure will cause "a clearly defined and serious injury." </w:t>
      </w:r>
      <w:r>
        <w:rPr>
          <w:i/>
        </w:rPr>
        <w:t>Pansy v. Borough of Stroudsburg</w:t>
      </w:r>
      <w:r>
        <w:t xml:space="preserve">, 23 F.3d 772, 786 (3d Cir. 1994). "Broad allegations of harm, unsubstantiated by specific examples or articulated reasoning, do not satisfy the Rule 26(c) test." </w:t>
      </w:r>
      <w:r>
        <w:rPr>
          <w:i/>
        </w:rPr>
        <w:t>Cipollone v. Liggett Grp., Inc.</w:t>
      </w:r>
      <w:r>
        <w:t>, 785 F.2d 1108, 1121 (3d Cir. 1986). This Court's CMO expressly requires that any trade-secret claim be presented by "a motion for protective order identifying the specific information claimed as a trade secret and the factual and legal basis for such claim." (CMO § 4.7.)</w:t>
      </w:r>
    </w:p>
    <w:p>
      <w:pPr>
        <w:spacing w:line="480" w:lineRule="auto" w:after="0"/>
        <w:ind w:firstLine="720"/>
        <w:jc w:val="both"/>
      </w:pPr>
      <w:r>
        <w:t>Corbin has done none of this. Instead, it has used the absence of a protective order as a reason to withhold its quality manual, SOPs, CMM data, metallurgical results, heat-treatment records, material certifications, calibration records, CoC procedures, and rework records (served Req. Nos. 5–10, 19–20, 23; Interrog. Nos. 3, 5, 8, 11) — while ignoring Vantage's standing offer, first made on August 14, 2024, to enter a stipulated protective order. Corbin cannot object that no protective order exists while refusing to negotiate one. Moreover, much of what Corbin labels proprietary is Vantage's own specification applied to parts Vantage purchased: the test results for Vantage's housings, measured against Vantage's VES-4400 tolerances, are hardly Corbin's trade secrets. And Corbin contractually agreed that Vantage could audit its quality management system, manufacturing processes, and Quality Records without any additional confidentiality agreement. (Ex. 6, MSA § 14.3.2.) The trade-secret objections should be overruled. To the extent the Court finds any category warrants protection, Vantage requests that production proceed under an attorneys'-eyes-only designation pending entry of a stipulated protective order, which Vantage will submit within seven days.</w:t>
      </w:r>
    </w:p>
    <w:p>
      <w:pPr>
        <w:keepNext/>
        <w:spacing w:line="240" w:lineRule="auto" w:after="120" w:before="120"/>
        <w:jc w:val="left"/>
      </w:pPr>
      <w:r>
        <w:rPr>
          <w:b/>
        </w:rPr>
        <w:t>F.</w:t>
        <w:tab/>
        <w:t>Corbin Must Provide a Truthful, Complete Answer to Interrogatory No. 18 and Full Responses Regarding Nonconforming Parts.</w:t>
      </w:r>
    </w:p>
    <w:p>
      <w:pPr>
        <w:spacing w:line="480" w:lineRule="auto" w:after="0"/>
        <w:ind w:firstLine="720"/>
        <w:jc w:val="both"/>
      </w:pPr>
      <w:r>
        <w:t>Rule 33(b)(3) requires a party to answer "fully," under oath, with all information available to it. Corbin's answer to Interrogatory No. 18 — that it is "not aware of any parts that 'failed' internal quality inspection and were thereafter shipped to Vantage" — cannot be reconciled with CORBIN-000247, in which Corbin's Quality Control Manager informs the very officer who verified the answer that fifteen housings failed CMM inspection, were cleared for shipment "per your instruction," and shipped under a CoC he had signed "as conforming," and that this was the "third time this quarter" and the "[s]ame issue as the July run." (Ex. 5.) Corbin's objection that "failed" is vague is untenable when its own Quality Control Manager used that very concept — "didn't pass CMM inspection" — to describe the parts. Its objection that the interrogatory "assumes facts not in evidence" is not a valid discovery objection; discovery exists precisely to establish facts.</w:t>
      </w:r>
    </w:p>
    <w:p>
      <w:pPr>
        <w:spacing w:line="480" w:lineRule="auto" w:after="0"/>
        <w:ind w:firstLine="720"/>
        <w:jc w:val="both"/>
      </w:pPr>
      <w:r>
        <w:t>Corbin's counsel asserted during conferral that the email was "taken out of context," but never identified the context. If Corbin contends the fifteen housings were dispositioned through a material review board or engineering deviation, as its answer hints, it must say so and produce the dispositions — which are themselves responsive to served Interrogatory Nos. 9, 10, and 17 and Request Nos. 7 and 24, all of which Corbin has refused to answer. The Court should order a complete, verified supplemental answer to Interrogatory No. 18 identifying every such part, and full responses to the related interrogatories and requests. Vantage reserves its right to seek relief under Rule 37(c) and Rule 26(g) with respect to the original answer.</w:t>
      </w:r>
    </w:p>
    <w:p>
      <w:pPr>
        <w:keepNext/>
        <w:spacing w:line="240" w:lineRule="auto" w:after="120" w:before="120"/>
        <w:jc w:val="left"/>
      </w:pPr>
      <w:r>
        <w:rPr>
          <w:b/>
        </w:rPr>
        <w:t>G.</w:t>
        <w:tab/>
        <w:t>Corbin Must Produce Its Quality-Control Communications and Records (Req. Nos. 5, 7, 14, 15; Interrog. Nos. 7, 12).</w:t>
      </w:r>
    </w:p>
    <w:p>
      <w:pPr>
        <w:spacing w:line="480" w:lineRule="auto" w:after="0"/>
        <w:ind w:firstLine="720"/>
        <w:jc w:val="both"/>
      </w:pPr>
      <w:r>
        <w:t>These requests go to the heart of the case. The Foss email refers to an earlier discussion of "tooling wear," a "July run" with the same problem, and three shipments with CMM failures in a single quarter. The related QC data, NCRs, and internal emails are the only way to determine the scope of the nonconforming shipments and who knew what, when — the essential elements of Vantage's fraudulent concealment claim. Request No. 14 is limited to communications between two identified departments on four defined topics; Request No. 15 is limited to two custodians, defined subjects, and the Relevant Period. Neither is overbroad. Corbin has not identified its custodians, systems, or volume of data, and has refused to answer the interrogatory asking it to identify its ESI repositories (served Interrog. No. 20). Vantage has no objection to a reasonable ESI protocol with agreed custodians and search terms, but Corbin cannot refuse to search at all. Likewise, Interrogatory No. 7 may be answered by specifying, under Rule 33(d), the particular business records from which the answer can be derived — but Corbin has neither answered nor produced those records.</w:t>
      </w:r>
    </w:p>
    <w:p>
      <w:pPr>
        <w:keepNext/>
        <w:spacing w:line="240" w:lineRule="auto" w:after="120" w:before="120"/>
        <w:jc w:val="left"/>
      </w:pPr>
      <w:r>
        <w:rPr>
          <w:b/>
        </w:rPr>
        <w:t>H.</w:t>
        <w:tab/>
        <w:t>Corbin Must Produce Its Retention Policies and Litigation Hold Information and Explain the Missing Certificates of Conformance (Req. Nos. 22, 31; Interrog. No. 21).</w:t>
      </w:r>
    </w:p>
    <w:p>
      <w:pPr>
        <w:spacing w:line="480" w:lineRule="auto" w:after="0"/>
        <w:ind w:firstLine="720"/>
        <w:jc w:val="both"/>
      </w:pPr>
      <w:r>
        <w:t>Corbin produced CoCs for only 12 of 47 purchase orders and asserts that the remaining 35 "cannot be located after a diligent search." (Resp. to Req. No. 22.) Those CoCs are central to Vantage's claims that Corbin falsely certified conformance, and every one of them falls within the seven-year period during which MSA § 9.4 prohibited their destruction. Corbin has been on notice of Vantage's claims since at least January 2024, when Vantage reported the turbine failures, and this action has been pending since May 20, 2024.</w:t>
      </w:r>
    </w:p>
    <w:p>
      <w:pPr>
        <w:spacing w:line="480" w:lineRule="auto" w:after="0"/>
        <w:ind w:firstLine="720"/>
        <w:jc w:val="both"/>
      </w:pPr>
      <w:r>
        <w:t xml:space="preserve">Under these circumstances, Corbin's refusal to produce its document retention and destruction policies on relevance grounds (Resp. to Req. No. 31) is untenable. Whether the missing CoCs were lost, destroyed in the ordinary course, or destroyed after a duty to preserve arose bears directly on Vantage's claims, on the reliability of Corbin's production, and on potential remedies. </w:t>
      </w:r>
      <w:r>
        <w:rPr>
          <w:i/>
        </w:rPr>
        <w:t>See Bull v. United Parcel Serv., Inc.</w:t>
      </w:r>
      <w:r>
        <w:t>, 665 F.3d 68, 73 (3d Cir. 2012) (spoliation turns on control, relevance, actual suppression, and foreseeability of the duty to preserve); Fed. R. Civ. P. 37(e). Corbin's answer on this subject — that it "maintains document retention practices consistent with industry standards" and "has taken steps to preserve documents" — is non-responsive, and it never answered served Interrogatory No. 21, which asks whether responsive documents have been destroyed since March 15, 2021, and by whom. Vantage therefore requests an order compelling (i) production of all retention, destruction, and records-management policies in effect since January 1, 2020; (ii) disclosure of the date(s), recipients, and scope of any litigation hold notice (or production of the notices if Corbin cannot establish privilege); (iii) a complete answer to Interrogatory No. 21; and (iv) a sworn declaration from a knowledgeable Corbin representative describing the search for the 35 missing CoCs, including the custodians, locations, and systems searched, the search methods used, and what is known about the disposition of the missing records. Vantage does not presently seek Rule 37(e) sanctions, but reserves the right to do so on a full record.</w:t>
      </w:r>
    </w:p>
    <w:p>
      <w:pPr>
        <w:keepNext/>
        <w:spacing w:line="240" w:lineRule="auto" w:after="120" w:before="120"/>
        <w:jc w:val="left"/>
      </w:pPr>
      <w:r>
        <w:rPr>
          <w:b/>
        </w:rPr>
        <w:t>I.</w:t>
        <w:tab/>
        <w:t>Corbin Must Produce Its Communications and Records Relating to Allegheny Materials Testing (Req. Nos. 36–38; Interrog. Nos. 5, 19).</w:t>
      </w:r>
    </w:p>
    <w:p>
      <w:pPr>
        <w:spacing w:line="480" w:lineRule="auto" w:after="0"/>
        <w:ind w:firstLine="720"/>
        <w:jc w:val="both"/>
      </w:pPr>
      <w:r>
        <w:t xml:space="preserve">AMT performed the metallurgical testing on the Type 347 stainless steel used in Vantage's housings. Its reports and communications with Corbin will show whether the material met the 75 ksi tensile and 40 ft-lb Charpy requirements that Corbin's CoCs certified. Corbin refuses to produce them because they may contain AMT's confidential information and AMT has not consented. But "third-party confidentiality" is not a privilege, and Rule 34 requires production of every responsive document in a party's "possession, custody, or control." Fed. R. Civ. P. 34(a)(1). Documents are within a party's control where it has the legal right or practical ability to obtain them. </w:t>
      </w:r>
      <w:r>
        <w:rPr>
          <w:i/>
        </w:rPr>
        <w:t>Camden Iron &amp; Metal, Inc. v. Marubeni Am. Corp.</w:t>
      </w:r>
      <w:r>
        <w:t>, 138 F.R.D. 438, 441 (D.N.J. 1991). Corbin's communications with AMT are in its own files, and the MSA required Corbin to maintain all subcontractor test results as its own Quality Records (MSA §§ 4.2.2, 9.4.1) and to obtain and produce AMT's records regardless of "any confidentiality or non-disclosure agreement" (</w:t>
      </w:r>
      <w:r>
        <w:rPr>
          <w:i/>
        </w:rPr>
        <w:t>id.</w:t>
      </w:r>
      <w:r>
        <w:t xml:space="preserve"> § 14.3.3). Corbin's refusal even to identify its raw material suppliers and testing subcontractors (Resp. to Interrog. No. 10) is similarly baseless. Any legitimate confidentiality interest of AMT can be protected by the protective order Vantage has offered.</w:t>
      </w:r>
    </w:p>
    <w:p>
      <w:pPr>
        <w:keepNext/>
        <w:spacing w:line="240" w:lineRule="auto" w:after="120" w:before="120"/>
        <w:jc w:val="left"/>
      </w:pPr>
      <w:r>
        <w:rPr>
          <w:b/>
        </w:rPr>
        <w:t>J.</w:t>
        <w:tab/>
        <w:t>The Remaining Categories of Discovery Are Relevant and Proportional.</w:t>
      </w:r>
    </w:p>
    <w:p>
      <w:pPr>
        <w:spacing w:line="480" w:lineRule="auto" w:after="0"/>
        <w:ind w:firstLine="720"/>
        <w:jc w:val="both"/>
      </w:pPr>
      <w:r>
        <w:t xml:space="preserve">The remaining disputed requests are addressed individually in Appendix A. Several warrant brief comment. </w:t>
      </w:r>
      <w:r>
        <w:rPr>
          <w:i/>
        </w:rPr>
        <w:t>Other-customer complaints, returns, and proceedings</w:t>
      </w:r>
      <w:r>
        <w:t xml:space="preserve"> (served Req. Nos. 11, 12, 35; Interrog. Nos. 13, 23): whether Corbin received similar complaints about Type 347 components or failed third-party audits is probative of knowledge, intent, and absence of mistake on the fraudulent-concealment claim, </w:t>
      </w:r>
      <w:r>
        <w:rPr>
          <w:i/>
        </w:rPr>
        <w:t>cf.</w:t>
      </w:r>
      <w:r>
        <w:t xml:space="preserve"> Fed. R. Evid. 404(b)(2), and of whether the "tooling wear" problem was systemic. Vantage will accept a limitation to Type 347 stainless or turbine components from January 1, 2020 forward, with customer identities designated confidential. </w:t>
      </w:r>
      <w:r>
        <w:rPr>
          <w:i/>
        </w:rPr>
        <w:t>Personnel, training, and discipline</w:t>
      </w:r>
      <w:r>
        <w:t xml:space="preserve"> (Req. Nos. 18, 25–27): the qualifications and authority of Mr. Foss and others who signed CoCs, and any discipline for quality falsification, bear directly on the certification process; privacy concerns can be addressed by confidentiality designations. </w:t>
      </w:r>
      <w:r>
        <w:rPr>
          <w:i/>
        </w:rPr>
        <w:t>Insurance</w:t>
      </w:r>
      <w:r>
        <w:t xml:space="preserve"> (Req. No. 30): Corbin was required to produce its complete insurance agreements with its initial disclosures, Fed. R. Civ. P. 26(a)(1)(A)(iv); declaration pages for a single policy do not suffice. </w:t>
      </w:r>
      <w:r>
        <w:rPr>
          <w:i/>
        </w:rPr>
        <w:t>Contention discovery</w:t>
      </w:r>
      <w:r>
        <w:t xml:space="preserve"> (Interrog. Nos. 22, 24, 25; Req. No. 42): Request No. 42, as served, is not a "catch-all" but seeks the documents supporting Corbin's affirmative defenses — information Corbin must disclose in any event — and Corbin never answered the served contention and witness interrogatories.</w:t>
      </w:r>
    </w:p>
    <w:p>
      <w:pPr>
        <w:keepNext/>
        <w:spacing w:line="240" w:lineRule="auto" w:after="120" w:before="120"/>
        <w:jc w:val="left"/>
      </w:pPr>
      <w:r>
        <w:rPr>
          <w:b/>
        </w:rPr>
        <w:t>K.</w:t>
        <w:tab/>
        <w:t>Vantage Is Entitled to Its Reasonable Expenses.</w:t>
      </w:r>
    </w:p>
    <w:p>
      <w:pPr>
        <w:spacing w:line="480" w:lineRule="auto" w:after="0"/>
        <w:ind w:firstLine="720"/>
        <w:jc w:val="both"/>
      </w:pPr>
      <w:r>
        <w:t>When a motion to compel is granted, or requested discovery is provided after filing, "the court must" require the party whose conduct necessitated the motion, its attorney, or both to pay the movant's reasonable expenses, including attorney's fees, unless the non-disclosure was "substantially justified" or other circumstances make an award unjust. Fed. R. Civ. P. 37(a)(5)(A). Vantage attempted in good faith to obtain the discovery without court action. Corbin's positions — responding to rewritten requests, withholding documents on privilege grounds without a log despite the CMO's express mandate, invoking trade secrecy while ignoring an offered protective order, and swearing to an interrogatory answer contradicted by its own production — are not substantially justified. Vantage requests leave to submit a fee declaration within fourteen days of the Court's order.</w:t>
      </w:r>
    </w:p>
    <w:p>
      <w:pPr>
        <w:keepNext/>
        <w:spacing w:line="240" w:lineRule="auto" w:after="120" w:before="120"/>
        <w:jc w:val="left"/>
      </w:pPr>
      <w:r>
        <w:rPr>
          <w:b/>
        </w:rPr>
        <w:t>V.</w:t>
        <w:tab/>
        <w:t>CONCLUSION</w:t>
      </w:r>
    </w:p>
    <w:p>
      <w:pPr>
        <w:spacing w:line="480" w:lineRule="auto" w:after="0"/>
        <w:ind w:firstLine="720"/>
        <w:jc w:val="both"/>
      </w:pPr>
      <w:r>
        <w:t>For these reasons, Vantage respectfully requests that the Court grant this Motion and enter the proposed Order submitted herewith.</w:t>
      </w:r>
    </w:p>
    <w:p>
      <w:pPr>
        <w:spacing w:line="240" w:lineRule="auto" w:after="240"/>
        <w:jc w:val="left"/>
      </w:pPr>
      <w:r>
        <w:t>Dated: October 15, 2024</w:t>
      </w:r>
    </w:p>
    <w:p>
      <w:pPr>
        <w:spacing w:line="240" w:lineRule="auto" w:after="0"/>
        <w:ind w:left="4680"/>
        <w:jc w:val="left"/>
      </w:pPr>
      <w:r>
        <w:t>Respectfully submitted,</w:t>
      </w:r>
    </w:p>
    <w:p>
      <w:pPr>
        <w:spacing w:line="240" w:lineRule="auto" w:after="0"/>
        <w:ind w:left="4680"/>
        <w:jc w:val="left"/>
      </w:pPr>
    </w:p>
    <w:p>
      <w:pPr>
        <w:spacing w:line="240" w:lineRule="auto" w:after="0"/>
        <w:ind w:left="4680"/>
        <w:jc w:val="left"/>
      </w:pPr>
      <w:r>
        <w:rPr>
          <w:b/>
        </w:rPr>
        <w:t>DRAYTON, KESSLER &amp; MORROW LLP</w:t>
      </w:r>
    </w:p>
    <w:p>
      <w:pPr>
        <w:spacing w:line="240" w:lineRule="auto" w:after="0"/>
        <w:ind w:left="4680"/>
        <w:jc w:val="left"/>
      </w:pPr>
    </w:p>
    <w:p>
      <w:pPr>
        <w:spacing w:line="240" w:lineRule="auto" w:after="0"/>
        <w:ind w:left="4680"/>
        <w:jc w:val="left"/>
      </w:pPr>
      <w:r>
        <w:t>By: /s/ Andrew J. Niles</w:t>
      </w:r>
    </w:p>
    <w:p>
      <w:pPr>
        <w:spacing w:line="240" w:lineRule="auto" w:after="0"/>
        <w:ind w:left="4680"/>
        <w:jc w:val="left"/>
      </w:pPr>
      <w:r>
        <w:t>Patricia C. Morrow (PA I.D. No. [</w:t>
      </w:r>
      <w:r>
        <w:rPr>
          <w:u w:val="single"/>
        </w:rPr>
        <w:t>_</w:t>
      </w:r>
      <w:r>
        <w:t>])</w:t>
      </w:r>
    </w:p>
    <w:p>
      <w:pPr>
        <w:spacing w:line="240" w:lineRule="auto" w:after="0"/>
        <w:ind w:left="4680"/>
        <w:jc w:val="left"/>
      </w:pPr>
      <w:r>
        <w:t>Andrew J. Niles (PA I.D. No. [</w:t>
      </w:r>
      <w:r>
        <w:rPr>
          <w:u w:val="single"/>
        </w:rPr>
        <w:t>_</w:t>
      </w:r>
      <w:r>
        <w:t>])</w:t>
      </w:r>
    </w:p>
    <w:p>
      <w:pPr>
        <w:spacing w:line="240" w:lineRule="auto" w:after="0"/>
        <w:ind w:left="4680"/>
        <w:jc w:val="left"/>
      </w:pPr>
      <w:r>
        <w:t>610 Grant Street, Suite 3200</w:t>
      </w:r>
    </w:p>
    <w:p>
      <w:pPr>
        <w:spacing w:line="240" w:lineRule="auto" w:after="0"/>
        <w:ind w:left="4680"/>
        <w:jc w:val="left"/>
      </w:pPr>
      <w:r>
        <w:t>Pittsburgh, PA 15219</w:t>
      </w:r>
    </w:p>
    <w:p>
      <w:pPr>
        <w:spacing w:line="240" w:lineRule="auto" w:after="0"/>
        <w:ind w:left="4680"/>
        <w:jc w:val="left"/>
      </w:pPr>
      <w:r>
        <w:t>Telephone: (412) 555-7100</w:t>
      </w:r>
    </w:p>
    <w:p>
      <w:pPr>
        <w:spacing w:line="240" w:lineRule="auto" w:after="0"/>
        <w:ind w:left="4680"/>
        <w:jc w:val="left"/>
      </w:pPr>
      <w:r>
        <w:t>Facsimile: (412) 555-7101</w:t>
      </w:r>
    </w:p>
    <w:p>
      <w:pPr>
        <w:spacing w:line="240" w:lineRule="auto" w:after="0"/>
        <w:ind w:left="4680"/>
        <w:jc w:val="left"/>
      </w:pPr>
      <w:r>
        <w:t>pmorrow@draytonkessler.com</w:t>
      </w:r>
    </w:p>
    <w:p>
      <w:pPr>
        <w:spacing w:line="240" w:lineRule="auto" w:after="0"/>
        <w:ind w:left="4680"/>
        <w:jc w:val="left"/>
      </w:pPr>
      <w:r>
        <w:t>aniles@draytonkessler.com</w:t>
      </w:r>
    </w:p>
    <w:p>
      <w:pPr>
        <w:spacing w:line="240" w:lineRule="auto" w:after="0"/>
        <w:ind w:left="4680"/>
        <w:jc w:val="left"/>
      </w:pPr>
    </w:p>
    <w:p>
      <w:pPr>
        <w:spacing w:line="240" w:lineRule="auto" w:after="0"/>
        <w:ind w:left="4680"/>
        <w:jc w:val="left"/>
      </w:pPr>
      <w:r>
        <w:rPr>
          <w:i/>
        </w:rPr>
        <w:t>Counsel for Plaintiff Vantage Industrial Holdings, Inc.</w:t>
      </w:r>
    </w:p>
    <w:p>
      <w:pPr>
        <w:spacing w:line="240" w:lineRule="auto" w:after="0"/>
        <w:jc w:val="both"/>
      </w:pPr>
    </w:p>
    <w:p>
      <w:r>
        <w:br w:type="page"/>
      </w:r>
    </w:p>
    <w:p>
      <w:pPr>
        <w:spacing w:line="240" w:lineRule="auto" w:after="240"/>
        <w:jc w:val="center"/>
      </w:pPr>
      <w:r>
        <w:rPr>
          <w:b/>
        </w:rPr>
        <w:t>IN THE UNITED STATES DISTRICT COURT</w:t>
        <w:br/>
        <w:t>FOR THE WESTERN DISTRICT OF PENNSYLVANIA</w:t>
      </w:r>
    </w:p>
    <w:tbl>
      <w:tblPr>
        <w:tblW w:type="dxa" w:w="9360"/>
        <w:tblLayout w:type="fixed"/>
        <w:tblLook w:firstColumn="1" w:firstRow="1" w:lastColumn="0" w:lastRow="0" w:noHBand="0" w:noVBand="1" w:val="04A0"/>
        <w:jc w:val="center"/>
        <w:tblBorders>
          <w:top w:val="nil" w:sz="4" w:color="000000"/>
          <w:left w:val="nil" w:sz="4" w:color="000000"/>
          <w:bottom w:val="nil" w:sz="4" w:color="000000"/>
          <w:right w:val="nil" w:sz="4" w:color="000000"/>
          <w:insideH w:val="nil" w:sz="4" w:color="000000"/>
          <w:insideV w:val="nil" w:sz="4" w:color="000000"/>
        </w:tblBorders>
      </w:tblPr>
      <w:tblGrid>
        <w:gridCol w:w="5040"/>
        <w:gridCol w:w="4320"/>
      </w:tblGrid>
      <w:tr>
        <w:tc>
          <w:tcPr>
            <w:tcW w:type="dxa" w:w="5040"/>
            <w:tcBorders>
              <w:right w:val="single" w:sz="6" w:color="000000"/>
              <w:bottom w:val="single" w:sz="6" w:color="000000"/>
            </w:tcBorders>
          </w:tcPr>
          <w:p>
            <w:pPr>
              <w:jc w:val="left"/>
            </w:pPr>
            <w:r>
              <w:rPr>
                <w:b/>
              </w:rPr>
            </w:r>
            <w:r>
              <w:rPr>
                <w:b/>
                <w:sz w:val="24"/>
              </w:rPr>
              <w:t>VANTAGE INDUSTRIAL</w:t>
            </w:r>
          </w:p>
          <w:p>
            <w:pPr>
              <w:jc w:val="left"/>
            </w:pPr>
            <w:r>
              <w:rPr>
                <w:b/>
                <w:sz w:val="24"/>
              </w:rPr>
              <w:t>HOLDINGS, INC.,</w:t>
            </w:r>
          </w:p>
          <w:p>
            <w:pPr>
              <w:jc w:val="left"/>
            </w:pPr>
            <w:r>
              <w:rPr>
                <w:sz w:val="24"/>
              </w:rPr>
              <w:t>a Delaware corporation,</w:t>
            </w:r>
          </w:p>
          <w:p>
            <w:pPr>
              <w:jc w:val="left"/>
            </w:pPr>
          </w:p>
          <w:p>
            <w:pPr>
              <w:jc w:val="left"/>
            </w:pPr>
            <w:r>
              <w:rPr>
                <w:sz w:val="24"/>
              </w:rPr>
              <w:t xml:space="preserve">                    Plaintiff,</w:t>
            </w:r>
          </w:p>
          <w:p>
            <w:pPr>
              <w:jc w:val="left"/>
            </w:pPr>
          </w:p>
          <w:p>
            <w:pPr>
              <w:jc w:val="left"/>
            </w:pPr>
            <w:r>
              <w:rPr>
                <w:sz w:val="24"/>
              </w:rPr>
              <w:t xml:space="preserve">          v.</w:t>
            </w:r>
          </w:p>
          <w:p>
            <w:pPr>
              <w:jc w:val="left"/>
            </w:pPr>
          </w:p>
          <w:p>
            <w:pPr>
              <w:jc w:val="left"/>
            </w:pPr>
            <w:r>
              <w:rPr>
                <w:b/>
                <w:sz w:val="24"/>
              </w:rPr>
              <w:t>CORBIN MACHINING &amp;</w:t>
            </w:r>
          </w:p>
          <w:p>
            <w:pPr>
              <w:jc w:val="left"/>
            </w:pPr>
            <w:r>
              <w:rPr>
                <w:b/>
                <w:sz w:val="24"/>
              </w:rPr>
              <w:t>FABRICATION, LLC,</w:t>
            </w:r>
          </w:p>
          <w:p>
            <w:pPr>
              <w:jc w:val="left"/>
            </w:pPr>
            <w:r>
              <w:rPr>
                <w:sz w:val="24"/>
              </w:rPr>
              <w:t>an Ohio limited liability company,</w:t>
            </w:r>
          </w:p>
          <w:p>
            <w:pPr>
              <w:jc w:val="left"/>
            </w:pPr>
          </w:p>
          <w:p>
            <w:pPr>
              <w:jc w:val="left"/>
            </w:pPr>
            <w:r>
              <w:rPr>
                <w:sz w:val="24"/>
              </w:rPr>
              <w:t xml:space="preserve">                    Defendant.</w:t>
            </w:r>
          </w:p>
        </w:tc>
        <w:tc>
          <w:tcPr>
            <w:tcW w:type="dxa" w:w="4320"/>
          </w:tcPr>
          <w:p>
            <w:pPr>
              <w:ind w:left="288"/>
              <w:jc w:val="left"/>
            </w:pPr>
            <w:r/>
          </w:p>
          <w:p>
            <w:pPr>
              <w:ind w:left="288"/>
              <w:jc w:val="left"/>
            </w:pPr>
            <w:r>
              <w:rPr>
                <w:sz w:val="24"/>
              </w:rPr>
              <w:t>Civil Action No.</w:t>
            </w:r>
          </w:p>
          <w:p>
            <w:pPr>
              <w:ind w:left="288"/>
              <w:jc w:val="left"/>
            </w:pPr>
            <w:r>
              <w:rPr>
                <w:sz w:val="24"/>
              </w:rPr>
              <w:t>2:24-cv-00831-CAR</w:t>
            </w:r>
          </w:p>
          <w:p>
            <w:pPr>
              <w:ind w:left="288"/>
              <w:jc w:val="left"/>
            </w:pPr>
          </w:p>
          <w:p>
            <w:pPr>
              <w:ind w:left="288"/>
              <w:jc w:val="left"/>
            </w:pPr>
            <w:r>
              <w:rPr>
                <w:sz w:val="24"/>
              </w:rPr>
              <w:t>Hon. Christine A. Radford,</w:t>
            </w:r>
          </w:p>
          <w:p>
            <w:pPr>
              <w:ind w:left="288"/>
              <w:jc w:val="left"/>
            </w:pPr>
            <w:r>
              <w:rPr>
                <w:sz w:val="24"/>
              </w:rPr>
              <w:t>U.S. District Judge</w:t>
            </w:r>
          </w:p>
          <w:p>
            <w:pPr>
              <w:ind w:left="288"/>
              <w:jc w:val="left"/>
            </w:pPr>
          </w:p>
          <w:p>
            <w:pPr>
              <w:ind w:left="288"/>
              <w:jc w:val="left"/>
            </w:pPr>
            <w:r>
              <w:rPr>
                <w:sz w:val="24"/>
              </w:rPr>
              <w:t>Hon. David P. Sheehan,</w:t>
            </w:r>
          </w:p>
          <w:p>
            <w:pPr>
              <w:ind w:left="288"/>
              <w:jc w:val="left"/>
            </w:pPr>
            <w:r>
              <w:rPr>
                <w:sz w:val="24"/>
              </w:rPr>
              <w:t>U.S. Magistrate Judge</w:t>
            </w:r>
          </w:p>
          <w:p>
            <w:pPr>
              <w:ind w:left="288"/>
              <w:jc w:val="left"/>
            </w:pPr>
          </w:p>
          <w:p>
            <w:pPr>
              <w:ind w:left="288"/>
              <w:jc w:val="left"/>
            </w:pPr>
            <w:r>
              <w:rPr>
                <w:b/>
                <w:sz w:val="24"/>
              </w:rPr>
              <w:t>Filed Electronically</w:t>
            </w:r>
          </w:p>
        </w:tc>
      </w:tr>
    </w:tbl>
    <w:p>
      <w:pPr>
        <w:spacing w:line="240" w:lineRule="auto" w:after="120"/>
        <w:jc w:val="both"/>
      </w:pPr>
    </w:p>
    <w:p>
      <w:pPr>
        <w:spacing w:line="240" w:lineRule="auto" w:after="240"/>
        <w:jc w:val="center"/>
      </w:pPr>
      <w:r>
        <w:rPr>
          <w:b/>
        </w:rPr>
        <w:t>LOCAL RULE 37.1 CERTIFICATION OF GOOD-FAITH CONFERRAL</w:t>
      </w:r>
    </w:p>
    <w:p>
      <w:pPr>
        <w:spacing w:line="480" w:lineRule="auto" w:after="0"/>
        <w:ind w:firstLine="720"/>
        <w:jc w:val="both"/>
      </w:pPr>
      <w:r>
        <w:t>I, Andrew J. Niles, counsel for Plaintiff Vantage Industrial Holdings, Inc., certify pursuant to Local Rule 37.1 and Section 5.2 of the Case Management Order that counsel for the parties conferred in good faith in an attempt to resolve the discovery disputes presented in the foregoing Motion without court intervention, and that those efforts were unsuccessful. Specifically:</w:t>
      </w:r>
    </w:p>
    <w:p>
      <w:pPr>
        <w:spacing w:line="480" w:lineRule="auto" w:after="0"/>
        <w:ind w:left="1440" w:hanging="720"/>
        <w:jc w:val="both"/>
      </w:pPr>
      <w:r>
        <w:t>(a)</w:t>
        <w:tab/>
      </w:r>
      <w:r>
        <w:rPr>
          <w:b/>
        </w:rPr>
        <w:t>Dates of conferral.</w:t>
      </w:r>
      <w:r>
        <w:t xml:space="preserve"> (i) August 14, 2024: written deficiency letter from Vantage's counsel to Corbin's counsel; (ii) August 28, 2024: telephone conference of approximately ninety minutes; (iii) September 9, 2024: letter memorializing the August 28 conference and confirming impasse; (iv) October 7, 2024: final letter setting an October 14, 2024 deadline. Corbin's counsel did not respond in writing to any of the three letters. (Ex. 4.)</w:t>
      </w:r>
    </w:p>
    <w:p>
      <w:pPr>
        <w:spacing w:line="480" w:lineRule="auto" w:after="0"/>
        <w:ind w:left="1440" w:hanging="720"/>
        <w:jc w:val="both"/>
      </w:pPr>
      <w:r>
        <w:t>(b)</w:t>
        <w:tab/>
      </w:r>
      <w:r>
        <w:rPr>
          <w:b/>
        </w:rPr>
        <w:t>Participating counsel.</w:t>
      </w:r>
      <w:r>
        <w:t xml:space="preserve"> Andrew J. Niles, Esq. (Drayton, Kessler &amp; Morrow LLP) for Plaintiff, and Lauren M. Ybarra, Esq. (Strathearn Legal Group, P.C.) for Defendant, participated in the August 28, 2024 telephone conference. Patricia C. Morrow, Esq. and Victor E. Strathearn, Esq. were copied on all correspondence.</w:t>
      </w:r>
    </w:p>
    <w:p>
      <w:pPr>
        <w:spacing w:line="480" w:lineRule="auto" w:after="0"/>
        <w:ind w:left="1440" w:hanging="720"/>
        <w:jc w:val="both"/>
      </w:pPr>
      <w:r>
        <w:t>(c)</w:t>
        <w:tab/>
      </w:r>
      <w:r>
        <w:rPr>
          <w:b/>
        </w:rPr>
        <w:t>Issues discussed and positions taken.</w:t>
      </w:r>
      <w:r>
        <w:t xml:space="preserve"> Counsel discussed Corbin's general objections; its objections and non-responses to the interrogatories and document requests identified in Appendix A, including Interrogatory Nos. 7, 12, and 18 and Request Nos. 5, 14, 22, 31, and 37; the absence of a privilege log; Corbin's trade-secret and "third-party confidentiality" objections and Vantage's offer of a stipulated protective order; Corbin's unsupported burden claims; the 35 missing Certificates of Conformance; and the September 14, 2022 Foss email (CORBIN-000247). Vantage requested full supplemental responses, a Rule 26(b)(5)(A) privilege log, a description of Corbin's CoC search, and production of its retention policies, and offered a stipulated protective order. Corbin's counsel declined to withdraw any objection or supplement any response; maintained that its burden, trade-secret, relevance, and third-party-confidentiality objections were well-founded; stated that Corbin had completed a "thorough search" for the missing CoCs and had nothing further to produce; stated that Corbin stood by its answer to Interrogatory No. 18 and that the Foss email had been "taken out of context"; acknowledged that the failure to produce a privilege log was an "oversight"; and committed to produce a privilege log by approximately September 28, 2024. Corbin did not produce the log and did not respond to Vantage's offer of a protective order.</w:t>
      </w:r>
    </w:p>
    <w:p>
      <w:pPr>
        <w:spacing w:line="480" w:lineRule="auto" w:after="0"/>
        <w:ind w:left="1440" w:hanging="720"/>
        <w:jc w:val="both"/>
      </w:pPr>
      <w:r>
        <w:t>(d)</w:t>
        <w:tab/>
      </w:r>
      <w:r>
        <w:rPr>
          <w:b/>
        </w:rPr>
        <w:t>Statement of non-resolution.</w:t>
      </w:r>
      <w:r>
        <w:t xml:space="preserve"> As of the date of this filing, Corbin has not supplemented any interrogatory answer or document response, has not produced any document beyond its July 31, 2024 production (CORBIN-000001 to -000312), and has not served a privilege log. The disputes presented in the Motion remain unresolved despite the good-faith efforts of counsel.</w:t>
      </w:r>
    </w:p>
    <w:p>
      <w:pPr>
        <w:spacing w:line="240" w:lineRule="auto" w:after="240"/>
        <w:jc w:val="left"/>
      </w:pPr>
      <w:r>
        <w:t>Dated: October 15, 2024</w:t>
      </w:r>
    </w:p>
    <w:p>
      <w:pPr>
        <w:spacing w:line="240" w:lineRule="auto" w:after="0"/>
        <w:ind w:left="4680"/>
        <w:jc w:val="left"/>
      </w:pPr>
      <w:r>
        <w:t>/s/ Andrew J. Niles</w:t>
      </w:r>
    </w:p>
    <w:p>
      <w:pPr>
        <w:spacing w:line="240" w:lineRule="auto" w:after="0"/>
        <w:ind w:left="4680"/>
        <w:jc w:val="left"/>
      </w:pPr>
      <w:r>
        <w:t>Andrew J. Niles</w:t>
      </w:r>
    </w:p>
    <w:p>
      <w:pPr>
        <w:spacing w:line="240" w:lineRule="auto" w:after="0"/>
        <w:ind w:left="4680"/>
        <w:jc w:val="left"/>
      </w:pPr>
      <w:r>
        <w:t>Counsel for Plaintiff</w:t>
      </w:r>
    </w:p>
    <w:p>
      <w:pPr>
        <w:sectPr>
          <w:footerReference w:type="default" r:id="rId9"/>
          <w:pgSz w:w="12240" w:h="15840"/>
          <w:pgMar w:top="1440" w:right="1440" w:bottom="1440" w:left="1440" w:header="720" w:footer="720" w:gutter="0"/>
          <w:cols w:space="720"/>
          <w:docGrid w:linePitch="360"/>
        </w:sectPr>
      </w:pPr>
    </w:p>
    <w:p>
      <w:pPr>
        <w:spacing w:line="240" w:lineRule="auto" w:after="0"/>
        <w:jc w:val="center"/>
      </w:pPr>
      <w:r>
        <w:rPr>
          <w:b/>
        </w:rPr>
        <w:t>APPENDIX A</w:t>
      </w:r>
    </w:p>
    <w:p>
      <w:pPr>
        <w:spacing w:line="240" w:lineRule="auto" w:after="0"/>
        <w:jc w:val="center"/>
      </w:pPr>
      <w:r>
        <w:rPr>
          <w:b/>
        </w:rPr>
        <w:t>SUMMARY CHART OF DISPUTED DISCOVERY REQUESTS</w:t>
      </w:r>
    </w:p>
    <w:p>
      <w:pPr>
        <w:spacing w:line="240" w:lineRule="auto" w:after="120"/>
        <w:jc w:val="center"/>
      </w:pPr>
      <w:r>
        <w:t>(Submitted Pursuant to Magistrate Judge Sheehan's Standing Order Regarding Discovery Motions)</w:t>
      </w:r>
    </w:p>
    <w:p>
      <w:pPr>
        <w:spacing w:line="240" w:lineRule="auto" w:after="160"/>
        <w:jc w:val="both"/>
      </w:pPr>
      <w:r>
        <w:rPr>
          <w:i/>
          <w:sz w:val="20"/>
        </w:rPr>
        <w:t>Note on numbering:</w:t>
      </w:r>
      <w:r>
        <w:rPr>
          <w:sz w:val="20"/>
        </w:rPr>
        <w:t xml:space="preserve"> Request numbers and subjects in the first column are those in Vantage's requests </w:t>
      </w:r>
      <w:r>
        <w:rPr>
          <w:b/>
          <w:sz w:val="20"/>
        </w:rPr>
        <w:t>as served</w:t>
      </w:r>
      <w:r>
        <w:rPr>
          <w:sz w:val="20"/>
        </w:rPr>
        <w:t xml:space="preserve"> (Exs. 1, 2). Because the request text reproduced in Corbin's responses (Exs. 3-A, 3-B) differs from what was served, the second column identifies which of Corbin's numbered responses, if any, corresponds in substance to the served request. "GO" refers to Corbin's General Objections, which Corbin incorporated into every response.</w:t>
      </w:r>
    </w:p>
    <w:p>
      <w:pPr>
        <w:keepNext/>
        <w:spacing w:line="240" w:lineRule="auto" w:after="80"/>
        <w:jc w:val="left"/>
      </w:pPr>
      <w:r>
        <w:rPr>
          <w:b/>
        </w:rPr>
        <w:t>PART 1 – FIRST SET OF INTERROGATORIES (NOS. 1–25)</w:t>
      </w:r>
    </w:p>
    <w:tbl>
      <w:tblPr>
        <w:tblW w:type="dxa" w:w="1296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024"/>
        <w:gridCol w:w="4320"/>
        <w:gridCol w:w="5616"/>
      </w:tblGrid>
      <w:tr>
        <w:trPr>
          <w:tblHeader w:val="true"/>
        </w:trPr>
        <w:tc>
          <w:tcPr>
            <w:tcW w:type="dxa" w:w="3024"/>
            <w:shd w:val="clear" w:fill="D9D9D9"/>
          </w:tcPr>
          <w:p>
            <w:pPr>
              <w:jc w:val="center"/>
            </w:pPr>
            <w:r>
              <w:rPr>
                <w:b/>
              </w:rPr>
            </w:r>
            <w:r>
              <w:rPr>
                <w:b/>
                <w:sz w:val="20"/>
              </w:rPr>
              <w:t>Served Request No. &amp; Subject</w:t>
            </w:r>
          </w:p>
        </w:tc>
        <w:tc>
          <w:tcPr>
            <w:tcW w:type="dxa" w:w="4320"/>
            <w:shd w:val="clear" w:fill="D9D9D9"/>
          </w:tcPr>
          <w:p>
            <w:pPr>
              <w:jc w:val="center"/>
            </w:pPr>
            <w:r>
              <w:rPr>
                <w:b/>
              </w:rPr>
            </w:r>
            <w:r>
              <w:rPr>
                <w:b/>
                <w:sz w:val="20"/>
              </w:rPr>
              <w:t>Corbin's Objection / Basis for Non-Response</w:t>
            </w:r>
          </w:p>
        </w:tc>
        <w:tc>
          <w:tcPr>
            <w:tcW w:type="dxa" w:w="5616"/>
            <w:shd w:val="clear" w:fill="D9D9D9"/>
          </w:tcPr>
          <w:p>
            <w:pPr>
              <w:jc w:val="center"/>
            </w:pPr>
            <w:r>
              <w:rPr>
                <w:b/>
              </w:rPr>
            </w:r>
            <w:r>
              <w:rPr>
                <w:b/>
                <w:sz w:val="20"/>
              </w:rPr>
              <w:t>Vantage's Position</w:t>
            </w:r>
          </w:p>
        </w:tc>
      </w:tr>
      <w:tr>
        <w:tc>
          <w:tcPr>
            <w:tcW w:type="dxa" w:w="3024"/>
          </w:tcPr>
          <w:p>
            <w:pPr>
              <w:jc w:val="left"/>
            </w:pPr>
            <w:r/>
            <w:r>
              <w:rPr>
                <w:b/>
                <w:sz w:val="18"/>
              </w:rPr>
              <w:t>Interrog. 1</w:t>
            </w:r>
            <w:r>
              <w:rPr>
                <w:sz w:val="18"/>
              </w:rPr>
              <w:t xml:space="preserve"> – Persons involved in negotiating, drafting, and executing the MSA, and their roles.</w:t>
            </w:r>
          </w:p>
        </w:tc>
        <w:tc>
          <w:tcPr>
            <w:tcW w:type="dxa" w:w="4320"/>
          </w:tcPr>
          <w:p>
            <w:pPr>
              <w:jc w:val="left"/>
            </w:pPr>
            <w:r/>
            <w:r>
              <w:rPr>
                <w:sz w:val="18"/>
              </w:rPr>
              <w:t>No corresponding response. Corbin's No. 1 responds to a different, rewritten question (Corbin's form of organization and persons with authority to bind).</w:t>
            </w:r>
          </w:p>
        </w:tc>
        <w:tc>
          <w:tcPr>
            <w:tcW w:type="dxa" w:w="5616"/>
          </w:tcPr>
          <w:p>
            <w:pPr>
              <w:jc w:val="left"/>
            </w:pPr>
            <w:r/>
            <w:r>
              <w:rPr>
                <w:sz w:val="18"/>
              </w:rPr>
              <w:t>Not answered as served; objections waived (Rule 33(b)(4)). Negotiation participants are relevant to representations made and to fraud/negligent misrepresentation claims. Compel full answer.</w:t>
            </w:r>
          </w:p>
        </w:tc>
      </w:tr>
      <w:tr>
        <w:tc>
          <w:tcPr>
            <w:tcW w:type="dxa" w:w="3024"/>
          </w:tcPr>
          <w:p>
            <w:pPr>
              <w:jc w:val="left"/>
            </w:pPr>
            <w:r/>
            <w:r>
              <w:rPr>
                <w:b/>
                <w:sz w:val="18"/>
              </w:rPr>
              <w:t>Interrog. 2</w:t>
            </w:r>
            <w:r>
              <w:rPr>
                <w:sz w:val="18"/>
              </w:rPr>
              <w:t xml:space="preserve"> – Persons responsible for manufacture, inspection, QC, and shipment of Components, with titles, dates, duties.</w:t>
            </w:r>
          </w:p>
        </w:tc>
        <w:tc>
          <w:tcPr>
            <w:tcW w:type="dxa" w:w="4320"/>
          </w:tcPr>
          <w:p>
            <w:pPr>
              <w:jc w:val="left"/>
            </w:pPr>
            <w:r/>
            <w:r>
              <w:rPr>
                <w:sz w:val="18"/>
              </w:rPr>
              <w:t>Corbin's No. 2 addresses MSA existence. Corbin's No. 4 (employees) objects: overbroad, burdensome ("potentially hundreds"), compound, privilege. No names given.</w:t>
            </w:r>
          </w:p>
        </w:tc>
        <w:tc>
          <w:tcPr>
            <w:tcW w:type="dxa" w:w="5616"/>
          </w:tcPr>
          <w:p>
            <w:pPr>
              <w:jc w:val="left"/>
            </w:pPr>
            <w:r/>
            <w:r>
              <w:rPr>
                <w:sz w:val="18"/>
              </w:rPr>
              <w:t>Identification of witnesses is basic discovery. No privilege log; no burden showing. Corbin has 310 employees; persons with Vantage-component QC/shipping roles are readily identifiable. Subparts concern one theme and are not discrete. Compel.</w:t>
            </w:r>
          </w:p>
        </w:tc>
      </w:tr>
      <w:tr>
        <w:tc>
          <w:tcPr>
            <w:tcW w:type="dxa" w:w="3024"/>
          </w:tcPr>
          <w:p>
            <w:pPr>
              <w:jc w:val="left"/>
            </w:pPr>
            <w:r/>
            <w:r>
              <w:rPr>
                <w:b/>
                <w:sz w:val="18"/>
              </w:rPr>
              <w:t>Interrog. 3</w:t>
            </w:r>
            <w:r>
              <w:rPr>
                <w:sz w:val="18"/>
              </w:rPr>
              <w:t xml:space="preserve"> – Manufacturing process for Components, step by step, and each facility involved.</w:t>
            </w:r>
          </w:p>
        </w:tc>
        <w:tc>
          <w:tcPr>
            <w:tcW w:type="dxa" w:w="4320"/>
          </w:tcPr>
          <w:p>
            <w:pPr>
              <w:jc w:val="left"/>
            </w:pPr>
            <w:r/>
            <w:r>
              <w:rPr>
                <w:sz w:val="18"/>
              </w:rPr>
              <w:t>Corbin's No. 3 answers a different question (approx. units, value, POs). Process description refused (see Corbin's No. 5: trade secret, overbroad).</w:t>
            </w:r>
          </w:p>
        </w:tc>
        <w:tc>
          <w:tcPr>
            <w:tcW w:type="dxa" w:w="5616"/>
          </w:tcPr>
          <w:p>
            <w:pPr>
              <w:jc w:val="left"/>
            </w:pPr>
            <w:r/>
            <w:r>
              <w:rPr>
                <w:sz w:val="18"/>
              </w:rPr>
              <w:t>Not answered as served. Trade-secret claim unsupported; no Rule 26(c) motion (CMO § 4.7); protective order offered and ignored. Compel, subject to protective order.</w:t>
            </w:r>
          </w:p>
        </w:tc>
      </w:tr>
      <w:tr>
        <w:tc>
          <w:tcPr>
            <w:tcW w:type="dxa" w:w="3024"/>
          </w:tcPr>
          <w:p>
            <w:pPr>
              <w:jc w:val="left"/>
            </w:pPr>
            <w:r/>
            <w:r>
              <w:rPr>
                <w:b/>
                <w:sz w:val="18"/>
              </w:rPr>
              <w:t>Interrog. 4</w:t>
            </w:r>
            <w:r>
              <w:rPr>
                <w:sz w:val="18"/>
              </w:rPr>
              <w:t xml:space="preserve"> – Raw material suppliers of Type 347 stainless, dates, quantities, heat numbers, mill certs.</w:t>
            </w:r>
          </w:p>
        </w:tc>
        <w:tc>
          <w:tcPr>
            <w:tcW w:type="dxa" w:w="4320"/>
          </w:tcPr>
          <w:p>
            <w:pPr>
              <w:jc w:val="left"/>
            </w:pPr>
            <w:r/>
            <w:r>
              <w:rPr>
                <w:sz w:val="18"/>
              </w:rPr>
              <w:t>Corbin's No. 4 addresses employees. Corbin's No. 10: suppliers "proprietary and confidential"; "further identification is withheld."</w:t>
            </w:r>
          </w:p>
        </w:tc>
        <w:tc>
          <w:tcPr>
            <w:tcW w:type="dxa" w:w="5616"/>
          </w:tcPr>
          <w:p>
            <w:pPr>
              <w:jc w:val="left"/>
            </w:pPr>
            <w:r/>
            <w:r>
              <w:rPr>
                <w:sz w:val="18"/>
              </w:rPr>
              <w:t>Material traceability is required by MSA §§ 4.2.2, 4.2.3 and is central to whether steel met 75 ksi / 40 ft-lb requirements. Supplier identity is not a trade secret warranting withholding. Compel.</w:t>
            </w:r>
          </w:p>
        </w:tc>
      </w:tr>
      <w:tr>
        <w:tc>
          <w:tcPr>
            <w:tcW w:type="dxa" w:w="3024"/>
          </w:tcPr>
          <w:p>
            <w:pPr>
              <w:jc w:val="left"/>
            </w:pPr>
            <w:r/>
            <w:r>
              <w:rPr>
                <w:b/>
                <w:sz w:val="18"/>
              </w:rPr>
              <w:t>Interrog. 5</w:t>
            </w:r>
            <w:r>
              <w:rPr>
                <w:sz w:val="18"/>
              </w:rPr>
              <w:t xml:space="preserve"> – Subcontractors (incl. AMT): work performed, dates, terms, Corbin supervisors.</w:t>
            </w:r>
          </w:p>
        </w:tc>
        <w:tc>
          <w:tcPr>
            <w:tcW w:type="dxa" w:w="4320"/>
          </w:tcPr>
          <w:p>
            <w:pPr>
              <w:jc w:val="left"/>
            </w:pPr>
            <w:r/>
            <w:r>
              <w:rPr>
                <w:sz w:val="18"/>
              </w:rPr>
              <w:t>Corbin's No. 5 addresses QC procedures. Corbin's No. 10: "utilized third-party testing services"; identities withheld as proprietary.</w:t>
            </w:r>
          </w:p>
        </w:tc>
        <w:tc>
          <w:tcPr>
            <w:tcW w:type="dxa" w:w="5616"/>
          </w:tcPr>
          <w:p>
            <w:pPr>
              <w:jc w:val="left"/>
            </w:pPr>
            <w:r/>
            <w:r>
              <w:rPr>
                <w:sz w:val="18"/>
              </w:rPr>
              <w:t>AMT tested the steel at issue; MSA § 4.2.2 required Vantage's approval of labs, so confidentiality claim is illusory. Compel.</w:t>
            </w:r>
          </w:p>
        </w:tc>
      </w:tr>
      <w:tr>
        <w:tc>
          <w:tcPr>
            <w:tcW w:type="dxa" w:w="3024"/>
          </w:tcPr>
          <w:p>
            <w:pPr>
              <w:jc w:val="left"/>
            </w:pPr>
            <w:r/>
            <w:r>
              <w:rPr>
                <w:b/>
                <w:sz w:val="18"/>
              </w:rPr>
              <w:t>Interrog. 6</w:t>
            </w:r>
            <w:r>
              <w:rPr>
                <w:sz w:val="18"/>
              </w:rPr>
              <w:t xml:space="preserve"> – Components shipped by PO, date, quantity, serial numbers, unit price, invoice value.</w:t>
            </w:r>
          </w:p>
        </w:tc>
        <w:tc>
          <w:tcPr>
            <w:tcW w:type="dxa" w:w="4320"/>
          </w:tcPr>
          <w:p>
            <w:pPr>
              <w:jc w:val="left"/>
            </w:pPr>
            <w:r/>
            <w:r>
              <w:rPr>
                <w:sz w:val="18"/>
              </w:rPr>
              <w:t>Partially addressed by Corbin's No. 3: ~4,280 units, ~47 POs, ~$23.6M. No breakdown, dates, or serial numbers.</w:t>
            </w:r>
          </w:p>
        </w:tc>
        <w:tc>
          <w:tcPr>
            <w:tcW w:type="dxa" w:w="5616"/>
          </w:tcPr>
          <w:p>
            <w:pPr>
              <w:jc w:val="left"/>
            </w:pPr>
            <w:r/>
            <w:r>
              <w:rPr>
                <w:sz w:val="18"/>
              </w:rPr>
              <w:t>Incomplete (Rule 37(a)(4)). Serial-number/PO data is essential to trace the 38 failed units to lots and CoCs. Compel full answer or proper Rule 33(d) specification.</w:t>
            </w:r>
          </w:p>
        </w:tc>
      </w:tr>
      <w:tr>
        <w:tc>
          <w:tcPr>
            <w:tcW w:type="dxa" w:w="3024"/>
          </w:tcPr>
          <w:p>
            <w:pPr>
              <w:jc w:val="left"/>
            </w:pPr>
            <w:r/>
            <w:r>
              <w:rPr>
                <w:b/>
                <w:sz w:val="18"/>
              </w:rPr>
              <w:t>Interrog. 7</w:t>
            </w:r>
            <w:r>
              <w:rPr>
                <w:sz w:val="18"/>
              </w:rPr>
              <w:t xml:space="preserve"> – All QC testing on shipped Components: method, dates, performer, reviewer, results, records.</w:t>
            </w:r>
          </w:p>
        </w:tc>
        <w:tc>
          <w:tcPr>
            <w:tcW w:type="dxa" w:w="4320"/>
          </w:tcPr>
          <w:p>
            <w:pPr>
              <w:jc w:val="left"/>
            </w:pPr>
            <w:r/>
            <w:r>
              <w:rPr>
                <w:sz w:val="18"/>
              </w:rPr>
              <w:t>Corbin's No. 7: unduly burdensome (4,280 units, 33 months), trade secret, compound, better suited to RFPs/depositions. No answer.</w:t>
            </w:r>
          </w:p>
        </w:tc>
        <w:tc>
          <w:tcPr>
            <w:tcW w:type="dxa" w:w="5616"/>
          </w:tcPr>
          <w:p>
            <w:pPr>
              <w:jc w:val="left"/>
            </w:pPr>
            <w:r/>
            <w:r>
              <w:rPr>
                <w:sz w:val="18"/>
              </w:rPr>
              <w:t>Core liability discovery. No burden evidence; records MSA § 4.2.3 required Corbin to maintain. Corbin may invoke Rule 33(d) only by specifying records and producing them, which it has not. Compel.</w:t>
            </w:r>
          </w:p>
        </w:tc>
      </w:tr>
      <w:tr>
        <w:tc>
          <w:tcPr>
            <w:tcW w:type="dxa" w:w="3024"/>
          </w:tcPr>
          <w:p>
            <w:pPr>
              <w:jc w:val="left"/>
            </w:pPr>
            <w:r/>
            <w:r>
              <w:rPr>
                <w:b/>
                <w:sz w:val="18"/>
              </w:rPr>
              <w:t>Interrog. 8</w:t>
            </w:r>
            <w:r>
              <w:rPr>
                <w:sz w:val="18"/>
              </w:rPr>
              <w:t xml:space="preserve"> – QC procedures, SOPs, inspection/control plans, FAIs, identified by number, revision, date.</w:t>
            </w:r>
          </w:p>
        </w:tc>
        <w:tc>
          <w:tcPr>
            <w:tcW w:type="dxa" w:w="4320"/>
          </w:tcPr>
          <w:p>
            <w:pPr>
              <w:jc w:val="left"/>
            </w:pPr>
            <w:r/>
            <w:r>
              <w:rPr>
                <w:sz w:val="18"/>
              </w:rPr>
              <w:t>Corbin's No. 8 addresses rejected/scrapped parts. Corbin's No. 5: trade secret, overbroad, "no protective order."</w:t>
            </w:r>
          </w:p>
        </w:tc>
        <w:tc>
          <w:tcPr>
            <w:tcW w:type="dxa" w:w="5616"/>
          </w:tcPr>
          <w:p>
            <w:pPr>
              <w:jc w:val="left"/>
            </w:pPr>
            <w:r/>
            <w:r>
              <w:rPr>
                <w:sz w:val="18"/>
              </w:rPr>
              <w:t>Procedures define what Corbin certified. Absence of protective order is Corbin's doing; Vantage offered one Aug. 14, 2024. MSA § 14.3.2 gives Vantage audit access to QMS without added NDA. Compel.</w:t>
            </w:r>
          </w:p>
        </w:tc>
      </w:tr>
      <w:tr>
        <w:tc>
          <w:tcPr>
            <w:tcW w:type="dxa" w:w="3024"/>
          </w:tcPr>
          <w:p>
            <w:pPr>
              <w:jc w:val="left"/>
            </w:pPr>
            <w:r/>
            <w:r>
              <w:rPr>
                <w:b/>
                <w:sz w:val="18"/>
              </w:rPr>
              <w:t>Interrog. 9</w:t>
            </w:r>
            <w:r>
              <w:rPr>
                <w:sz w:val="18"/>
              </w:rPr>
              <w:t xml:space="preserve"> – All Nonconformities found in Components before or after shipment; date, nature, serials, discoverer, disposition.</w:t>
            </w:r>
          </w:p>
        </w:tc>
        <w:tc>
          <w:tcPr>
            <w:tcW w:type="dxa" w:w="4320"/>
          </w:tcPr>
          <w:p>
            <w:pPr>
              <w:jc w:val="left"/>
            </w:pPr>
            <w:r/>
            <w:r>
              <w:rPr>
                <w:sz w:val="18"/>
              </w:rPr>
              <w:t>Closest: Corbin's No. 8 (rejects/scrap): overbroad, assumes facts, irrelevant because unshipped parts not at issue. Corbin's No. 17: evasive statement that procedures were "designed to ensure compliance."</w:t>
            </w:r>
          </w:p>
        </w:tc>
        <w:tc>
          <w:tcPr>
            <w:tcW w:type="dxa" w:w="5616"/>
          </w:tcPr>
          <w:p>
            <w:pPr>
              <w:jc w:val="left"/>
            </w:pPr>
            <w:r/>
            <w:r>
              <w:rPr>
                <w:sz w:val="18"/>
              </w:rPr>
              <w:t>Foss email documents repeated CMM failures (CORBIN-000247). Nonconformities found pre-shipment show knowledge and scope. "Assumes facts" is not a valid objection. Compel.</w:t>
            </w:r>
          </w:p>
        </w:tc>
      </w:tr>
      <w:tr>
        <w:tc>
          <w:tcPr>
            <w:tcW w:type="dxa" w:w="3024"/>
          </w:tcPr>
          <w:p>
            <w:pPr>
              <w:jc w:val="left"/>
            </w:pPr>
            <w:r/>
            <w:r>
              <w:rPr>
                <w:b/>
                <w:sz w:val="18"/>
              </w:rPr>
              <w:t>Interrog. 10</w:t>
            </w:r>
            <w:r>
              <w:rPr>
                <w:sz w:val="18"/>
              </w:rPr>
              <w:t xml:space="preserve"> – NCR/CAPA/MRB system; identify all NCRs/CAPAs/MRB dispositions for Vantage Components; custodians.</w:t>
            </w:r>
          </w:p>
        </w:tc>
        <w:tc>
          <w:tcPr>
            <w:tcW w:type="dxa" w:w="4320"/>
          </w:tcPr>
          <w:p>
            <w:pPr>
              <w:jc w:val="left"/>
            </w:pPr>
            <w:r/>
            <w:r>
              <w:rPr>
                <w:sz w:val="18"/>
              </w:rPr>
              <w:t>No corresponding response (Corbin's No. 10 addresses suppliers). Corbin nonetheless invokes "material review board dispositions" in its No. 18 answer.</w:t>
            </w:r>
          </w:p>
        </w:tc>
        <w:tc>
          <w:tcPr>
            <w:tcW w:type="dxa" w:w="5616"/>
          </w:tcPr>
          <w:p>
            <w:pPr>
              <w:jc w:val="left"/>
            </w:pPr>
            <w:r/>
            <w:r>
              <w:rPr>
                <w:sz w:val="18"/>
              </w:rPr>
              <w:t>Not answered; objections waived. Corbin cannot rely on MRB dispositions to deny failures while refusing to identify them. Compel.</w:t>
            </w:r>
          </w:p>
        </w:tc>
      </w:tr>
      <w:tr>
        <w:tc>
          <w:tcPr>
            <w:tcW w:type="dxa" w:w="3024"/>
          </w:tcPr>
          <w:p>
            <w:pPr>
              <w:jc w:val="left"/>
            </w:pPr>
            <w:r/>
            <w:r>
              <w:rPr>
                <w:b/>
                <w:sz w:val="18"/>
              </w:rPr>
              <w:t>Interrog. 11</w:t>
            </w:r>
            <w:r>
              <w:rPr>
                <w:sz w:val="18"/>
              </w:rPr>
              <w:t xml:space="preserve"> – Persons involved in CoC preparation; data reviewed, criteria applied, basis for certifications.</w:t>
            </w:r>
          </w:p>
        </w:tc>
        <w:tc>
          <w:tcPr>
            <w:tcW w:type="dxa" w:w="4320"/>
          </w:tcPr>
          <w:p>
            <w:pPr>
              <w:jc w:val="left"/>
            </w:pPr>
            <w:r/>
            <w:r>
              <w:rPr>
                <w:sz w:val="18"/>
              </w:rPr>
              <w:t>Partial: Corbin's No. 6 identifies Gerald Foss as "primarily responsible." Corbin's No. 14 (process): overbroad, trade secret, no protective order.</w:t>
            </w:r>
          </w:p>
        </w:tc>
        <w:tc>
          <w:tcPr>
            <w:tcW w:type="dxa" w:w="5616"/>
          </w:tcPr>
          <w:p>
            <w:pPr>
              <w:jc w:val="left"/>
            </w:pPr>
            <w:r/>
            <w:r>
              <w:rPr>
                <w:sz w:val="18"/>
              </w:rPr>
              <w:t>Incomplete. How CoCs were issued is the core of the fraud claim; Foss email shows CoC signed "as conforming" despite failures. Compel full answer.</w:t>
            </w:r>
          </w:p>
        </w:tc>
      </w:tr>
      <w:tr>
        <w:tc>
          <w:tcPr>
            <w:tcW w:type="dxa" w:w="3024"/>
          </w:tcPr>
          <w:p>
            <w:pPr>
              <w:jc w:val="left"/>
            </w:pPr>
            <w:r/>
            <w:r>
              <w:rPr>
                <w:b/>
                <w:sz w:val="18"/>
              </w:rPr>
              <w:t>Interrog. 12</w:t>
            </w:r>
            <w:r>
              <w:rPr>
                <w:sz w:val="18"/>
              </w:rPr>
              <w:t xml:space="preserve"> – Internal communications re quality issues, complaints, shipping non-passing parts, investigations.</w:t>
            </w:r>
          </w:p>
        </w:tc>
        <w:tc>
          <w:tcPr>
            <w:tcW w:type="dxa" w:w="4320"/>
          </w:tcPr>
          <w:p>
            <w:pPr>
              <w:jc w:val="left"/>
            </w:pPr>
            <w:r/>
            <w:r>
              <w:rPr>
                <w:sz w:val="18"/>
              </w:rPr>
              <w:t>Corbin's No. 12: vague, overbroad, burdensome, privilege/work product, limited resources.</w:t>
            </w:r>
          </w:p>
        </w:tc>
        <w:tc>
          <w:tcPr>
            <w:tcW w:type="dxa" w:w="5616"/>
          </w:tcPr>
          <w:p>
            <w:pPr>
              <w:jc w:val="left"/>
            </w:pPr>
            <w:r/>
            <w:r>
              <w:rPr>
                <w:sz w:val="18"/>
              </w:rPr>
              <w:t>Limited to defined topics re Vantage Components. Privilege waived (no log; CMO § 4.4). Business QC communications not privileged (Upjohn). No burden showing. Compel, with ESI protocol if needed.</w:t>
            </w:r>
          </w:p>
        </w:tc>
      </w:tr>
      <w:tr>
        <w:tc>
          <w:tcPr>
            <w:tcW w:type="dxa" w:w="3024"/>
          </w:tcPr>
          <w:p>
            <w:pPr>
              <w:jc w:val="left"/>
            </w:pPr>
            <w:r/>
            <w:r>
              <w:rPr>
                <w:b/>
                <w:sz w:val="18"/>
              </w:rPr>
              <w:t>Interrog. 13</w:t>
            </w:r>
            <w:r>
              <w:rPr>
                <w:sz w:val="18"/>
              </w:rPr>
              <w:t xml:space="preserve"> – Complaints/notifications received from Vantage or third parties re Component quality; response.</w:t>
            </w:r>
          </w:p>
        </w:tc>
        <w:tc>
          <w:tcPr>
            <w:tcW w:type="dxa" w:w="4320"/>
          </w:tcPr>
          <w:p>
            <w:pPr>
              <w:jc w:val="left"/>
            </w:pPr>
            <w:r/>
            <w:r>
              <w:rPr>
                <w:sz w:val="18"/>
              </w:rPr>
              <w:t>Corbin's No. 13 addresses Foss role. Corbin's No. 11 (other-customer issues): irrelevant, overbroad, confidential.</w:t>
            </w:r>
          </w:p>
        </w:tc>
        <w:tc>
          <w:tcPr>
            <w:tcW w:type="dxa" w:w="5616"/>
          </w:tcPr>
          <w:p>
            <w:pPr>
              <w:jc w:val="left"/>
            </w:pPr>
            <w:r/>
            <w:r>
              <w:rPr>
                <w:sz w:val="18"/>
              </w:rPr>
              <w:t>Not answered as served. Complaints show notice and knowledge, and trigger MSA § 4.2.5 notification duty. Compel.</w:t>
            </w:r>
          </w:p>
        </w:tc>
      </w:tr>
      <w:tr>
        <w:tc>
          <w:tcPr>
            <w:tcW w:type="dxa" w:w="3024"/>
          </w:tcPr>
          <w:p>
            <w:pPr>
              <w:jc w:val="left"/>
            </w:pPr>
            <w:r/>
            <w:r>
              <w:rPr>
                <w:b/>
                <w:sz w:val="18"/>
              </w:rPr>
              <w:t>Interrog. 14</w:t>
            </w:r>
            <w:r>
              <w:rPr>
                <w:sz w:val="18"/>
              </w:rPr>
              <w:t xml:space="preserve"> – Persons with authority to approve shipment; criteria; whether non-passing parts could be shipped.</w:t>
            </w:r>
          </w:p>
        </w:tc>
        <w:tc>
          <w:tcPr>
            <w:tcW w:type="dxa" w:w="4320"/>
          </w:tcPr>
          <w:p>
            <w:pPr>
              <w:jc w:val="left"/>
            </w:pPr>
            <w:r/>
            <w:r>
              <w:rPr>
                <w:sz w:val="18"/>
              </w:rPr>
              <w:t>No corresponding response.</w:t>
            </w:r>
          </w:p>
        </w:tc>
        <w:tc>
          <w:tcPr>
            <w:tcW w:type="dxa" w:w="5616"/>
          </w:tcPr>
          <w:p>
            <w:pPr>
              <w:jc w:val="left"/>
            </w:pPr>
            <w:r/>
            <w:r>
              <w:rPr>
                <w:sz w:val="18"/>
              </w:rPr>
              <w:t>Not answered; objections waived. Directly at issue: Foss cleared failed parts "per your instruction." Compel.</w:t>
            </w:r>
          </w:p>
        </w:tc>
      </w:tr>
      <w:tr>
        <w:tc>
          <w:tcPr>
            <w:tcW w:type="dxa" w:w="3024"/>
          </w:tcPr>
          <w:p>
            <w:pPr>
              <w:jc w:val="left"/>
            </w:pPr>
            <w:r/>
            <w:r>
              <w:rPr>
                <w:b/>
                <w:sz w:val="18"/>
              </w:rPr>
              <w:t>Interrog. 15</w:t>
            </w:r>
            <w:r>
              <w:rPr>
                <w:sz w:val="18"/>
              </w:rPr>
              <w:t xml:space="preserve"> – Foss's role, authority to release non-passing parts, reporting line, instructions from R. Corbin.</w:t>
            </w:r>
          </w:p>
        </w:tc>
        <w:tc>
          <w:tcPr>
            <w:tcW w:type="dxa" w:w="4320"/>
          </w:tcPr>
          <w:p>
            <w:pPr>
              <w:jc w:val="left"/>
            </w:pPr>
            <w:r/>
            <w:r>
              <w:rPr>
                <w:sz w:val="18"/>
              </w:rPr>
              <w:t>Corbin's No. 13: overbroad, disproportionate, privilege. Corbin's No. 15 (falsification): argumentative, assumes facts, premature, legal conclusion.</w:t>
            </w:r>
          </w:p>
        </w:tc>
        <w:tc>
          <w:tcPr>
            <w:tcW w:type="dxa" w:w="5616"/>
          </w:tcPr>
          <w:p>
            <w:pPr>
              <w:jc w:val="left"/>
            </w:pPr>
            <w:r/>
            <w:r>
              <w:rPr>
                <w:sz w:val="18"/>
              </w:rPr>
              <w:t>Foss is the central fact witness; authority and instructions from R. Corbin go to intent. Objections are boilerplate; no log. Compel.</w:t>
            </w:r>
          </w:p>
        </w:tc>
      </w:tr>
      <w:tr>
        <w:tc>
          <w:tcPr>
            <w:tcW w:type="dxa" w:w="3024"/>
          </w:tcPr>
          <w:p>
            <w:pPr>
              <w:jc w:val="left"/>
            </w:pPr>
            <w:r/>
            <w:r>
              <w:rPr>
                <w:b/>
                <w:sz w:val="18"/>
              </w:rPr>
              <w:t>Interrog. 16</w:t>
            </w:r>
            <w:r>
              <w:rPr>
                <w:sz w:val="18"/>
              </w:rPr>
              <w:t xml:space="preserve"> – Raymond T. Corbin's role in QC; instructions/approvals; his communications re quality.</w:t>
            </w:r>
          </w:p>
        </w:tc>
        <w:tc>
          <w:tcPr>
            <w:tcW w:type="dxa" w:w="4320"/>
          </w:tcPr>
          <w:p>
            <w:pPr>
              <w:jc w:val="left"/>
            </w:pPr>
            <w:r/>
            <w:r>
              <w:rPr>
                <w:sz w:val="18"/>
              </w:rPr>
              <w:t>Corbin's No. 16 answers a different question (±0.002 in. tolerance).</w:t>
            </w:r>
          </w:p>
        </w:tc>
        <w:tc>
          <w:tcPr>
            <w:tcW w:type="dxa" w:w="5616"/>
          </w:tcPr>
          <w:p>
            <w:pPr>
              <w:jc w:val="left"/>
            </w:pPr>
            <w:r/>
            <w:r>
              <w:rPr>
                <w:sz w:val="18"/>
              </w:rPr>
              <w:t>Not answered; objections waived. R. Corbin directed shipment of failed parts per CORBIN-000247 and verified the responses. Compel.</w:t>
            </w:r>
          </w:p>
        </w:tc>
      </w:tr>
      <w:tr>
        <w:tc>
          <w:tcPr>
            <w:tcW w:type="dxa" w:w="3024"/>
          </w:tcPr>
          <w:p>
            <w:pPr>
              <w:jc w:val="left"/>
            </w:pPr>
            <w:r/>
            <w:r>
              <w:rPr>
                <w:b/>
                <w:sz w:val="18"/>
              </w:rPr>
              <w:t>Interrog. 17</w:t>
            </w:r>
            <w:r>
              <w:rPr>
                <w:sz w:val="18"/>
              </w:rPr>
              <w:t xml:space="preserve"> – Any modification, deviation, waiver, or failure to follow QC procedures or VES-4400; dates, reasons, approvers.</w:t>
            </w:r>
          </w:p>
        </w:tc>
        <w:tc>
          <w:tcPr>
            <w:tcW w:type="dxa" w:w="4320"/>
          </w:tcPr>
          <w:p>
            <w:pPr>
              <w:jc w:val="left"/>
            </w:pPr>
            <w:r/>
            <w:r>
              <w:rPr>
                <w:sz w:val="18"/>
              </w:rPr>
              <w:t>Corbin's No. 17: overbroad, vague, assumes facts; states Corbin "maintained quality-control procedures designed to ensure compliance."</w:t>
            </w:r>
          </w:p>
        </w:tc>
        <w:tc>
          <w:tcPr>
            <w:tcW w:type="dxa" w:w="5616"/>
          </w:tcPr>
          <w:p>
            <w:pPr>
              <w:jc w:val="left"/>
            </w:pPr>
            <w:r/>
            <w:r>
              <w:rPr>
                <w:sz w:val="18"/>
              </w:rPr>
              <w:t>Evasive; treated as non-answer (Rule 37(a)(4)). The question is whether procedures were followed, not whether they existed. Compel.</w:t>
            </w:r>
          </w:p>
        </w:tc>
      </w:tr>
      <w:tr>
        <w:tc>
          <w:tcPr>
            <w:tcW w:type="dxa" w:w="3024"/>
          </w:tcPr>
          <w:p>
            <w:pPr>
              <w:jc w:val="left"/>
            </w:pPr>
            <w:r/>
            <w:r>
              <w:rPr>
                <w:b/>
                <w:sz w:val="18"/>
              </w:rPr>
              <w:t>Interrog. 18</w:t>
            </w:r>
            <w:r>
              <w:rPr>
                <w:sz w:val="18"/>
              </w:rPr>
              <w:t xml:space="preserve"> – Components that failed internal QC but were shipped; serial, PO, failure, date, tester, authorizer, CoC.</w:t>
            </w:r>
          </w:p>
        </w:tc>
        <w:tc>
          <w:tcPr>
            <w:tcW w:type="dxa" w:w="4320"/>
          </w:tcPr>
          <w:p>
            <w:pPr>
              <w:jc w:val="left"/>
            </w:pPr>
            <w:r/>
            <w:r>
              <w:rPr>
                <w:sz w:val="18"/>
              </w:rPr>
              <w:t>Corbin's No. 18: assumes facts, argumentative, "failed" vague; Corbin "not aware of any parts that 'failed'" and were shipped.</w:t>
            </w:r>
          </w:p>
        </w:tc>
        <w:tc>
          <w:tcPr>
            <w:tcW w:type="dxa" w:w="5616"/>
          </w:tcPr>
          <w:p>
            <w:pPr>
              <w:jc w:val="left"/>
            </w:pPr>
            <w:r/>
            <w:r>
              <w:rPr>
                <w:sz w:val="18"/>
              </w:rPr>
              <w:t>Contradicted by CORBIN-000247 (15 housings failed CMM, shipped "per your instruction"; "third time this quarter"). Compel complete, truthful, verified supplemental answer.</w:t>
            </w:r>
          </w:p>
        </w:tc>
      </w:tr>
      <w:tr>
        <w:tc>
          <w:tcPr>
            <w:tcW w:type="dxa" w:w="3024"/>
          </w:tcPr>
          <w:p>
            <w:pPr>
              <w:jc w:val="left"/>
            </w:pPr>
            <w:r/>
            <w:r>
              <w:rPr>
                <w:b/>
                <w:sz w:val="18"/>
              </w:rPr>
              <w:t>Interrog. 19</w:t>
            </w:r>
            <w:r>
              <w:rPr>
                <w:sz w:val="18"/>
              </w:rPr>
              <w:t xml:space="preserve"> – AMT testing: scope, methods, dates, numerical results, reports.</w:t>
            </w:r>
          </w:p>
        </w:tc>
        <w:tc>
          <w:tcPr>
            <w:tcW w:type="dxa" w:w="4320"/>
          </w:tcPr>
          <w:p>
            <w:pPr>
              <w:jc w:val="left"/>
            </w:pPr>
            <w:r/>
            <w:r>
              <w:rPr>
                <w:sz w:val="18"/>
              </w:rPr>
              <w:t>Corbin's No. 19 (AMT communications): overbroad, burdensome, third-party confidentiality, duplicative of RFPs.</w:t>
            </w:r>
          </w:p>
        </w:tc>
        <w:tc>
          <w:tcPr>
            <w:tcW w:type="dxa" w:w="5616"/>
          </w:tcPr>
          <w:p>
            <w:pPr>
              <w:jc w:val="left"/>
            </w:pPr>
            <w:r/>
            <w:r>
              <w:rPr>
                <w:sz w:val="18"/>
              </w:rPr>
              <w:t>Third-party confidentiality is not a privilege; MSA § 14.3.3 forecloses it. Duplication with RFPs is no excuse where RFPs also refused. Compel.</w:t>
            </w:r>
          </w:p>
        </w:tc>
      </w:tr>
      <w:tr>
        <w:tc>
          <w:tcPr>
            <w:tcW w:type="dxa" w:w="3024"/>
          </w:tcPr>
          <w:p>
            <w:pPr>
              <w:jc w:val="left"/>
            </w:pPr>
            <w:r/>
            <w:r>
              <w:rPr>
                <w:b/>
                <w:sz w:val="18"/>
              </w:rPr>
              <w:t>Interrog. 20</w:t>
            </w:r>
            <w:r>
              <w:rPr>
                <w:sz w:val="18"/>
              </w:rPr>
              <w:t xml:space="preserve"> – ESI systems/repositories holding Component manufacturing, QC, shipment records.</w:t>
            </w:r>
          </w:p>
        </w:tc>
        <w:tc>
          <w:tcPr>
            <w:tcW w:type="dxa" w:w="4320"/>
          </w:tcPr>
          <w:p>
            <w:pPr>
              <w:jc w:val="left"/>
            </w:pPr>
            <w:r/>
            <w:r>
              <w:rPr>
                <w:sz w:val="18"/>
              </w:rPr>
              <w:t>Corbin's No. 20 addresses persons communicating with Vantage: overbroad, vague, privilege.</w:t>
            </w:r>
          </w:p>
        </w:tc>
        <w:tc>
          <w:tcPr>
            <w:tcW w:type="dxa" w:w="5616"/>
          </w:tcPr>
          <w:p>
            <w:pPr>
              <w:jc w:val="left"/>
            </w:pPr>
            <w:r/>
            <w:r>
              <w:rPr>
                <w:sz w:val="18"/>
              </w:rPr>
              <w:t>Not answered; objections waived. Needed to frame ESI searches and assess missing CoCs. Compel.</w:t>
            </w:r>
          </w:p>
        </w:tc>
      </w:tr>
      <w:tr>
        <w:tc>
          <w:tcPr>
            <w:tcW w:type="dxa" w:w="3024"/>
          </w:tcPr>
          <w:p>
            <w:pPr>
              <w:jc w:val="left"/>
            </w:pPr>
            <w:r/>
            <w:r>
              <w:rPr>
                <w:b/>
                <w:sz w:val="18"/>
              </w:rPr>
              <w:t>Interrog. 21</w:t>
            </w:r>
            <w:r>
              <w:rPr>
                <w:sz w:val="18"/>
              </w:rPr>
              <w:t xml:space="preserve"> – Retention/destruction policies; whether relevant documents destroyed since 3/15/2021, when, by whom.</w:t>
            </w:r>
          </w:p>
        </w:tc>
        <w:tc>
          <w:tcPr>
            <w:tcW w:type="dxa" w:w="4320"/>
          </w:tcPr>
          <w:p>
            <w:pPr>
              <w:jc w:val="left"/>
            </w:pPr>
            <w:r/>
            <w:r>
              <w:rPr>
                <w:sz w:val="18"/>
              </w:rPr>
              <w:t>Corbin's No. 21 addresses root-cause investigation (privilege). Corbin's No. 22: irrelevant; "practices consistent with industry standards"; "has taken steps to preserve."</w:t>
            </w:r>
          </w:p>
        </w:tc>
        <w:tc>
          <w:tcPr>
            <w:tcW w:type="dxa" w:w="5616"/>
          </w:tcPr>
          <w:p>
            <w:pPr>
              <w:jc w:val="left"/>
            </w:pPr>
            <w:r/>
            <w:r>
              <w:rPr>
                <w:sz w:val="18"/>
              </w:rPr>
              <w:t>35 of 47 CoCs missing despite MSA § 9.4 seven-year retention. Response is evasive and omits destruction question entirely. Compel, plus sworn declaration.</w:t>
            </w:r>
          </w:p>
        </w:tc>
      </w:tr>
      <w:tr>
        <w:tc>
          <w:tcPr>
            <w:tcW w:type="dxa" w:w="3024"/>
          </w:tcPr>
          <w:p>
            <w:pPr>
              <w:jc w:val="left"/>
            </w:pPr>
            <w:r/>
            <w:r>
              <w:rPr>
                <w:b/>
                <w:sz w:val="18"/>
              </w:rPr>
              <w:t>Interrog. 22</w:t>
            </w:r>
            <w:r>
              <w:rPr>
                <w:sz w:val="18"/>
              </w:rPr>
              <w:t xml:space="preserve"> – Facts, documents, persons supporting any contention that Components conformed.</w:t>
            </w:r>
          </w:p>
        </w:tc>
        <w:tc>
          <w:tcPr>
            <w:tcW w:type="dxa" w:w="4320"/>
          </w:tcPr>
          <w:p>
            <w:pPr>
              <w:jc w:val="left"/>
            </w:pPr>
            <w:r/>
            <w:r>
              <w:rPr>
                <w:sz w:val="18"/>
              </w:rPr>
              <w:t>No corresponding response (Corbin's No. 22 addresses retention).</w:t>
            </w:r>
          </w:p>
        </w:tc>
        <w:tc>
          <w:tcPr>
            <w:tcW w:type="dxa" w:w="5616"/>
          </w:tcPr>
          <w:p>
            <w:pPr>
              <w:jc w:val="left"/>
            </w:pPr>
            <w:r/>
            <w:r>
              <w:rPr>
                <w:sz w:val="18"/>
              </w:rPr>
              <w:t>Not answered; objections waived. Contention on Corbin's central defense. Compel.</w:t>
            </w:r>
          </w:p>
        </w:tc>
      </w:tr>
      <w:tr>
        <w:tc>
          <w:tcPr>
            <w:tcW w:type="dxa" w:w="3024"/>
          </w:tcPr>
          <w:p>
            <w:pPr>
              <w:jc w:val="left"/>
            </w:pPr>
            <w:r/>
            <w:r>
              <w:rPr>
                <w:b/>
                <w:sz w:val="18"/>
              </w:rPr>
              <w:t>Interrog. 23</w:t>
            </w:r>
            <w:r>
              <w:rPr>
                <w:sz w:val="18"/>
              </w:rPr>
              <w:t xml:space="preserve"> – Third-party audits/assessments of Corbin's QMS; findings.</w:t>
            </w:r>
          </w:p>
        </w:tc>
        <w:tc>
          <w:tcPr>
            <w:tcW w:type="dxa" w:w="4320"/>
          </w:tcPr>
          <w:p>
            <w:pPr>
              <w:jc w:val="left"/>
            </w:pPr>
            <w:r/>
            <w:r>
              <w:rPr>
                <w:sz w:val="18"/>
              </w:rPr>
              <w:t>Corbin's No. 23 addresses persons with knowledge; refers to initial disclosures.</w:t>
            </w:r>
          </w:p>
        </w:tc>
        <w:tc>
          <w:tcPr>
            <w:tcW w:type="dxa" w:w="5616"/>
          </w:tcPr>
          <w:p>
            <w:pPr>
              <w:jc w:val="left"/>
            </w:pPr>
            <w:r/>
            <w:r>
              <w:rPr>
                <w:sz w:val="18"/>
              </w:rPr>
              <w:t>Not answered as served. Audit findings (ISO/registrar/customer) bear on QMS adequacy and knowledge. Compel.</w:t>
            </w:r>
          </w:p>
        </w:tc>
      </w:tr>
      <w:tr>
        <w:tc>
          <w:tcPr>
            <w:tcW w:type="dxa" w:w="3024"/>
          </w:tcPr>
          <w:p>
            <w:pPr>
              <w:jc w:val="left"/>
            </w:pPr>
            <w:r/>
            <w:r>
              <w:rPr>
                <w:b/>
                <w:sz w:val="18"/>
              </w:rPr>
              <w:t>Interrog. 24</w:t>
            </w:r>
            <w:r>
              <w:rPr>
                <w:sz w:val="18"/>
              </w:rPr>
              <w:t xml:space="preserve"> – Corbin's claimed damages and bases for any counterclaim, setoff, or affirmative defense.</w:t>
            </w:r>
          </w:p>
        </w:tc>
        <w:tc>
          <w:tcPr>
            <w:tcW w:type="dxa" w:w="4320"/>
          </w:tcPr>
          <w:p>
            <w:pPr>
              <w:jc w:val="left"/>
            </w:pPr>
            <w:r/>
            <w:r>
              <w:rPr>
                <w:sz w:val="18"/>
              </w:rPr>
              <w:t>Corbin's No. 24 answers a different question (VES-4400 metallurgical values).</w:t>
            </w:r>
          </w:p>
        </w:tc>
        <w:tc>
          <w:tcPr>
            <w:tcW w:type="dxa" w:w="5616"/>
          </w:tcPr>
          <w:p>
            <w:pPr>
              <w:jc w:val="left"/>
            </w:pPr>
            <w:r/>
            <w:r>
              <w:rPr>
                <w:sz w:val="18"/>
              </w:rPr>
              <w:t>Not answered; objections waived. Compel.</w:t>
            </w:r>
          </w:p>
        </w:tc>
      </w:tr>
      <w:tr>
        <w:tc>
          <w:tcPr>
            <w:tcW w:type="dxa" w:w="3024"/>
          </w:tcPr>
          <w:p>
            <w:pPr>
              <w:jc w:val="left"/>
            </w:pPr>
            <w:r/>
            <w:r>
              <w:rPr>
                <w:b/>
                <w:sz w:val="18"/>
              </w:rPr>
              <w:t>Interrog. 25</w:t>
            </w:r>
            <w:r>
              <w:rPr>
                <w:sz w:val="18"/>
              </w:rPr>
              <w:t xml:space="preserve"> – Anticipated trial witnesses and persons with knowledge; subjects; contact information.</w:t>
            </w:r>
          </w:p>
        </w:tc>
        <w:tc>
          <w:tcPr>
            <w:tcW w:type="dxa" w:w="4320"/>
          </w:tcPr>
          <w:p>
            <w:pPr>
              <w:jc w:val="left"/>
            </w:pPr>
            <w:r/>
            <w:r>
              <w:rPr>
                <w:sz w:val="18"/>
              </w:rPr>
              <w:t>Corbin's No. 25 answers a different question (PO count and dates).</w:t>
            </w:r>
          </w:p>
        </w:tc>
        <w:tc>
          <w:tcPr>
            <w:tcW w:type="dxa" w:w="5616"/>
          </w:tcPr>
          <w:p>
            <w:pPr>
              <w:jc w:val="left"/>
            </w:pPr>
            <w:r/>
            <w:r>
              <w:rPr>
                <w:sz w:val="18"/>
              </w:rPr>
              <w:t>Not answered; objections waived. Referral to initial disclosures (in Corbin's No. 23) does not satisfy Rule 33. Compel.</w:t>
            </w:r>
          </w:p>
        </w:tc>
      </w:tr>
    </w:tbl>
    <w:p>
      <w:pPr>
        <w:spacing w:line="240" w:lineRule="auto" w:after="120"/>
        <w:jc w:val="both"/>
      </w:pPr>
    </w:p>
    <w:p>
      <w:pPr>
        <w:keepNext/>
        <w:spacing w:line="240" w:lineRule="auto" w:after="80"/>
        <w:jc w:val="left"/>
      </w:pPr>
      <w:r>
        <w:rPr>
          <w:b/>
        </w:rPr>
        <w:t>PART 2 – FIRST REQUEST FOR PRODUCTION OF DOCUMENTS (NOS. 1–42)</w:t>
      </w:r>
    </w:p>
    <w:tbl>
      <w:tblPr>
        <w:tblW w:type="dxa" w:w="1296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024"/>
        <w:gridCol w:w="4320"/>
        <w:gridCol w:w="5616"/>
      </w:tblGrid>
      <w:tr>
        <w:trPr>
          <w:tblHeader w:val="true"/>
        </w:trPr>
        <w:tc>
          <w:tcPr>
            <w:tcW w:type="dxa" w:w="3024"/>
            <w:shd w:val="clear" w:fill="D9D9D9"/>
          </w:tcPr>
          <w:p>
            <w:pPr>
              <w:jc w:val="center"/>
            </w:pPr>
            <w:r>
              <w:rPr>
                <w:b/>
              </w:rPr>
            </w:r>
            <w:r>
              <w:rPr>
                <w:b/>
                <w:sz w:val="20"/>
              </w:rPr>
              <w:t>Served Request No. &amp; Subject</w:t>
            </w:r>
          </w:p>
        </w:tc>
        <w:tc>
          <w:tcPr>
            <w:tcW w:type="dxa" w:w="4320"/>
            <w:shd w:val="clear" w:fill="D9D9D9"/>
          </w:tcPr>
          <w:p>
            <w:pPr>
              <w:jc w:val="center"/>
            </w:pPr>
            <w:r>
              <w:rPr>
                <w:b/>
              </w:rPr>
            </w:r>
            <w:r>
              <w:rPr>
                <w:b/>
                <w:sz w:val="20"/>
              </w:rPr>
              <w:t>Corbin's Objection / Basis for Non-Response</w:t>
            </w:r>
          </w:p>
        </w:tc>
        <w:tc>
          <w:tcPr>
            <w:tcW w:type="dxa" w:w="5616"/>
            <w:shd w:val="clear" w:fill="D9D9D9"/>
          </w:tcPr>
          <w:p>
            <w:pPr>
              <w:jc w:val="center"/>
            </w:pPr>
            <w:r>
              <w:rPr>
                <w:b/>
              </w:rPr>
            </w:r>
            <w:r>
              <w:rPr>
                <w:b/>
                <w:sz w:val="20"/>
              </w:rPr>
              <w:t>Vantage's Position</w:t>
            </w:r>
          </w:p>
        </w:tc>
      </w:tr>
      <w:tr>
        <w:tc>
          <w:tcPr>
            <w:tcW w:type="dxa" w:w="3024"/>
          </w:tcPr>
          <w:p>
            <w:pPr>
              <w:jc w:val="left"/>
            </w:pPr>
            <w:r/>
            <w:r>
              <w:rPr>
                <w:b/>
                <w:sz w:val="18"/>
              </w:rPr>
              <w:t>RFP 1</w:t>
            </w:r>
            <w:r>
              <w:rPr>
                <w:sz w:val="18"/>
              </w:rPr>
              <w:t xml:space="preserve"> – MSA with amendments, and all drafts/redlines exchanged or circulated internally.</w:t>
            </w:r>
          </w:p>
        </w:tc>
        <w:tc>
          <w:tcPr>
            <w:tcW w:type="dxa" w:w="4320"/>
          </w:tcPr>
          <w:p>
            <w:pPr>
              <w:jc w:val="left"/>
            </w:pPr>
            <w:r/>
            <w:r>
              <w:rPr>
                <w:sz w:val="18"/>
              </w:rPr>
              <w:t>Corbin's No. 1: produced executed MSA (CORBIN-000001–34); objects to anything beyond executed MSA.</w:t>
            </w:r>
          </w:p>
        </w:tc>
        <w:tc>
          <w:tcPr>
            <w:tcW w:type="dxa" w:w="5616"/>
          </w:tcPr>
          <w:p>
            <w:pPr>
              <w:jc w:val="left"/>
            </w:pPr>
            <w:r/>
            <w:r>
              <w:rPr>
                <w:sz w:val="18"/>
              </w:rPr>
              <w:t>Drafts and internal markups bear on negotiated quality terms and representations. No specific objection stated; must state whether withholding (Rule 34(b)(2)(C)). Compel.</w:t>
            </w:r>
          </w:p>
        </w:tc>
      </w:tr>
      <w:tr>
        <w:tc>
          <w:tcPr>
            <w:tcW w:type="dxa" w:w="3024"/>
          </w:tcPr>
          <w:p>
            <w:pPr>
              <w:jc w:val="left"/>
            </w:pPr>
            <w:r/>
            <w:r>
              <w:rPr>
                <w:b/>
                <w:sz w:val="18"/>
              </w:rPr>
              <w:t>RFP 2</w:t>
            </w:r>
            <w:r>
              <w:rPr>
                <w:sz w:val="18"/>
              </w:rPr>
              <w:t xml:space="preserve"> – Vantage POs, acknowledgments, change orders, and internal Corbin processing records.</w:t>
            </w:r>
          </w:p>
        </w:tc>
        <w:tc>
          <w:tcPr>
            <w:tcW w:type="dxa" w:w="4320"/>
          </w:tcPr>
          <w:p>
            <w:pPr>
              <w:jc w:val="left"/>
            </w:pPr>
            <w:r/>
            <w:r>
              <w:rPr>
                <w:sz w:val="18"/>
              </w:rPr>
              <w:t>Corbin's No. 2: overbroad; produced "certain" PO confirmations (CORBIN-000035–82).</w:t>
            </w:r>
          </w:p>
        </w:tc>
        <w:tc>
          <w:tcPr>
            <w:tcW w:type="dxa" w:w="5616"/>
          </w:tcPr>
          <w:p>
            <w:pPr>
              <w:jc w:val="left"/>
            </w:pPr>
            <w:r/>
            <w:r>
              <w:rPr>
                <w:sz w:val="18"/>
              </w:rPr>
              <w:t>"Certain" production with no statement of what is withheld violates Rule 34(b)(2)(C). Internal PO records trace lots to CoCs. Compel complete production.</w:t>
            </w:r>
          </w:p>
        </w:tc>
      </w:tr>
      <w:tr>
        <w:tc>
          <w:tcPr>
            <w:tcW w:type="dxa" w:w="3024"/>
          </w:tcPr>
          <w:p>
            <w:pPr>
              <w:jc w:val="left"/>
            </w:pPr>
            <w:r/>
            <w:r>
              <w:rPr>
                <w:b/>
                <w:sz w:val="18"/>
              </w:rPr>
              <w:t>RFP 3</w:t>
            </w:r>
            <w:r>
              <w:rPr>
                <w:sz w:val="18"/>
              </w:rPr>
              <w:t xml:space="preserve"> – Invoices, packing slips, shipping records, bills of lading, delivery receipts, Apr. 2021–present.</w:t>
            </w:r>
          </w:p>
        </w:tc>
        <w:tc>
          <w:tcPr>
            <w:tcW w:type="dxa" w:w="4320"/>
          </w:tcPr>
          <w:p>
            <w:pPr>
              <w:jc w:val="left"/>
            </w:pPr>
            <w:r/>
            <w:r>
              <w:rPr>
                <w:sz w:val="18"/>
              </w:rPr>
              <w:t>Corbin's No. 3: burdensome; produced invoice summaries (CORBIN-000083–112). Corbin's No. 4: shipping records refused as burdensome ("thousands" of documents).</w:t>
            </w:r>
          </w:p>
        </w:tc>
        <w:tc>
          <w:tcPr>
            <w:tcW w:type="dxa" w:w="5616"/>
          </w:tcPr>
          <w:p>
            <w:pPr>
              <w:jc w:val="left"/>
            </w:pPr>
            <w:r/>
            <w:r>
              <w:rPr>
                <w:sz w:val="18"/>
              </w:rPr>
              <w:t>Shipping records tie serial numbers and CoCs to shipments and failed units. 47 POs is not a disproportionate volume; no burden declaration. Compel.</w:t>
            </w:r>
          </w:p>
        </w:tc>
      </w:tr>
      <w:tr>
        <w:tc>
          <w:tcPr>
            <w:tcW w:type="dxa" w:w="3024"/>
          </w:tcPr>
          <w:p>
            <w:pPr>
              <w:jc w:val="left"/>
            </w:pPr>
            <w:r/>
            <w:r>
              <w:rPr>
                <w:b/>
                <w:sz w:val="18"/>
              </w:rPr>
              <w:t>RFP 4</w:t>
            </w:r>
            <w:r>
              <w:rPr>
                <w:sz w:val="18"/>
              </w:rPr>
              <w:t xml:space="preserve"> – MSA negotiation documents (proposals, term sheets, correspondence, internal).</w:t>
            </w:r>
          </w:p>
        </w:tc>
        <w:tc>
          <w:tcPr>
            <w:tcW w:type="dxa" w:w="4320"/>
          </w:tcPr>
          <w:p>
            <w:pPr>
              <w:jc w:val="left"/>
            </w:pPr>
            <w:r/>
            <w:r>
              <w:rPr>
                <w:sz w:val="18"/>
              </w:rPr>
              <w:t>Closest: Corbin's No. 27: produced only initial proposal letter (CORBIN-000253–262); objects to internal drafts/analyses.</w:t>
            </w:r>
          </w:p>
        </w:tc>
        <w:tc>
          <w:tcPr>
            <w:tcW w:type="dxa" w:w="5616"/>
          </w:tcPr>
          <w:p>
            <w:pPr>
              <w:jc w:val="left"/>
            </w:pPr>
            <w:r/>
            <w:r>
              <w:rPr>
                <w:sz w:val="18"/>
              </w:rPr>
              <w:t>Pre-contract quality representations relevant to fraud and negligent misrepresentation. Compel.</w:t>
            </w:r>
          </w:p>
        </w:tc>
      </w:tr>
      <w:tr>
        <w:tc>
          <w:tcPr>
            <w:tcW w:type="dxa" w:w="3024"/>
          </w:tcPr>
          <w:p>
            <w:pPr>
              <w:jc w:val="left"/>
            </w:pPr>
            <w:r/>
            <w:r>
              <w:rPr>
                <w:b/>
                <w:sz w:val="18"/>
              </w:rPr>
              <w:t>RFP 5</w:t>
            </w:r>
            <w:r>
              <w:rPr>
                <w:sz w:val="18"/>
              </w:rPr>
              <w:t xml:space="preserve"> – QC records, inspection reports, CMM, metallurgical, NDE, FAI, SPC data for shipped Components, Apr. 2021–Dec. 2023.</w:t>
            </w:r>
          </w:p>
        </w:tc>
        <w:tc>
          <w:tcPr>
            <w:tcW w:type="dxa" w:w="4320"/>
          </w:tcPr>
          <w:p>
            <w:pPr>
              <w:jc w:val="left"/>
            </w:pPr>
            <w:r/>
            <w:r>
              <w:rPr>
                <w:sz w:val="18"/>
              </w:rPr>
              <w:t>Corbin's No. 5: "millions of pages" burden; trade secret; overbroad. Nothing produced. (See also Corbin's Nos. 20, 21: CMM and metallurgical data refused.)</w:t>
            </w:r>
          </w:p>
        </w:tc>
        <w:tc>
          <w:tcPr>
            <w:tcW w:type="dxa" w:w="5616"/>
          </w:tcPr>
          <w:p>
            <w:pPr>
              <w:jc w:val="left"/>
            </w:pPr>
            <w:r/>
            <w:r>
              <w:rPr>
                <w:sz w:val="18"/>
              </w:rPr>
              <w:t>Core liability evidence; limited to one customer/specification/47 POs. No burden evidence; records MSA §§ 4.2.3, 9.4 required Corbin to keep producible. Trade-secret claim unsupported; no Rule 26(c) motion. Compel, under protective order if needed.</w:t>
            </w:r>
          </w:p>
        </w:tc>
      </w:tr>
      <w:tr>
        <w:tc>
          <w:tcPr>
            <w:tcW w:type="dxa" w:w="3024"/>
          </w:tcPr>
          <w:p>
            <w:pPr>
              <w:jc w:val="left"/>
            </w:pPr>
            <w:r/>
            <w:r>
              <w:rPr>
                <w:b/>
                <w:sz w:val="18"/>
              </w:rPr>
              <w:t>RFP 6</w:t>
            </w:r>
            <w:r>
              <w:rPr>
                <w:sz w:val="18"/>
              </w:rPr>
              <w:t xml:space="preserve"> – Quality manual, QMS, quality policies and procedures (2020–present).</w:t>
            </w:r>
          </w:p>
        </w:tc>
        <w:tc>
          <w:tcPr>
            <w:tcW w:type="dxa" w:w="4320"/>
          </w:tcPr>
          <w:p>
            <w:pPr>
              <w:jc w:val="left"/>
            </w:pPr>
            <w:r/>
            <w:r>
              <w:rPr>
                <w:sz w:val="18"/>
              </w:rPr>
              <w:t>Corbin's No. 10 (QMS): trade secret; refused. (Corbin's No. 6 addresses material certs.)</w:t>
            </w:r>
          </w:p>
        </w:tc>
        <w:tc>
          <w:tcPr>
            <w:tcW w:type="dxa" w:w="5616"/>
          </w:tcPr>
          <w:p>
            <w:pPr>
              <w:jc w:val="left"/>
            </w:pPr>
            <w:r/>
            <w:r>
              <w:rPr>
                <w:sz w:val="18"/>
              </w:rPr>
              <w:t>Defines the process Corbin certified it followed; MSA § 14.3.2 grants Vantage audit access without NDA. Compel.</w:t>
            </w:r>
          </w:p>
        </w:tc>
      </w:tr>
      <w:tr>
        <w:tc>
          <w:tcPr>
            <w:tcW w:type="dxa" w:w="3024"/>
          </w:tcPr>
          <w:p>
            <w:pPr>
              <w:jc w:val="left"/>
            </w:pPr>
            <w:r/>
            <w:r>
              <w:rPr>
                <w:b/>
                <w:sz w:val="18"/>
              </w:rPr>
              <w:t>RFP 7</w:t>
            </w:r>
            <w:r>
              <w:rPr>
                <w:sz w:val="18"/>
              </w:rPr>
              <w:t xml:space="preserve"> – NCRs, CARs, PARs, MRB dispositions, deviations for Vantage Components.</w:t>
            </w:r>
          </w:p>
        </w:tc>
        <w:tc>
          <w:tcPr>
            <w:tcW w:type="dxa" w:w="4320"/>
          </w:tcPr>
          <w:p>
            <w:pPr>
              <w:jc w:val="left"/>
            </w:pPr>
            <w:r/>
            <w:r>
              <w:rPr>
                <w:sz w:val="18"/>
              </w:rPr>
              <w:t>Corbin's No. 8: overbroad, burdensome, privilege/work product, proprietary. Refused.</w:t>
            </w:r>
          </w:p>
        </w:tc>
        <w:tc>
          <w:tcPr>
            <w:tcW w:type="dxa" w:w="5616"/>
          </w:tcPr>
          <w:p>
            <w:pPr>
              <w:jc w:val="left"/>
            </w:pPr>
            <w:r/>
            <w:r>
              <w:rPr>
                <w:sz w:val="18"/>
              </w:rPr>
              <w:t>Ordinary-course quality records required by MSA § 4.2.3 and ISO 9001 are not work product (Martin). Privilege waived (no log). Compel.</w:t>
            </w:r>
          </w:p>
        </w:tc>
      </w:tr>
      <w:tr>
        <w:tc>
          <w:tcPr>
            <w:tcW w:type="dxa" w:w="3024"/>
          </w:tcPr>
          <w:p>
            <w:pPr>
              <w:jc w:val="left"/>
            </w:pPr>
            <w:r/>
            <w:r>
              <w:rPr>
                <w:b/>
                <w:sz w:val="18"/>
              </w:rPr>
              <w:t>RFP 8</w:t>
            </w:r>
            <w:r>
              <w:rPr>
                <w:sz w:val="18"/>
              </w:rPr>
              <w:t xml:space="preserve"> – Material certifications, mill test reports, traceability for Type 347 used in Components.</w:t>
            </w:r>
          </w:p>
        </w:tc>
        <w:tc>
          <w:tcPr>
            <w:tcW w:type="dxa" w:w="4320"/>
          </w:tcPr>
          <w:p>
            <w:pPr>
              <w:jc w:val="left"/>
            </w:pPr>
            <w:r/>
            <w:r>
              <w:rPr>
                <w:sz w:val="18"/>
              </w:rPr>
              <w:t>Corbin's No. 6: trade secret (sourcing/supplier relationships); overbroad. Refused.</w:t>
            </w:r>
          </w:p>
        </w:tc>
        <w:tc>
          <w:tcPr>
            <w:tcW w:type="dxa" w:w="5616"/>
          </w:tcPr>
          <w:p>
            <w:pPr>
              <w:jc w:val="left"/>
            </w:pPr>
            <w:r/>
            <w:r>
              <w:rPr>
                <w:sz w:val="18"/>
              </w:rPr>
              <w:t>Material conformance is an express CoC certification (MSA § 4.2.4(c)); certs must be retained (§ 4.2.2). Compel.</w:t>
            </w:r>
          </w:p>
        </w:tc>
      </w:tr>
      <w:tr>
        <w:tc>
          <w:tcPr>
            <w:tcW w:type="dxa" w:w="3024"/>
          </w:tcPr>
          <w:p>
            <w:pPr>
              <w:jc w:val="left"/>
            </w:pPr>
            <w:r/>
            <w:r>
              <w:rPr>
                <w:b/>
                <w:sz w:val="18"/>
              </w:rPr>
              <w:t>RFP 9</w:t>
            </w:r>
            <w:r>
              <w:rPr>
                <w:sz w:val="18"/>
              </w:rPr>
              <w:t xml:space="preserve"> – Heat treatment procedures, furnace records, time-temperature charts, deviations.</w:t>
            </w:r>
          </w:p>
        </w:tc>
        <w:tc>
          <w:tcPr>
            <w:tcW w:type="dxa" w:w="4320"/>
          </w:tcPr>
          <w:p>
            <w:pPr>
              <w:jc w:val="left"/>
            </w:pPr>
            <w:r/>
            <w:r>
              <w:rPr>
                <w:sz w:val="18"/>
              </w:rPr>
              <w:t>Corbin's No. 7: trade secret (temperature profiles, hold times). Refused.</w:t>
            </w:r>
          </w:p>
        </w:tc>
        <w:tc>
          <w:tcPr>
            <w:tcW w:type="dxa" w:w="5616"/>
          </w:tcPr>
          <w:p>
            <w:pPr>
              <w:jc w:val="left"/>
            </w:pPr>
            <w:r/>
            <w:r>
              <w:rPr>
                <w:sz w:val="18"/>
              </w:rPr>
              <w:t>Heat treatment affects tensile/Charpy properties at issue. Protective order addresses confidentiality. Compel.</w:t>
            </w:r>
          </w:p>
        </w:tc>
      </w:tr>
      <w:tr>
        <w:tc>
          <w:tcPr>
            <w:tcW w:type="dxa" w:w="3024"/>
          </w:tcPr>
          <w:p>
            <w:pPr>
              <w:jc w:val="left"/>
            </w:pPr>
            <w:r/>
            <w:r>
              <w:rPr>
                <w:b/>
                <w:sz w:val="18"/>
              </w:rPr>
              <w:t>RFP 10</w:t>
            </w:r>
            <w:r>
              <w:rPr>
                <w:sz w:val="18"/>
              </w:rPr>
              <w:t xml:space="preserve"> – Machining parameters, CNC programs, tooling records, tool change logs, routings, work instructions.</w:t>
            </w:r>
          </w:p>
        </w:tc>
        <w:tc>
          <w:tcPr>
            <w:tcW w:type="dxa" w:w="4320"/>
          </w:tcPr>
          <w:p>
            <w:pPr>
              <w:jc w:val="left"/>
            </w:pPr>
            <w:r/>
            <w:r>
              <w:rPr>
                <w:sz w:val="18"/>
              </w:rPr>
              <w:t>No direct response (Corbin's No. 10 addresses QMS; No. 23 rework refused as trade secret/burdensome).</w:t>
            </w:r>
          </w:p>
        </w:tc>
        <w:tc>
          <w:tcPr>
            <w:tcW w:type="dxa" w:w="5616"/>
          </w:tcPr>
          <w:p>
            <w:pPr>
              <w:jc w:val="left"/>
            </w:pPr>
            <w:r/>
            <w:r>
              <w:rPr>
                <w:sz w:val="18"/>
              </w:rPr>
              <w:t>Not answered as served. Foss email attributes failures to known "tooling wear"; tool change logs are critical. Compel.</w:t>
            </w:r>
          </w:p>
        </w:tc>
      </w:tr>
      <w:tr>
        <w:tc>
          <w:tcPr>
            <w:tcW w:type="dxa" w:w="3024"/>
          </w:tcPr>
          <w:p>
            <w:pPr>
              <w:jc w:val="left"/>
            </w:pPr>
            <w:r/>
            <w:r>
              <w:rPr>
                <w:b/>
                <w:sz w:val="18"/>
              </w:rPr>
              <w:t>RFP 11</w:t>
            </w:r>
            <w:r>
              <w:rPr>
                <w:sz w:val="18"/>
              </w:rPr>
              <w:t xml:space="preserve"> – Customer complaints re Type 347/turbine components from any customer, Relevant Period.</w:t>
            </w:r>
          </w:p>
        </w:tc>
        <w:tc>
          <w:tcPr>
            <w:tcW w:type="dxa" w:w="4320"/>
          </w:tcPr>
          <w:p>
            <w:pPr>
              <w:jc w:val="left"/>
            </w:pPr>
            <w:r/>
            <w:r>
              <w:rPr>
                <w:sz w:val="18"/>
              </w:rPr>
              <w:t>Corbin's No. 9: not limited to Vantage; third-party confidentiality; temporal scope. Refused.</w:t>
            </w:r>
          </w:p>
        </w:tc>
        <w:tc>
          <w:tcPr>
            <w:tcW w:type="dxa" w:w="5616"/>
          </w:tcPr>
          <w:p>
            <w:pPr>
              <w:jc w:val="left"/>
            </w:pPr>
            <w:r/>
            <w:r>
              <w:rPr>
                <w:sz w:val="18"/>
              </w:rPr>
              <w:t>Probative of knowledge, intent, systemic tooling issue. Vantage will accept limit to Type 347 or turbine components from 1/1/2020, with confidentiality designation. Compel as limited.</w:t>
            </w:r>
          </w:p>
        </w:tc>
      </w:tr>
      <w:tr>
        <w:tc>
          <w:tcPr>
            <w:tcW w:type="dxa" w:w="3024"/>
          </w:tcPr>
          <w:p>
            <w:pPr>
              <w:jc w:val="left"/>
            </w:pPr>
            <w:r/>
            <w:r>
              <w:rPr>
                <w:b/>
                <w:sz w:val="18"/>
              </w:rPr>
              <w:t>RFP 12</w:t>
            </w:r>
            <w:r>
              <w:rPr>
                <w:sz w:val="18"/>
              </w:rPr>
              <w:t xml:space="preserve"> – Returns, rejections, warranty claims for Components or Type 347 components, any customer.</w:t>
            </w:r>
          </w:p>
        </w:tc>
        <w:tc>
          <w:tcPr>
            <w:tcW w:type="dxa" w:w="4320"/>
          </w:tcPr>
          <w:p>
            <w:pPr>
              <w:jc w:val="left"/>
            </w:pPr>
            <w:r/>
            <w:r>
              <w:rPr>
                <w:sz w:val="18"/>
              </w:rPr>
              <w:t>No direct response (closest: Corbin's No. 30, other-customer communications: irrelevant, confidential).</w:t>
            </w:r>
          </w:p>
        </w:tc>
        <w:tc>
          <w:tcPr>
            <w:tcW w:type="dxa" w:w="5616"/>
          </w:tcPr>
          <w:p>
            <w:pPr>
              <w:jc w:val="left"/>
            </w:pPr>
            <w:r/>
            <w:r>
              <w:rPr>
                <w:sz w:val="18"/>
              </w:rPr>
              <w:t>Same as RFP 11. Compel as limited.</w:t>
            </w:r>
          </w:p>
        </w:tc>
      </w:tr>
      <w:tr>
        <w:tc>
          <w:tcPr>
            <w:tcW w:type="dxa" w:w="3024"/>
          </w:tcPr>
          <w:p>
            <w:pPr>
              <w:jc w:val="left"/>
            </w:pPr>
            <w:r/>
            <w:r>
              <w:rPr>
                <w:b/>
                <w:sz w:val="18"/>
              </w:rPr>
              <w:t>RFP 13</w:t>
            </w:r>
            <w:r>
              <w:rPr>
                <w:sz w:val="18"/>
              </w:rPr>
              <w:t xml:space="preserve"> – Root-cause/failure analyses of Component or Type 347 failures, including by third parties.</w:t>
            </w:r>
          </w:p>
        </w:tc>
        <w:tc>
          <w:tcPr>
            <w:tcW w:type="dxa" w:w="4320"/>
          </w:tcPr>
          <w:p>
            <w:pPr>
              <w:jc w:val="left"/>
            </w:pPr>
            <w:r/>
            <w:r>
              <w:rPr>
                <w:sz w:val="18"/>
              </w:rPr>
              <w:t>Corbin's No. 29: prepared at direction of counsel; privilege/work product; overbroad. Refused.</w:t>
            </w:r>
          </w:p>
        </w:tc>
        <w:tc>
          <w:tcPr>
            <w:tcW w:type="dxa" w:w="5616"/>
          </w:tcPr>
          <w:p>
            <w:pPr>
              <w:jc w:val="left"/>
            </w:pPr>
            <w:r/>
            <w:r>
              <w:rPr>
                <w:sz w:val="18"/>
              </w:rPr>
              <w:t>No log; waived. Unsupported by declaration; pre-2024 and ordinary-course analyses are not work product; facts and engineering data are discoverable. Alternatively log + in camera review.</w:t>
            </w:r>
          </w:p>
        </w:tc>
      </w:tr>
      <w:tr>
        <w:tc>
          <w:tcPr>
            <w:tcW w:type="dxa" w:w="3024"/>
          </w:tcPr>
          <w:p>
            <w:pPr>
              <w:jc w:val="left"/>
            </w:pPr>
            <w:r/>
            <w:r>
              <w:rPr>
                <w:b/>
                <w:sz w:val="18"/>
              </w:rPr>
              <w:t>RFP 14</w:t>
            </w:r>
            <w:r>
              <w:rPr>
                <w:sz w:val="18"/>
              </w:rPr>
              <w:t xml:space="preserve"> – Electronic communications between QC and production departments re Vantage, Components, VES-4400, CoCs, quality issues (2021–present).</w:t>
            </w:r>
          </w:p>
        </w:tc>
        <w:tc>
          <w:tcPr>
            <w:tcW w:type="dxa" w:w="4320"/>
          </w:tcPr>
          <w:p>
            <w:pPr>
              <w:jc w:val="left"/>
            </w:pPr>
            <w:r/>
            <w:r>
              <w:rPr>
                <w:sz w:val="18"/>
              </w:rPr>
              <w:t>Corbin's No. 14: privilege/work product; overbroad; burdensome; not proportional. Refused.</w:t>
            </w:r>
          </w:p>
        </w:tc>
        <w:tc>
          <w:tcPr>
            <w:tcW w:type="dxa" w:w="5616"/>
          </w:tcPr>
          <w:p>
            <w:pPr>
              <w:jc w:val="left"/>
            </w:pPr>
            <w:r/>
            <w:r>
              <w:rPr>
                <w:sz w:val="18"/>
              </w:rPr>
              <w:t>Inter-departmental business communications are not privileged; no log; waived. Narrowly defined by departments and topics. Compel, with custodian/search-term protocol if needed.</w:t>
            </w:r>
          </w:p>
        </w:tc>
      </w:tr>
      <w:tr>
        <w:tc>
          <w:tcPr>
            <w:tcW w:type="dxa" w:w="3024"/>
          </w:tcPr>
          <w:p>
            <w:pPr>
              <w:jc w:val="left"/>
            </w:pPr>
            <w:r/>
            <w:r>
              <w:rPr>
                <w:b/>
                <w:sz w:val="18"/>
              </w:rPr>
              <w:t>RFP 15</w:t>
            </w:r>
            <w:r>
              <w:rPr>
                <w:sz w:val="18"/>
              </w:rPr>
              <w:t xml:space="preserve"> – Raymond T. Corbin–Gerald Foss communications re Components, QC, VES-4400, CoCs, quality issues (Relevant Period).</w:t>
            </w:r>
          </w:p>
        </w:tc>
        <w:tc>
          <w:tcPr>
            <w:tcW w:type="dxa" w:w="4320"/>
          </w:tcPr>
          <w:p>
            <w:pPr>
              <w:jc w:val="left"/>
            </w:pPr>
            <w:r/>
            <w:r>
              <w:rPr>
                <w:sz w:val="18"/>
              </w:rPr>
              <w:t>Corbin's No. 15: privilege; "contains no temporal limitation." Refused.</w:t>
            </w:r>
          </w:p>
        </w:tc>
        <w:tc>
          <w:tcPr>
            <w:tcW w:type="dxa" w:w="5616"/>
          </w:tcPr>
          <w:p>
            <w:pPr>
              <w:jc w:val="left"/>
            </w:pPr>
            <w:r/>
            <w:r>
              <w:rPr>
                <w:sz w:val="18"/>
              </w:rPr>
              <w:t>Served request is limited to the Relevant Period. Corbin produced one such email (CORBIN-000247) without privilege claim, confirming these are business communications. No log. Compel.</w:t>
            </w:r>
          </w:p>
        </w:tc>
      </w:tr>
      <w:tr>
        <w:tc>
          <w:tcPr>
            <w:tcW w:type="dxa" w:w="3024"/>
          </w:tcPr>
          <w:p>
            <w:pPr>
              <w:jc w:val="left"/>
            </w:pPr>
            <w:r/>
            <w:r>
              <w:rPr>
                <w:b/>
                <w:sz w:val="18"/>
              </w:rPr>
              <w:t>RFP 16</w:t>
            </w:r>
            <w:r>
              <w:rPr>
                <w:sz w:val="18"/>
              </w:rPr>
              <w:t xml:space="preserve"> – Raymond T. Corbin's communications with Vantage personnel.</w:t>
            </w:r>
          </w:p>
        </w:tc>
        <w:tc>
          <w:tcPr>
            <w:tcW w:type="dxa" w:w="4320"/>
          </w:tcPr>
          <w:p>
            <w:pPr>
              <w:jc w:val="left"/>
            </w:pPr>
            <w:r/>
            <w:r>
              <w:rPr>
                <w:sz w:val="18"/>
              </w:rPr>
              <w:t>No corresponding response (Corbin's No. 16 addresses recalls).</w:t>
            </w:r>
          </w:p>
        </w:tc>
        <w:tc>
          <w:tcPr>
            <w:tcW w:type="dxa" w:w="5616"/>
          </w:tcPr>
          <w:p>
            <w:pPr>
              <w:jc w:val="left"/>
            </w:pPr>
            <w:r/>
            <w:r>
              <w:rPr>
                <w:sz w:val="18"/>
              </w:rPr>
              <w:t>Not answered; objections waived. Compel.</w:t>
            </w:r>
          </w:p>
        </w:tc>
      </w:tr>
      <w:tr>
        <w:tc>
          <w:tcPr>
            <w:tcW w:type="dxa" w:w="3024"/>
          </w:tcPr>
          <w:p>
            <w:pPr>
              <w:jc w:val="left"/>
            </w:pPr>
            <w:r/>
            <w:r>
              <w:rPr>
                <w:b/>
                <w:sz w:val="18"/>
              </w:rPr>
              <w:t>RFP 17</w:t>
            </w:r>
            <w:r>
              <w:rPr>
                <w:sz w:val="18"/>
              </w:rPr>
              <w:t xml:space="preserve"> – Gerald Foss's communications with Vantage personnel.</w:t>
            </w:r>
          </w:p>
        </w:tc>
        <w:tc>
          <w:tcPr>
            <w:tcW w:type="dxa" w:w="4320"/>
          </w:tcPr>
          <w:p>
            <w:pPr>
              <w:jc w:val="left"/>
            </w:pPr>
            <w:r/>
            <w:r>
              <w:rPr>
                <w:sz w:val="18"/>
              </w:rPr>
              <w:t>No corresponding response (Corbin's No. 17 addresses insurance).</w:t>
            </w:r>
          </w:p>
        </w:tc>
        <w:tc>
          <w:tcPr>
            <w:tcW w:type="dxa" w:w="5616"/>
          </w:tcPr>
          <w:p>
            <w:pPr>
              <w:jc w:val="left"/>
            </w:pPr>
            <w:r/>
            <w:r>
              <w:rPr>
                <w:sz w:val="18"/>
              </w:rPr>
              <w:t>Not answered; objections waived. Compel.</w:t>
            </w:r>
          </w:p>
        </w:tc>
      </w:tr>
      <w:tr>
        <w:tc>
          <w:tcPr>
            <w:tcW w:type="dxa" w:w="3024"/>
          </w:tcPr>
          <w:p>
            <w:pPr>
              <w:jc w:val="left"/>
            </w:pPr>
            <w:r/>
            <w:r>
              <w:rPr>
                <w:b/>
                <w:sz w:val="18"/>
              </w:rPr>
              <w:t>RFP 18</w:t>
            </w:r>
            <w:r>
              <w:rPr>
                <w:sz w:val="18"/>
              </w:rPr>
              <w:t xml:space="preserve"> – Training records and competency assessments for personnel making, inspecting, certifying Components.</w:t>
            </w:r>
          </w:p>
        </w:tc>
        <w:tc>
          <w:tcPr>
            <w:tcW w:type="dxa" w:w="4320"/>
          </w:tcPr>
          <w:p>
            <w:pPr>
              <w:jc w:val="left"/>
            </w:pPr>
            <w:r/>
            <w:r>
              <w:rPr>
                <w:sz w:val="18"/>
              </w:rPr>
              <w:t>Corbin's No. 11: overbroad, burdensome, employee privacy. Refused.</w:t>
            </w:r>
          </w:p>
        </w:tc>
        <w:tc>
          <w:tcPr>
            <w:tcW w:type="dxa" w:w="5616"/>
          </w:tcPr>
          <w:p>
            <w:pPr>
              <w:jc w:val="left"/>
            </w:pPr>
            <w:r/>
            <w:r>
              <w:rPr>
                <w:sz w:val="18"/>
              </w:rPr>
              <w:t>Qualification of inspectors and CoC signers is relevant; privacy addressed by confidentiality designation. Compel.</w:t>
            </w:r>
          </w:p>
        </w:tc>
      </w:tr>
      <w:tr>
        <w:tc>
          <w:tcPr>
            <w:tcW w:type="dxa" w:w="3024"/>
          </w:tcPr>
          <w:p>
            <w:pPr>
              <w:jc w:val="left"/>
            </w:pPr>
            <w:r/>
            <w:r>
              <w:rPr>
                <w:b/>
                <w:sz w:val="18"/>
              </w:rPr>
              <w:t>RFP 19</w:t>
            </w:r>
            <w:r>
              <w:rPr>
                <w:sz w:val="18"/>
              </w:rPr>
              <w:t xml:space="preserve"> – Calibration records for inspection/test equipment used on Components.</w:t>
            </w:r>
          </w:p>
        </w:tc>
        <w:tc>
          <w:tcPr>
            <w:tcW w:type="dxa" w:w="4320"/>
          </w:tcPr>
          <w:p>
            <w:pPr>
              <w:jc w:val="left"/>
            </w:pPr>
            <w:r/>
            <w:r>
              <w:rPr>
                <w:sz w:val="18"/>
              </w:rPr>
              <w:t>Corbin's No. 24: burdensome (hundreds of instruments), not limited. Refused.</w:t>
            </w:r>
          </w:p>
        </w:tc>
        <w:tc>
          <w:tcPr>
            <w:tcW w:type="dxa" w:w="5616"/>
          </w:tcPr>
          <w:p>
            <w:pPr>
              <w:jc w:val="left"/>
            </w:pPr>
            <w:r/>
            <w:r>
              <w:rPr>
                <w:sz w:val="18"/>
              </w:rPr>
              <w:t>Limited to equipment used on Vantage Components; MSA § 4.2.3(a) requires NIST-traceable CMMs. Validity of CMM data depends on calibration. Compel.</w:t>
            </w:r>
          </w:p>
        </w:tc>
      </w:tr>
      <w:tr>
        <w:tc>
          <w:tcPr>
            <w:tcW w:type="dxa" w:w="3024"/>
          </w:tcPr>
          <w:p>
            <w:pPr>
              <w:jc w:val="left"/>
            </w:pPr>
            <w:r/>
            <w:r>
              <w:rPr>
                <w:b/>
                <w:sz w:val="18"/>
              </w:rPr>
              <w:t>RFP 20</w:t>
            </w:r>
            <w:r>
              <w:rPr>
                <w:sz w:val="18"/>
              </w:rPr>
              <w:t xml:space="preserve"> – Procurement of Type 347 raw material (supplier POs, receiving inspection, supplier qualification).</w:t>
            </w:r>
          </w:p>
        </w:tc>
        <w:tc>
          <w:tcPr>
            <w:tcW w:type="dxa" w:w="4320"/>
          </w:tcPr>
          <w:p>
            <w:pPr>
              <w:jc w:val="left"/>
            </w:pPr>
            <w:r/>
            <w:r>
              <w:rPr>
                <w:sz w:val="18"/>
              </w:rPr>
              <w:t>Corbin's No. 19: overbroad; trade secret; supplier confidentiality. Refused.</w:t>
            </w:r>
          </w:p>
        </w:tc>
        <w:tc>
          <w:tcPr>
            <w:tcW w:type="dxa" w:w="5616"/>
          </w:tcPr>
          <w:p>
            <w:pPr>
              <w:jc w:val="left"/>
            </w:pPr>
            <w:r/>
            <w:r>
              <w:rPr>
                <w:sz w:val="18"/>
              </w:rPr>
              <w:t>Same as RFP 8. Compel; pricing may be redacted or designated confidential.</w:t>
            </w:r>
          </w:p>
        </w:tc>
      </w:tr>
      <w:tr>
        <w:tc>
          <w:tcPr>
            <w:tcW w:type="dxa" w:w="3024"/>
          </w:tcPr>
          <w:p>
            <w:pPr>
              <w:jc w:val="left"/>
            </w:pPr>
            <w:r/>
            <w:r>
              <w:rPr>
                <w:b/>
                <w:sz w:val="18"/>
              </w:rPr>
              <w:t>RFP 21</w:t>
            </w:r>
            <w:r>
              <w:rPr>
                <w:sz w:val="18"/>
              </w:rPr>
              <w:t xml:space="preserve"> – Internal, customer, registrar, and ISO audits of QMS; findings and corrective actions.</w:t>
            </w:r>
          </w:p>
        </w:tc>
        <w:tc>
          <w:tcPr>
            <w:tcW w:type="dxa" w:w="4320"/>
          </w:tcPr>
          <w:p>
            <w:pPr>
              <w:jc w:val="left"/>
            </w:pPr>
            <w:r/>
            <w:r>
              <w:rPr>
                <w:sz w:val="18"/>
              </w:rPr>
              <w:t>Corbin's No. 13: privilege/work product; overbroad. Refused.</w:t>
            </w:r>
          </w:p>
        </w:tc>
        <w:tc>
          <w:tcPr>
            <w:tcW w:type="dxa" w:w="5616"/>
          </w:tcPr>
          <w:p>
            <w:pPr>
              <w:jc w:val="left"/>
            </w:pPr>
            <w:r/>
            <w:r>
              <w:rPr>
                <w:sz w:val="18"/>
              </w:rPr>
              <w:t>ISO and internal audits are ordinary-course business records; no log; waived. Compel.</w:t>
            </w:r>
          </w:p>
        </w:tc>
      </w:tr>
      <w:tr>
        <w:tc>
          <w:tcPr>
            <w:tcW w:type="dxa" w:w="3024"/>
          </w:tcPr>
          <w:p>
            <w:pPr>
              <w:jc w:val="left"/>
            </w:pPr>
            <w:r/>
            <w:r>
              <w:rPr>
                <w:b/>
                <w:sz w:val="18"/>
              </w:rPr>
              <w:t>RFP 22</w:t>
            </w:r>
            <w:r>
              <w:rPr>
                <w:sz w:val="18"/>
              </w:rPr>
              <w:t xml:space="preserve"> – CoCs for each shipment Apr. 2021–Dec. 2023, with underlying inspection/test data.</w:t>
            </w:r>
          </w:p>
        </w:tc>
        <w:tc>
          <w:tcPr>
            <w:tcW w:type="dxa" w:w="4320"/>
          </w:tcPr>
          <w:p>
            <w:pPr>
              <w:jc w:val="left"/>
            </w:pPr>
            <w:r/>
            <w:r>
              <w:rPr>
                <w:sz w:val="18"/>
              </w:rPr>
              <w:t>Corbin's No. 22: produced 12 CoCs (CORBIN-000127–246); remaining 35 "cannot be located after a diligent search." Underlying data not produced.</w:t>
            </w:r>
          </w:p>
        </w:tc>
        <w:tc>
          <w:tcPr>
            <w:tcW w:type="dxa" w:w="5616"/>
          </w:tcPr>
          <w:p>
            <w:pPr>
              <w:jc w:val="left"/>
            </w:pPr>
            <w:r/>
            <w:r>
              <w:rPr>
                <w:sz w:val="18"/>
              </w:rPr>
              <w:t>74.5% missing despite MSA § 9.4 retention/no-destruction duty. Compel underlying data; identify which POs lack CoCs; sworn declaration on search, custodians, systems, and disposition.</w:t>
            </w:r>
          </w:p>
        </w:tc>
      </w:tr>
      <w:tr>
        <w:tc>
          <w:tcPr>
            <w:tcW w:type="dxa" w:w="3024"/>
          </w:tcPr>
          <w:p>
            <w:pPr>
              <w:jc w:val="left"/>
            </w:pPr>
            <w:r/>
            <w:r>
              <w:rPr>
                <w:b/>
                <w:sz w:val="18"/>
              </w:rPr>
              <w:t>RFP 23</w:t>
            </w:r>
            <w:r>
              <w:rPr>
                <w:sz w:val="18"/>
              </w:rPr>
              <w:t xml:space="preserve"> – CoC SOPs, templates, checklists, approval workflows, delegations, training.</w:t>
            </w:r>
          </w:p>
        </w:tc>
        <w:tc>
          <w:tcPr>
            <w:tcW w:type="dxa" w:w="4320"/>
          </w:tcPr>
          <w:p>
            <w:pPr>
              <w:jc w:val="left"/>
            </w:pPr>
            <w:r/>
            <w:r>
              <w:rPr>
                <w:sz w:val="18"/>
              </w:rPr>
              <w:t>Corbin's No. 38: trade secret; overbroad. Refused.</w:t>
            </w:r>
          </w:p>
        </w:tc>
        <w:tc>
          <w:tcPr>
            <w:tcW w:type="dxa" w:w="5616"/>
          </w:tcPr>
          <w:p>
            <w:pPr>
              <w:jc w:val="left"/>
            </w:pPr>
            <w:r/>
            <w:r>
              <w:rPr>
                <w:sz w:val="18"/>
              </w:rPr>
              <w:t>The CoC process is the heart of the fraud claim; a certification template is not a trade secret. Compel.</w:t>
            </w:r>
          </w:p>
        </w:tc>
      </w:tr>
      <w:tr>
        <w:tc>
          <w:tcPr>
            <w:tcW w:type="dxa" w:w="3024"/>
          </w:tcPr>
          <w:p>
            <w:pPr>
              <w:jc w:val="left"/>
            </w:pPr>
            <w:r/>
            <w:r>
              <w:rPr>
                <w:b/>
                <w:sz w:val="18"/>
              </w:rPr>
              <w:t>RFP 24</w:t>
            </w:r>
            <w:r>
              <w:rPr>
                <w:sz w:val="18"/>
              </w:rPr>
              <w:t xml:space="preserve"> – Instances of shipping product without a valid CoC.</w:t>
            </w:r>
          </w:p>
        </w:tc>
        <w:tc>
          <w:tcPr>
            <w:tcW w:type="dxa" w:w="4320"/>
          </w:tcPr>
          <w:p>
            <w:pPr>
              <w:jc w:val="left"/>
            </w:pPr>
            <w:r/>
            <w:r>
              <w:rPr>
                <w:sz w:val="18"/>
              </w:rPr>
              <w:t>No corresponding response.</w:t>
            </w:r>
          </w:p>
        </w:tc>
        <w:tc>
          <w:tcPr>
            <w:tcW w:type="dxa" w:w="5616"/>
          </w:tcPr>
          <w:p>
            <w:pPr>
              <w:jc w:val="left"/>
            </w:pPr>
            <w:r/>
            <w:r>
              <w:rPr>
                <w:sz w:val="18"/>
              </w:rPr>
              <w:t>Not answered; objections waived. Compel.</w:t>
            </w:r>
          </w:p>
        </w:tc>
      </w:tr>
      <w:tr>
        <w:tc>
          <w:tcPr>
            <w:tcW w:type="dxa" w:w="3024"/>
          </w:tcPr>
          <w:p>
            <w:pPr>
              <w:jc w:val="left"/>
            </w:pPr>
            <w:r/>
            <w:r>
              <w:rPr>
                <w:b/>
                <w:sz w:val="18"/>
              </w:rPr>
              <w:t>RFP 25</w:t>
            </w:r>
            <w:r>
              <w:rPr>
                <w:sz w:val="18"/>
              </w:rPr>
              <w:t xml:space="preserve"> – Organizational charts and QC/manufacturing/engineering/sales reporting lines, Relevant Period.</w:t>
            </w:r>
          </w:p>
        </w:tc>
        <w:tc>
          <w:tcPr>
            <w:tcW w:type="dxa" w:w="4320"/>
          </w:tcPr>
          <w:p>
            <w:pPr>
              <w:jc w:val="left"/>
            </w:pPr>
            <w:r/>
            <w:r>
              <w:rPr>
                <w:sz w:val="18"/>
              </w:rPr>
              <w:t>Corbin's No. 12: overbroad; produced one company chart dated Jan. 2022 (CORBIN-000113).</w:t>
            </w:r>
          </w:p>
        </w:tc>
        <w:tc>
          <w:tcPr>
            <w:tcW w:type="dxa" w:w="5616"/>
          </w:tcPr>
          <w:p>
            <w:pPr>
              <w:jc w:val="left"/>
            </w:pPr>
            <w:r/>
            <w:r>
              <w:rPr>
                <w:sz w:val="18"/>
              </w:rPr>
              <w:t>Single snapshot insufficient for 2021–2023 period. Compel department-level charts for Relevant Period.</w:t>
            </w:r>
          </w:p>
        </w:tc>
      </w:tr>
      <w:tr>
        <w:tc>
          <w:tcPr>
            <w:tcW w:type="dxa" w:w="3024"/>
          </w:tcPr>
          <w:p>
            <w:pPr>
              <w:jc w:val="left"/>
            </w:pPr>
            <w:r/>
            <w:r>
              <w:rPr>
                <w:b/>
                <w:sz w:val="18"/>
              </w:rPr>
              <w:t>RFP 26</w:t>
            </w:r>
            <w:r>
              <w:rPr>
                <w:sz w:val="18"/>
              </w:rPr>
              <w:t xml:space="preserve"> – Job descriptions, authority, personnel records of Foss and other QC Managers.</w:t>
            </w:r>
          </w:p>
        </w:tc>
        <w:tc>
          <w:tcPr>
            <w:tcW w:type="dxa" w:w="4320"/>
          </w:tcPr>
          <w:p>
            <w:pPr>
              <w:jc w:val="left"/>
            </w:pPr>
            <w:r/>
            <w:r>
              <w:rPr>
                <w:sz w:val="18"/>
              </w:rPr>
              <w:t>No corresponding response.</w:t>
            </w:r>
          </w:p>
        </w:tc>
        <w:tc>
          <w:tcPr>
            <w:tcW w:type="dxa" w:w="5616"/>
          </w:tcPr>
          <w:p>
            <w:pPr>
              <w:jc w:val="left"/>
            </w:pPr>
            <w:r/>
            <w:r>
              <w:rPr>
                <w:sz w:val="18"/>
              </w:rPr>
              <w:t>Not answered; objections waived. Foss's CoC authority is directly at issue. Compel under confidentiality designation.</w:t>
            </w:r>
          </w:p>
        </w:tc>
      </w:tr>
      <w:tr>
        <w:tc>
          <w:tcPr>
            <w:tcW w:type="dxa" w:w="3024"/>
          </w:tcPr>
          <w:p>
            <w:pPr>
              <w:jc w:val="left"/>
            </w:pPr>
            <w:r/>
            <w:r>
              <w:rPr>
                <w:b/>
                <w:sz w:val="18"/>
              </w:rPr>
              <w:t>RFP 27</w:t>
            </w:r>
            <w:r>
              <w:rPr>
                <w:sz w:val="18"/>
              </w:rPr>
              <w:t xml:space="preserve"> – Discipline/reassignment of employees for QC failures or falsification.</w:t>
            </w:r>
          </w:p>
        </w:tc>
        <w:tc>
          <w:tcPr>
            <w:tcW w:type="dxa" w:w="4320"/>
          </w:tcPr>
          <w:p>
            <w:pPr>
              <w:jc w:val="left"/>
            </w:pPr>
            <w:r/>
            <w:r>
              <w:rPr>
                <w:sz w:val="18"/>
              </w:rPr>
              <w:t>No corresponding response.</w:t>
            </w:r>
          </w:p>
        </w:tc>
        <w:tc>
          <w:tcPr>
            <w:tcW w:type="dxa" w:w="5616"/>
          </w:tcPr>
          <w:p>
            <w:pPr>
              <w:jc w:val="left"/>
            </w:pPr>
            <w:r/>
            <w:r>
              <w:rPr>
                <w:sz w:val="18"/>
              </w:rPr>
              <w:t>Not answered; objections waived. Compel.</w:t>
            </w:r>
          </w:p>
        </w:tc>
      </w:tr>
      <w:tr>
        <w:tc>
          <w:tcPr>
            <w:tcW w:type="dxa" w:w="3024"/>
          </w:tcPr>
          <w:p>
            <w:pPr>
              <w:jc w:val="left"/>
            </w:pPr>
            <w:r/>
            <w:r>
              <w:rPr>
                <w:b/>
                <w:sz w:val="18"/>
              </w:rPr>
              <w:t>RFP 28</w:t>
            </w:r>
            <w:r>
              <w:rPr>
                <w:sz w:val="18"/>
              </w:rPr>
              <w:t xml:space="preserve"> – Corbin–Vantage communications re quality issues, defects, complaints, corrective action.</w:t>
            </w:r>
          </w:p>
        </w:tc>
        <w:tc>
          <w:tcPr>
            <w:tcW w:type="dxa" w:w="4320"/>
          </w:tcPr>
          <w:p>
            <w:pPr>
              <w:jc w:val="left"/>
            </w:pPr>
            <w:r/>
            <w:r>
              <w:rPr>
                <w:sz w:val="18"/>
              </w:rPr>
              <w:t>Corbin's No. 41: produced "certain formal correspondence" (CORBIN-000301–312); objects to informal communications.</w:t>
            </w:r>
          </w:p>
        </w:tc>
        <w:tc>
          <w:tcPr>
            <w:tcW w:type="dxa" w:w="5616"/>
          </w:tcPr>
          <w:p>
            <w:pPr>
              <w:jc w:val="left"/>
            </w:pPr>
            <w:r/>
            <w:r>
              <w:rPr>
                <w:sz w:val="18"/>
              </w:rPr>
              <w:t>Informal emails are responsive; no basis to limit to "formal" letters; must state what is withheld. Compel.</w:t>
            </w:r>
          </w:p>
        </w:tc>
      </w:tr>
      <w:tr>
        <w:tc>
          <w:tcPr>
            <w:tcW w:type="dxa" w:w="3024"/>
          </w:tcPr>
          <w:p>
            <w:pPr>
              <w:jc w:val="left"/>
            </w:pPr>
            <w:r/>
            <w:r>
              <w:rPr>
                <w:b/>
                <w:sz w:val="18"/>
              </w:rPr>
              <w:t>RFP 29</w:t>
            </w:r>
            <w:r>
              <w:rPr>
                <w:sz w:val="18"/>
              </w:rPr>
              <w:t xml:space="preserve"> – Corbin–Vantage meetings re quality: minutes, agendas, presentations, notes.</w:t>
            </w:r>
          </w:p>
        </w:tc>
        <w:tc>
          <w:tcPr>
            <w:tcW w:type="dxa" w:w="4320"/>
          </w:tcPr>
          <w:p>
            <w:pPr>
              <w:jc w:val="left"/>
            </w:pPr>
            <w:r/>
            <w:r>
              <w:rPr>
                <w:sz w:val="18"/>
              </w:rPr>
              <w:t>Corbin's No. 28: produced agendas and sign-in sheets (CORBIN-000263–278); objects to internal notes and prep materials.</w:t>
            </w:r>
          </w:p>
        </w:tc>
        <w:tc>
          <w:tcPr>
            <w:tcW w:type="dxa" w:w="5616"/>
          </w:tcPr>
          <w:p>
            <w:pPr>
              <w:jc w:val="left"/>
            </w:pPr>
            <w:r/>
            <w:r>
              <w:rPr>
                <w:sz w:val="18"/>
              </w:rPr>
              <w:t>Internal notes of what Corbin told Vantage about quality are highly relevant to concealment. Compel.</w:t>
            </w:r>
          </w:p>
        </w:tc>
      </w:tr>
      <w:tr>
        <w:tc>
          <w:tcPr>
            <w:tcW w:type="dxa" w:w="3024"/>
          </w:tcPr>
          <w:p>
            <w:pPr>
              <w:jc w:val="left"/>
            </w:pPr>
            <w:r/>
            <w:r>
              <w:rPr>
                <w:b/>
                <w:sz w:val="18"/>
              </w:rPr>
              <w:t>RFP 30</w:t>
            </w:r>
            <w:r>
              <w:rPr>
                <w:sz w:val="18"/>
              </w:rPr>
              <w:t xml:space="preserve"> – Insurance policies (product liability, CGL, E&amp;O, umbrella) and insurer correspondence re Components.</w:t>
            </w:r>
          </w:p>
        </w:tc>
        <w:tc>
          <w:tcPr>
            <w:tcW w:type="dxa" w:w="4320"/>
          </w:tcPr>
          <w:p>
            <w:pPr>
              <w:jc w:val="left"/>
            </w:pPr>
            <w:r/>
            <w:r>
              <w:rPr>
                <w:sz w:val="18"/>
              </w:rPr>
              <w:t>Corbin's No. 17: full policies overbroad; produced CGL declaration pages (CORBIN-000114–120).</w:t>
            </w:r>
          </w:p>
        </w:tc>
        <w:tc>
          <w:tcPr>
            <w:tcW w:type="dxa" w:w="5616"/>
          </w:tcPr>
          <w:p>
            <w:pPr>
              <w:jc w:val="left"/>
            </w:pPr>
            <w:r/>
            <w:r>
              <w:rPr>
                <w:sz w:val="18"/>
              </w:rPr>
              <w:t>Rule 26(a)(1)(A)(iv) requires production of full insurance agreements. Compel complete policies for all listed coverage.</w:t>
            </w:r>
          </w:p>
        </w:tc>
      </w:tr>
      <w:tr>
        <w:tc>
          <w:tcPr>
            <w:tcW w:type="dxa" w:w="3024"/>
          </w:tcPr>
          <w:p>
            <w:pPr>
              <w:jc w:val="left"/>
            </w:pPr>
            <w:r/>
            <w:r>
              <w:rPr>
                <w:b/>
                <w:sz w:val="18"/>
              </w:rPr>
              <w:t>RFP 31</w:t>
            </w:r>
            <w:r>
              <w:rPr>
                <w:sz w:val="18"/>
              </w:rPr>
              <w:t xml:space="preserve"> – Retention/destruction policies and litigation hold notices, 2020–present.</w:t>
            </w:r>
          </w:p>
        </w:tc>
        <w:tc>
          <w:tcPr>
            <w:tcW w:type="dxa" w:w="4320"/>
          </w:tcPr>
          <w:p>
            <w:pPr>
              <w:jc w:val="left"/>
            </w:pPr>
            <w:r/>
            <w:r>
              <w:rPr>
                <w:sz w:val="18"/>
              </w:rPr>
              <w:t>Corbin's No. 31: irrelevant; not proportional; overbroad. Refused.</w:t>
            </w:r>
          </w:p>
        </w:tc>
        <w:tc>
          <w:tcPr>
            <w:tcW w:type="dxa" w:w="5616"/>
          </w:tcPr>
          <w:p>
            <w:pPr>
              <w:jc w:val="left"/>
            </w:pPr>
            <w:r/>
            <w:r>
              <w:rPr>
                <w:sz w:val="18"/>
              </w:rPr>
              <w:t>Directly relevant given 35 missing CoCs and MSA § 9.4. Compel policies and hold dates/recipients/scope (notices themselves unless privilege established on a log).</w:t>
            </w:r>
          </w:p>
        </w:tc>
      </w:tr>
      <w:tr>
        <w:tc>
          <w:tcPr>
            <w:tcW w:type="dxa" w:w="3024"/>
          </w:tcPr>
          <w:p>
            <w:pPr>
              <w:jc w:val="left"/>
            </w:pPr>
            <w:r/>
            <w:r>
              <w:rPr>
                <w:b/>
                <w:sz w:val="18"/>
              </w:rPr>
              <w:t>RFP 32</w:t>
            </w:r>
            <w:r>
              <w:rPr>
                <w:sz w:val="18"/>
              </w:rPr>
              <w:t xml:space="preserve"> – ESI systems (ERP, MES, QMS software, email, backups) holding relevant records; data maps.</w:t>
            </w:r>
          </w:p>
        </w:tc>
        <w:tc>
          <w:tcPr>
            <w:tcW w:type="dxa" w:w="4320"/>
          </w:tcPr>
          <w:p>
            <w:pPr>
              <w:jc w:val="left"/>
            </w:pPr>
            <w:r/>
            <w:r>
              <w:rPr>
                <w:sz w:val="18"/>
              </w:rPr>
              <w:t>Corbin's No. 40: overbroad, trade secret; produced "general description" of ERP (CORBIN-000295–300).</w:t>
            </w:r>
          </w:p>
        </w:tc>
        <w:tc>
          <w:tcPr>
            <w:tcW w:type="dxa" w:w="5616"/>
          </w:tcPr>
          <w:p>
            <w:pPr>
              <w:jc w:val="left"/>
            </w:pPr>
            <w:r/>
            <w:r>
              <w:rPr>
                <w:sz w:val="18"/>
              </w:rPr>
              <w:t>Necessary to frame ESI discovery and locate missing CoCs. Compel.</w:t>
            </w:r>
          </w:p>
        </w:tc>
      </w:tr>
      <w:tr>
        <w:tc>
          <w:tcPr>
            <w:tcW w:type="dxa" w:w="3024"/>
          </w:tcPr>
          <w:p>
            <w:pPr>
              <w:jc w:val="left"/>
            </w:pPr>
            <w:r/>
            <w:r>
              <w:rPr>
                <w:b/>
                <w:sz w:val="18"/>
              </w:rPr>
              <w:t>RFP 33</w:t>
            </w:r>
            <w:r>
              <w:rPr>
                <w:sz w:val="18"/>
              </w:rPr>
              <w:t xml:space="preserve"> – Revenues, costs, profits on Vantage Components (job cost, margin analyses).</w:t>
            </w:r>
          </w:p>
        </w:tc>
        <w:tc>
          <w:tcPr>
            <w:tcW w:type="dxa" w:w="4320"/>
          </w:tcPr>
          <w:p>
            <w:pPr>
              <w:jc w:val="left"/>
            </w:pPr>
            <w:r/>
            <w:r>
              <w:rPr>
                <w:sz w:val="18"/>
              </w:rPr>
              <w:t>Corbin's No. 18: burdensome, premature; produced annual revenue summaries (CORBIN-000121–126).</w:t>
            </w:r>
          </w:p>
        </w:tc>
        <w:tc>
          <w:tcPr>
            <w:tcW w:type="dxa" w:w="5616"/>
          </w:tcPr>
          <w:p>
            <w:pPr>
              <w:jc w:val="left"/>
            </w:pPr>
            <w:r/>
            <w:r>
              <w:rPr>
                <w:sz w:val="18"/>
              </w:rPr>
              <w:t>Cost-cutting on tooling bears on motive; profits relevant to damages/fraud. Compel job-level records.</w:t>
            </w:r>
          </w:p>
        </w:tc>
      </w:tr>
      <w:tr>
        <w:tc>
          <w:tcPr>
            <w:tcW w:type="dxa" w:w="3024"/>
          </w:tcPr>
          <w:p>
            <w:pPr>
              <w:jc w:val="left"/>
            </w:pPr>
            <w:r/>
            <w:r>
              <w:rPr>
                <w:b/>
                <w:sz w:val="18"/>
              </w:rPr>
              <w:t>RFP 34</w:t>
            </w:r>
            <w:r>
              <w:rPr>
                <w:sz w:val="18"/>
              </w:rPr>
              <w:t xml:space="preserve"> – Sales/marketing to Vantage: proposals, quotations, capability statements.</w:t>
            </w:r>
          </w:p>
        </w:tc>
        <w:tc>
          <w:tcPr>
            <w:tcW w:type="dxa" w:w="4320"/>
          </w:tcPr>
          <w:p>
            <w:pPr>
              <w:jc w:val="left"/>
            </w:pPr>
            <w:r/>
            <w:r>
              <w:rPr>
                <w:sz w:val="18"/>
              </w:rPr>
              <w:t>Partial: Corbin's No. 27 (initial proposal letter only).</w:t>
            </w:r>
          </w:p>
        </w:tc>
        <w:tc>
          <w:tcPr>
            <w:tcW w:type="dxa" w:w="5616"/>
          </w:tcPr>
          <w:p>
            <w:pPr>
              <w:jc w:val="left"/>
            </w:pPr>
            <w:r/>
            <w:r>
              <w:rPr>
                <w:sz w:val="18"/>
              </w:rPr>
              <w:t>Capability and quality representations to Vantage are relevant to misrepresentation claims. Compel.</w:t>
            </w:r>
          </w:p>
        </w:tc>
      </w:tr>
      <w:tr>
        <w:tc>
          <w:tcPr>
            <w:tcW w:type="dxa" w:w="3024"/>
          </w:tcPr>
          <w:p>
            <w:pPr>
              <w:jc w:val="left"/>
            </w:pPr>
            <w:r/>
            <w:r>
              <w:rPr>
                <w:b/>
                <w:sz w:val="18"/>
              </w:rPr>
              <w:t>RFP 35</w:t>
            </w:r>
            <w:r>
              <w:rPr>
                <w:sz w:val="18"/>
              </w:rPr>
              <w:t xml:space="preserve"> – Other lawsuits, proceedings, investigations re quality, defective products, false certifications.</w:t>
            </w:r>
          </w:p>
        </w:tc>
        <w:tc>
          <w:tcPr>
            <w:tcW w:type="dxa" w:w="4320"/>
          </w:tcPr>
          <w:p>
            <w:pPr>
              <w:jc w:val="left"/>
            </w:pPr>
            <w:r/>
            <w:r>
              <w:rPr>
                <w:sz w:val="18"/>
              </w:rPr>
              <w:t>No corresponding response.</w:t>
            </w:r>
          </w:p>
        </w:tc>
        <w:tc>
          <w:tcPr>
            <w:tcW w:type="dxa" w:w="5616"/>
          </w:tcPr>
          <w:p>
            <w:pPr>
              <w:jc w:val="left"/>
            </w:pPr>
            <w:r/>
            <w:r>
              <w:rPr>
                <w:sz w:val="18"/>
              </w:rPr>
              <w:t>Not answered; objections waived. Relevant to knowledge and pattern. Compel.</w:t>
            </w:r>
          </w:p>
        </w:tc>
      </w:tr>
      <w:tr>
        <w:tc>
          <w:tcPr>
            <w:tcW w:type="dxa" w:w="3024"/>
          </w:tcPr>
          <w:p>
            <w:pPr>
              <w:jc w:val="left"/>
            </w:pPr>
            <w:r/>
            <w:r>
              <w:rPr>
                <w:b/>
                <w:sz w:val="18"/>
              </w:rPr>
              <w:t>RFP 36</w:t>
            </w:r>
            <w:r>
              <w:rPr>
                <w:sz w:val="18"/>
              </w:rPr>
              <w:t xml:space="preserve"> – Subcontractors/suppliers used on Components: agreements, flow-downs, correspondence.</w:t>
            </w:r>
          </w:p>
        </w:tc>
        <w:tc>
          <w:tcPr>
            <w:tcW w:type="dxa" w:w="4320"/>
          </w:tcPr>
          <w:p>
            <w:pPr>
              <w:jc w:val="left"/>
            </w:pPr>
            <w:r/>
            <w:r>
              <w:rPr>
                <w:sz w:val="18"/>
              </w:rPr>
              <w:t>Closest: Corbin's No. 39 (AMT qualification): third-party confidentiality; irrelevant. Refused.</w:t>
            </w:r>
          </w:p>
        </w:tc>
        <w:tc>
          <w:tcPr>
            <w:tcW w:type="dxa" w:w="5616"/>
          </w:tcPr>
          <w:p>
            <w:pPr>
              <w:jc w:val="left"/>
            </w:pPr>
            <w:r/>
            <w:r>
              <w:rPr>
                <w:sz w:val="18"/>
              </w:rPr>
              <w:t>MSA §§ 4.2.2, 14.3.3 require lab approval and flow-downs. Compel.</w:t>
            </w:r>
          </w:p>
        </w:tc>
      </w:tr>
      <w:tr>
        <w:tc>
          <w:tcPr>
            <w:tcW w:type="dxa" w:w="3024"/>
          </w:tcPr>
          <w:p>
            <w:pPr>
              <w:jc w:val="left"/>
            </w:pPr>
            <w:r/>
            <w:r>
              <w:rPr>
                <w:b/>
                <w:sz w:val="18"/>
              </w:rPr>
              <w:t>RFP 37</w:t>
            </w:r>
            <w:r>
              <w:rPr>
                <w:sz w:val="18"/>
              </w:rPr>
              <w:t xml:space="preserve"> – Corbin–AMT communications re Type 347 testing, VES-4400, tensile/Charpy/IGC testing (2021–present).</w:t>
            </w:r>
          </w:p>
        </w:tc>
        <w:tc>
          <w:tcPr>
            <w:tcW w:type="dxa" w:w="4320"/>
          </w:tcPr>
          <w:p>
            <w:pPr>
              <w:jc w:val="left"/>
            </w:pPr>
            <w:r/>
            <w:r>
              <w:rPr>
                <w:sz w:val="18"/>
              </w:rPr>
              <w:t>Corbin's No. 37: AMT confidentiality/consent required; overbroad; burdensome. Refused.</w:t>
            </w:r>
          </w:p>
        </w:tc>
        <w:tc>
          <w:tcPr>
            <w:tcW w:type="dxa" w:w="5616"/>
          </w:tcPr>
          <w:p>
            <w:pPr>
              <w:jc w:val="left"/>
            </w:pPr>
            <w:r/>
            <w:r>
              <w:rPr>
                <w:sz w:val="18"/>
              </w:rPr>
              <w:t>Not a privilege; documents in Corbin's possession/control; MSA § 14.3.3 says NDA no excuse. Protective order addresses concerns. Compel.</w:t>
            </w:r>
          </w:p>
        </w:tc>
      </w:tr>
      <w:tr>
        <w:tc>
          <w:tcPr>
            <w:tcW w:type="dxa" w:w="3024"/>
          </w:tcPr>
          <w:p>
            <w:pPr>
              <w:jc w:val="left"/>
            </w:pPr>
            <w:r/>
            <w:r>
              <w:rPr>
                <w:b/>
                <w:sz w:val="18"/>
              </w:rPr>
              <w:t>RFP 38</w:t>
            </w:r>
            <w:r>
              <w:rPr>
                <w:sz w:val="18"/>
              </w:rPr>
              <w:t xml:space="preserve"> – AMT reports, certificates, raw data delivered to Corbin.</w:t>
            </w:r>
          </w:p>
        </w:tc>
        <w:tc>
          <w:tcPr>
            <w:tcW w:type="dxa" w:w="4320"/>
          </w:tcPr>
          <w:p>
            <w:pPr>
              <w:jc w:val="left"/>
            </w:pPr>
            <w:r/>
            <w:r>
              <w:rPr>
                <w:sz w:val="18"/>
              </w:rPr>
              <w:t>No direct response (see Corbin's No. 21: metallurgical results refused as burdensome/trade secret).</w:t>
            </w:r>
          </w:p>
        </w:tc>
        <w:tc>
          <w:tcPr>
            <w:tcW w:type="dxa" w:w="5616"/>
          </w:tcPr>
          <w:p>
            <w:pPr>
              <w:jc w:val="left"/>
            </w:pPr>
            <w:r/>
            <w:r>
              <w:rPr>
                <w:sz w:val="18"/>
              </w:rPr>
              <w:t>Not answered; MSA § 4.2.2 makes AMT results Corbin's Quality Records. Compel.</w:t>
            </w:r>
          </w:p>
        </w:tc>
      </w:tr>
      <w:tr>
        <w:tc>
          <w:tcPr>
            <w:tcW w:type="dxa" w:w="3024"/>
          </w:tcPr>
          <w:p>
            <w:pPr>
              <w:jc w:val="left"/>
            </w:pPr>
            <w:r/>
            <w:r>
              <w:rPr>
                <w:b/>
                <w:sz w:val="18"/>
              </w:rPr>
              <w:t>RFP 39</w:t>
            </w:r>
            <w:r>
              <w:rPr>
                <w:sz w:val="18"/>
              </w:rPr>
              <w:t xml:space="preserve"> – Corrective actions, process changes, remedial measures re quality issues.</w:t>
            </w:r>
          </w:p>
        </w:tc>
        <w:tc>
          <w:tcPr>
            <w:tcW w:type="dxa" w:w="4320"/>
          </w:tcPr>
          <w:p>
            <w:pPr>
              <w:jc w:val="left"/>
            </w:pPr>
            <w:r/>
            <w:r>
              <w:rPr>
                <w:sz w:val="18"/>
              </w:rPr>
              <w:t>Corbin's No. 35: undertaken at direction of counsel; privilege/work product; overbroad. Refused.</w:t>
            </w:r>
          </w:p>
        </w:tc>
        <w:tc>
          <w:tcPr>
            <w:tcW w:type="dxa" w:w="5616"/>
          </w:tcPr>
          <w:p>
            <w:pPr>
              <w:jc w:val="left"/>
            </w:pPr>
            <w:r/>
            <w:r>
              <w:rPr>
                <w:sz w:val="18"/>
              </w:rPr>
              <w:t>Pre-litigation corrective actions (e.g., tooling insert replacement) are business records; no log; waived. Compel.</w:t>
            </w:r>
          </w:p>
        </w:tc>
      </w:tr>
      <w:tr>
        <w:tc>
          <w:tcPr>
            <w:tcW w:type="dxa" w:w="3024"/>
          </w:tcPr>
          <w:p>
            <w:pPr>
              <w:jc w:val="left"/>
            </w:pPr>
            <w:r/>
            <w:r>
              <w:rPr>
                <w:b/>
                <w:sz w:val="18"/>
              </w:rPr>
              <w:t>RFP 40</w:t>
            </w:r>
            <w:r>
              <w:rPr>
                <w:sz w:val="18"/>
              </w:rPr>
              <w:t xml:space="preserve"> – Photos, microscopy, measurements of returned/failed Components.</w:t>
            </w:r>
          </w:p>
        </w:tc>
        <w:tc>
          <w:tcPr>
            <w:tcW w:type="dxa" w:w="4320"/>
          </w:tcPr>
          <w:p>
            <w:pPr>
              <w:jc w:val="left"/>
            </w:pPr>
            <w:r/>
            <w:r>
              <w:rPr>
                <w:sz w:val="18"/>
              </w:rPr>
              <w:t>No corresponding response (Corbin's No. 36 addresses facility photos).</w:t>
            </w:r>
          </w:p>
        </w:tc>
        <w:tc>
          <w:tcPr>
            <w:tcW w:type="dxa" w:w="5616"/>
          </w:tcPr>
          <w:p>
            <w:pPr>
              <w:jc w:val="left"/>
            </w:pPr>
            <w:r/>
            <w:r>
              <w:rPr>
                <w:sz w:val="18"/>
              </w:rPr>
              <w:t>Not answered; objections waived. Compel.</w:t>
            </w:r>
          </w:p>
        </w:tc>
      </w:tr>
      <w:tr>
        <w:tc>
          <w:tcPr>
            <w:tcW w:type="dxa" w:w="3024"/>
          </w:tcPr>
          <w:p>
            <w:pPr>
              <w:jc w:val="left"/>
            </w:pPr>
            <w:r/>
            <w:r>
              <w:rPr>
                <w:b/>
                <w:sz w:val="18"/>
              </w:rPr>
              <w:t>RFP 41</w:t>
            </w:r>
            <w:r>
              <w:rPr>
                <w:sz w:val="18"/>
              </w:rPr>
              <w:t xml:space="preserve"> – Internal investigations, management reviews, board/executive briefings re QC practices and Vantage supply.</w:t>
            </w:r>
          </w:p>
        </w:tc>
        <w:tc>
          <w:tcPr>
            <w:tcW w:type="dxa" w:w="4320"/>
          </w:tcPr>
          <w:p>
            <w:pPr>
              <w:jc w:val="left"/>
            </w:pPr>
            <w:r/>
            <w:r>
              <w:rPr>
                <w:sz w:val="18"/>
              </w:rPr>
              <w:t>Corbin's No. 13: privilege/work product; overbroad. Refused.</w:t>
            </w:r>
          </w:p>
        </w:tc>
        <w:tc>
          <w:tcPr>
            <w:tcW w:type="dxa" w:w="5616"/>
          </w:tcPr>
          <w:p>
            <w:pPr>
              <w:jc w:val="left"/>
            </w:pPr>
            <w:r/>
            <w:r>
              <w:rPr>
                <w:sz w:val="18"/>
              </w:rPr>
              <w:t>ISO management reviews are ordinary-course; no log; waived. Compel; alternatively log + in camera review.</w:t>
            </w:r>
          </w:p>
        </w:tc>
      </w:tr>
      <w:tr>
        <w:tc>
          <w:tcPr>
            <w:tcW w:type="dxa" w:w="3024"/>
          </w:tcPr>
          <w:p>
            <w:pPr>
              <w:jc w:val="left"/>
            </w:pPr>
            <w:r/>
            <w:r>
              <w:rPr>
                <w:b/>
                <w:sz w:val="18"/>
              </w:rPr>
              <w:t>RFP 42</w:t>
            </w:r>
            <w:r>
              <w:rPr>
                <w:sz w:val="18"/>
              </w:rPr>
              <w:t xml:space="preserve"> – Documents supporting Corbin's affirmative defenses or relied on in its defense.</w:t>
            </w:r>
          </w:p>
        </w:tc>
        <w:tc>
          <w:tcPr>
            <w:tcW w:type="dxa" w:w="4320"/>
          </w:tcPr>
          <w:p>
            <w:pPr>
              <w:jc w:val="left"/>
            </w:pPr>
            <w:r/>
            <w:r>
              <w:rPr>
                <w:sz w:val="18"/>
              </w:rPr>
              <w:t>Corbin's No. 42: responds to a different "catch-all" request; vague, overbroad, lacks particularity. Refused.</w:t>
            </w:r>
          </w:p>
        </w:tc>
        <w:tc>
          <w:tcPr>
            <w:tcW w:type="dxa" w:w="5616"/>
          </w:tcPr>
          <w:p>
            <w:pPr>
              <w:jc w:val="left"/>
            </w:pPr>
            <w:r/>
            <w:r>
              <w:rPr>
                <w:sz w:val="18"/>
              </w:rPr>
              <w:t>Served request is a standard, particularized contention request tied to Corbin's Answer. Compel.</w:t>
            </w:r>
          </w:p>
        </w:tc>
      </w:tr>
      <w:tr>
        <w:tc>
          <w:tcPr>
            <w:tcW w:type="dxa" w:w="3024"/>
          </w:tcPr>
          <w:p>
            <w:pPr>
              <w:jc w:val="left"/>
            </w:pPr>
            <w:r/>
            <w:r>
              <w:rPr>
                <w:b/>
                <w:sz w:val="18"/>
              </w:rPr>
              <w:t>All Requests / Privilege Log</w:t>
            </w:r>
          </w:p>
        </w:tc>
        <w:tc>
          <w:tcPr>
            <w:tcW w:type="dxa" w:w="4320"/>
          </w:tcPr>
          <w:p>
            <w:pPr>
              <w:jc w:val="left"/>
            </w:pPr>
            <w:r/>
            <w:r>
              <w:rPr>
                <w:sz w:val="18"/>
              </w:rPr>
              <w:t>GO ¶ 1 (privilege reserved for all requests); privilege asserted in multiple responses; no log served (due Aug. 14, 2024 per CMO § 4.4; promised by Sept. 28, 2024).</w:t>
            </w:r>
          </w:p>
        </w:tc>
        <w:tc>
          <w:tcPr>
            <w:tcW w:type="dxa" w:w="5616"/>
          </w:tcPr>
          <w:p>
            <w:pPr>
              <w:jc w:val="left"/>
            </w:pPr>
            <w:r/>
            <w:r>
              <w:rPr>
                <w:sz w:val="18"/>
              </w:rPr>
              <w:t>Privilege and work product waived under Rule 26(b)(5)(A) and CMO § 4.4. Alternatively, log within 7 days with in camera review.</w:t>
            </w:r>
          </w:p>
        </w:tc>
      </w:tr>
      <w:tr>
        <w:tc>
          <w:tcPr>
            <w:tcW w:type="dxa" w:w="3024"/>
          </w:tcPr>
          <w:p>
            <w:pPr>
              <w:jc w:val="left"/>
            </w:pPr>
            <w:r/>
            <w:r>
              <w:rPr>
                <w:b/>
                <w:sz w:val="18"/>
              </w:rPr>
              <w:t>All Requests / General Objections</w:t>
            </w:r>
          </w:p>
        </w:tc>
        <w:tc>
          <w:tcPr>
            <w:tcW w:type="dxa" w:w="4320"/>
          </w:tcPr>
          <w:p>
            <w:pPr>
              <w:jc w:val="left"/>
            </w:pPr>
            <w:r/>
            <w:r>
              <w:rPr>
                <w:sz w:val="18"/>
              </w:rPr>
              <w:t>Nine RFP GOs and eight interrogatory GOs incorporated into every response; production "subject to and without waiving."</w:t>
            </w:r>
          </w:p>
        </w:tc>
        <w:tc>
          <w:tcPr>
            <w:tcW w:type="dxa" w:w="5616"/>
          </w:tcPr>
          <w:p>
            <w:pPr>
              <w:jc w:val="left"/>
            </w:pPr>
            <w:r/>
            <w:r>
              <w:rPr>
                <w:sz w:val="18"/>
              </w:rPr>
              <w:t>Boilerplate objections barred by Rules 33(b)(4), 34(b)(2)(B)–(C) and CMO § 4.3. Overrule; require statement of what is withheld.</w:t>
            </w:r>
          </w:p>
        </w:tc>
      </w:tr>
    </w:tbl>
    <w:p>
      <w:pPr>
        <w:spacing w:line="240" w:lineRule="auto" w:after="120"/>
        <w:jc w:val="both"/>
      </w:pPr>
    </w:p>
    <w:p>
      <w:pPr>
        <w:sectPr>
          <w:pgSz w:w="15840" w:h="12240" w:orient="landscape"/>
          <w:pgMar w:top="1440" w:right="1440" w:bottom="1440" w:left="1440" w:header="720" w:footer="720" w:gutter="0"/>
          <w:cols w:space="720"/>
          <w:docGrid w:linePitch="360"/>
        </w:sectPr>
      </w:pPr>
    </w:p>
    <w:p>
      <w:pPr>
        <w:spacing w:line="240" w:lineRule="auto" w:after="240"/>
        <w:jc w:val="center"/>
      </w:pPr>
      <w:r>
        <w:rPr>
          <w:b/>
        </w:rPr>
        <w:t>INDEX OF EXHIBITS</w:t>
      </w:r>
    </w:p>
    <w:tbl>
      <w:tblPr>
        <w:tblW w:type="dxa" w:w="936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440"/>
        <w:gridCol w:w="7920"/>
      </w:tblGrid>
      <w:tr>
        <w:tc>
          <w:tcPr>
            <w:tcW w:type="dxa" w:w="1440"/>
          </w:tcPr>
          <w:p>
            <w:pPr>
              <w:jc w:val="left"/>
            </w:pPr>
            <w:r>
              <w:rPr>
                <w:b/>
              </w:rPr>
            </w:r>
            <w:r>
              <w:rPr>
                <w:b/>
                <w:sz w:val="22"/>
              </w:rPr>
              <w:t>Exhibit</w:t>
            </w:r>
          </w:p>
        </w:tc>
        <w:tc>
          <w:tcPr>
            <w:tcW w:type="dxa" w:w="7920"/>
          </w:tcPr>
          <w:p>
            <w:pPr>
              <w:jc w:val="left"/>
            </w:pPr>
            <w:r>
              <w:rPr>
                <w:b/>
              </w:rPr>
            </w:r>
            <w:r>
              <w:rPr>
                <w:b/>
                <w:sz w:val="22"/>
              </w:rPr>
              <w:t>Description</w:t>
            </w:r>
          </w:p>
        </w:tc>
      </w:tr>
      <w:tr>
        <w:tc>
          <w:tcPr>
            <w:tcW w:type="dxa" w:w="1440"/>
          </w:tcPr>
          <w:p>
            <w:pPr>
              <w:jc w:val="left"/>
            </w:pPr>
            <w:r/>
            <w:r>
              <w:rPr>
                <w:sz w:val="22"/>
              </w:rPr>
              <w:t>A (App.)</w:t>
            </w:r>
          </w:p>
        </w:tc>
        <w:tc>
          <w:tcPr>
            <w:tcW w:type="dxa" w:w="7920"/>
          </w:tcPr>
          <w:p>
            <w:pPr>
              <w:jc w:val="left"/>
            </w:pPr>
            <w:r/>
            <w:r>
              <w:rPr>
                <w:sz w:val="22"/>
              </w:rPr>
              <w:t>Summary Chart of Disputed Discovery Requests (above)</w:t>
            </w:r>
          </w:p>
        </w:tc>
      </w:tr>
      <w:tr>
        <w:tc>
          <w:tcPr>
            <w:tcW w:type="dxa" w:w="1440"/>
          </w:tcPr>
          <w:p>
            <w:pPr>
              <w:jc w:val="left"/>
            </w:pPr>
            <w:r/>
            <w:r>
              <w:rPr>
                <w:sz w:val="22"/>
              </w:rPr>
              <w:t>1</w:t>
            </w:r>
          </w:p>
        </w:tc>
        <w:tc>
          <w:tcPr>
            <w:tcW w:type="dxa" w:w="7920"/>
          </w:tcPr>
          <w:p>
            <w:pPr>
              <w:jc w:val="left"/>
            </w:pPr>
            <w:r/>
            <w:r>
              <w:rPr>
                <w:sz w:val="22"/>
              </w:rPr>
              <w:t>Plaintiff's First Set of Interrogatories to Defendant (Nos. 1–25), served June 17, 2024</w:t>
            </w:r>
          </w:p>
        </w:tc>
      </w:tr>
      <w:tr>
        <w:tc>
          <w:tcPr>
            <w:tcW w:type="dxa" w:w="1440"/>
          </w:tcPr>
          <w:p>
            <w:pPr>
              <w:jc w:val="left"/>
            </w:pPr>
            <w:r/>
            <w:r>
              <w:rPr>
                <w:sz w:val="22"/>
              </w:rPr>
              <w:t>2</w:t>
            </w:r>
          </w:p>
        </w:tc>
        <w:tc>
          <w:tcPr>
            <w:tcW w:type="dxa" w:w="7920"/>
          </w:tcPr>
          <w:p>
            <w:pPr>
              <w:jc w:val="left"/>
            </w:pPr>
            <w:r/>
            <w:r>
              <w:rPr>
                <w:sz w:val="22"/>
              </w:rPr>
              <w:t>Plaintiff's First Request for Production of Documents to Defendant (Nos. 1–42), served June 17, 2024</w:t>
            </w:r>
          </w:p>
        </w:tc>
      </w:tr>
      <w:tr>
        <w:tc>
          <w:tcPr>
            <w:tcW w:type="dxa" w:w="1440"/>
          </w:tcPr>
          <w:p>
            <w:pPr>
              <w:jc w:val="left"/>
            </w:pPr>
            <w:r/>
            <w:r>
              <w:rPr>
                <w:sz w:val="22"/>
              </w:rPr>
              <w:t>3-A</w:t>
            </w:r>
          </w:p>
        </w:tc>
        <w:tc>
          <w:tcPr>
            <w:tcW w:type="dxa" w:w="7920"/>
          </w:tcPr>
          <w:p>
            <w:pPr>
              <w:jc w:val="left"/>
            </w:pPr>
            <w:r/>
            <w:r>
              <w:rPr>
                <w:sz w:val="22"/>
              </w:rPr>
              <w:t>Defendant's Responses and Objections to Plaintiff's First Set of Interrogatories, served July 31, 2024</w:t>
            </w:r>
          </w:p>
        </w:tc>
      </w:tr>
      <w:tr>
        <w:tc>
          <w:tcPr>
            <w:tcW w:type="dxa" w:w="1440"/>
          </w:tcPr>
          <w:p>
            <w:pPr>
              <w:jc w:val="left"/>
            </w:pPr>
            <w:r/>
            <w:r>
              <w:rPr>
                <w:sz w:val="22"/>
              </w:rPr>
              <w:t>3-B</w:t>
            </w:r>
          </w:p>
        </w:tc>
        <w:tc>
          <w:tcPr>
            <w:tcW w:type="dxa" w:w="7920"/>
          </w:tcPr>
          <w:p>
            <w:pPr>
              <w:jc w:val="left"/>
            </w:pPr>
            <w:r/>
            <w:r>
              <w:rPr>
                <w:sz w:val="22"/>
              </w:rPr>
              <w:t>Defendant's Responses and Objections to Plaintiff's First Request for Production of Documents, served July 31, 2024</w:t>
            </w:r>
          </w:p>
        </w:tc>
      </w:tr>
      <w:tr>
        <w:tc>
          <w:tcPr>
            <w:tcW w:type="dxa" w:w="1440"/>
          </w:tcPr>
          <w:p>
            <w:pPr>
              <w:jc w:val="left"/>
            </w:pPr>
            <w:r/>
            <w:r>
              <w:rPr>
                <w:sz w:val="22"/>
              </w:rPr>
              <w:t>4</w:t>
            </w:r>
          </w:p>
        </w:tc>
        <w:tc>
          <w:tcPr>
            <w:tcW w:type="dxa" w:w="7920"/>
          </w:tcPr>
          <w:p>
            <w:pPr>
              <w:jc w:val="left"/>
            </w:pPr>
            <w:r/>
            <w:r>
              <w:rPr>
                <w:sz w:val="22"/>
              </w:rPr>
              <w:t>Compilation of Meet-and-Confer Correspondence (Letters dated August 14, September 9, and October 7, 2024)</w:t>
            </w:r>
          </w:p>
        </w:tc>
      </w:tr>
      <w:tr>
        <w:tc>
          <w:tcPr>
            <w:tcW w:type="dxa" w:w="1440"/>
          </w:tcPr>
          <w:p>
            <w:pPr>
              <w:jc w:val="left"/>
            </w:pPr>
            <w:r/>
            <w:r>
              <w:rPr>
                <w:sz w:val="22"/>
              </w:rPr>
              <w:t>5</w:t>
            </w:r>
          </w:p>
        </w:tc>
        <w:tc>
          <w:tcPr>
            <w:tcW w:type="dxa" w:w="7920"/>
          </w:tcPr>
          <w:p>
            <w:pPr>
              <w:jc w:val="left"/>
            </w:pPr>
            <w:r/>
            <w:r>
              <w:rPr>
                <w:sz w:val="22"/>
              </w:rPr>
              <w:t>Email from Gerald Foss to Raymond T. Corbin dated September 14, 2022 (CORBIN-000247)</w:t>
            </w:r>
          </w:p>
        </w:tc>
      </w:tr>
      <w:tr>
        <w:tc>
          <w:tcPr>
            <w:tcW w:type="dxa" w:w="1440"/>
          </w:tcPr>
          <w:p>
            <w:pPr>
              <w:jc w:val="left"/>
            </w:pPr>
            <w:r/>
            <w:r>
              <w:rPr>
                <w:sz w:val="22"/>
              </w:rPr>
              <w:t>6</w:t>
            </w:r>
          </w:p>
        </w:tc>
        <w:tc>
          <w:tcPr>
            <w:tcW w:type="dxa" w:w="7920"/>
          </w:tcPr>
          <w:p>
            <w:pPr>
              <w:jc w:val="left"/>
            </w:pPr>
            <w:r/>
            <w:r>
              <w:rPr>
                <w:sz w:val="22"/>
              </w:rPr>
              <w:t>Excerpt of Master Supply Agreement dated March 15, 2021 (§§ 4.2, 9.4, 12.1, 14.3)</w:t>
            </w:r>
          </w:p>
        </w:tc>
      </w:tr>
    </w:tbl>
    <w:p>
      <w:r>
        <w:br w:type="page"/>
      </w:r>
    </w:p>
    <w:p>
      <w:pPr>
        <w:spacing w:line="240" w:lineRule="auto" w:after="240"/>
        <w:jc w:val="center"/>
      </w:pPr>
      <w:r>
        <w:rPr>
          <w:b/>
        </w:rPr>
        <w:t>IN THE UNITED STATES DISTRICT COURT</w:t>
        <w:br/>
        <w:t>FOR THE WESTERN DISTRICT OF PENNSYLVANIA</w:t>
      </w:r>
    </w:p>
    <w:tbl>
      <w:tblPr>
        <w:tblW w:type="dxa" w:w="9360"/>
        <w:tblLayout w:type="fixed"/>
        <w:tblLook w:firstColumn="1" w:firstRow="1" w:lastColumn="0" w:lastRow="0" w:noHBand="0" w:noVBand="1" w:val="04A0"/>
        <w:jc w:val="center"/>
        <w:tblBorders>
          <w:top w:val="nil" w:sz="4" w:color="000000"/>
          <w:left w:val="nil" w:sz="4" w:color="000000"/>
          <w:bottom w:val="nil" w:sz="4" w:color="000000"/>
          <w:right w:val="nil" w:sz="4" w:color="000000"/>
          <w:insideH w:val="nil" w:sz="4" w:color="000000"/>
          <w:insideV w:val="nil" w:sz="4" w:color="000000"/>
        </w:tblBorders>
      </w:tblPr>
      <w:tblGrid>
        <w:gridCol w:w="5040"/>
        <w:gridCol w:w="4320"/>
      </w:tblGrid>
      <w:tr>
        <w:tc>
          <w:tcPr>
            <w:tcW w:type="dxa" w:w="5040"/>
            <w:tcBorders>
              <w:right w:val="single" w:sz="6" w:color="000000"/>
              <w:bottom w:val="single" w:sz="6" w:color="000000"/>
            </w:tcBorders>
          </w:tcPr>
          <w:p>
            <w:pPr>
              <w:jc w:val="left"/>
            </w:pPr>
            <w:r>
              <w:rPr>
                <w:b/>
              </w:rPr>
            </w:r>
            <w:r>
              <w:rPr>
                <w:b/>
                <w:sz w:val="24"/>
              </w:rPr>
              <w:t>VANTAGE INDUSTRIAL</w:t>
            </w:r>
          </w:p>
          <w:p>
            <w:pPr>
              <w:jc w:val="left"/>
            </w:pPr>
            <w:r>
              <w:rPr>
                <w:b/>
                <w:sz w:val="24"/>
              </w:rPr>
              <w:t>HOLDINGS, INC.,</w:t>
            </w:r>
          </w:p>
          <w:p>
            <w:pPr>
              <w:jc w:val="left"/>
            </w:pPr>
            <w:r>
              <w:rPr>
                <w:sz w:val="24"/>
              </w:rPr>
              <w:t>a Delaware corporation,</w:t>
            </w:r>
          </w:p>
          <w:p>
            <w:pPr>
              <w:jc w:val="left"/>
            </w:pPr>
          </w:p>
          <w:p>
            <w:pPr>
              <w:jc w:val="left"/>
            </w:pPr>
            <w:r>
              <w:rPr>
                <w:sz w:val="24"/>
              </w:rPr>
              <w:t xml:space="preserve">                    Plaintiff,</w:t>
            </w:r>
          </w:p>
          <w:p>
            <w:pPr>
              <w:jc w:val="left"/>
            </w:pPr>
          </w:p>
          <w:p>
            <w:pPr>
              <w:jc w:val="left"/>
            </w:pPr>
            <w:r>
              <w:rPr>
                <w:sz w:val="24"/>
              </w:rPr>
              <w:t xml:space="preserve">          v.</w:t>
            </w:r>
          </w:p>
          <w:p>
            <w:pPr>
              <w:jc w:val="left"/>
            </w:pPr>
          </w:p>
          <w:p>
            <w:pPr>
              <w:jc w:val="left"/>
            </w:pPr>
            <w:r>
              <w:rPr>
                <w:b/>
                <w:sz w:val="24"/>
              </w:rPr>
              <w:t>CORBIN MACHINING &amp;</w:t>
            </w:r>
          </w:p>
          <w:p>
            <w:pPr>
              <w:jc w:val="left"/>
            </w:pPr>
            <w:r>
              <w:rPr>
                <w:b/>
                <w:sz w:val="24"/>
              </w:rPr>
              <w:t>FABRICATION, LLC,</w:t>
            </w:r>
          </w:p>
          <w:p>
            <w:pPr>
              <w:jc w:val="left"/>
            </w:pPr>
            <w:r>
              <w:rPr>
                <w:sz w:val="24"/>
              </w:rPr>
              <w:t>an Ohio limited liability company,</w:t>
            </w:r>
          </w:p>
          <w:p>
            <w:pPr>
              <w:jc w:val="left"/>
            </w:pPr>
          </w:p>
          <w:p>
            <w:pPr>
              <w:jc w:val="left"/>
            </w:pPr>
            <w:r>
              <w:rPr>
                <w:sz w:val="24"/>
              </w:rPr>
              <w:t xml:space="preserve">                    Defendant.</w:t>
            </w:r>
          </w:p>
        </w:tc>
        <w:tc>
          <w:tcPr>
            <w:tcW w:type="dxa" w:w="4320"/>
          </w:tcPr>
          <w:p>
            <w:pPr>
              <w:ind w:left="288"/>
              <w:jc w:val="left"/>
            </w:pPr>
            <w:r/>
          </w:p>
          <w:p>
            <w:pPr>
              <w:ind w:left="288"/>
              <w:jc w:val="left"/>
            </w:pPr>
            <w:r>
              <w:rPr>
                <w:sz w:val="24"/>
              </w:rPr>
              <w:t>Civil Action No.</w:t>
            </w:r>
          </w:p>
          <w:p>
            <w:pPr>
              <w:ind w:left="288"/>
              <w:jc w:val="left"/>
            </w:pPr>
            <w:r>
              <w:rPr>
                <w:sz w:val="24"/>
              </w:rPr>
              <w:t>2:24-cv-00831-CAR</w:t>
            </w:r>
          </w:p>
          <w:p>
            <w:pPr>
              <w:ind w:left="288"/>
              <w:jc w:val="left"/>
            </w:pPr>
          </w:p>
          <w:p>
            <w:pPr>
              <w:ind w:left="288"/>
              <w:jc w:val="left"/>
            </w:pPr>
            <w:r>
              <w:rPr>
                <w:sz w:val="24"/>
              </w:rPr>
              <w:t>Hon. Christine A. Radford,</w:t>
            </w:r>
          </w:p>
          <w:p>
            <w:pPr>
              <w:ind w:left="288"/>
              <w:jc w:val="left"/>
            </w:pPr>
            <w:r>
              <w:rPr>
                <w:sz w:val="24"/>
              </w:rPr>
              <w:t>U.S. District Judge</w:t>
            </w:r>
          </w:p>
          <w:p>
            <w:pPr>
              <w:ind w:left="288"/>
              <w:jc w:val="left"/>
            </w:pPr>
          </w:p>
          <w:p>
            <w:pPr>
              <w:ind w:left="288"/>
              <w:jc w:val="left"/>
            </w:pPr>
            <w:r>
              <w:rPr>
                <w:sz w:val="24"/>
              </w:rPr>
              <w:t>Hon. David P. Sheehan,</w:t>
            </w:r>
          </w:p>
          <w:p>
            <w:pPr>
              <w:ind w:left="288"/>
              <w:jc w:val="left"/>
            </w:pPr>
            <w:r>
              <w:rPr>
                <w:sz w:val="24"/>
              </w:rPr>
              <w:t>U.S. Magistrate Judge</w:t>
            </w:r>
          </w:p>
          <w:p>
            <w:pPr>
              <w:ind w:left="288"/>
              <w:jc w:val="left"/>
            </w:pPr>
          </w:p>
          <w:p>
            <w:pPr>
              <w:ind w:left="288"/>
              <w:jc w:val="left"/>
            </w:pPr>
            <w:r>
              <w:rPr>
                <w:b/>
                <w:sz w:val="24"/>
              </w:rPr>
              <w:t>Filed Electronically</w:t>
            </w:r>
          </w:p>
        </w:tc>
      </w:tr>
    </w:tbl>
    <w:p>
      <w:pPr>
        <w:spacing w:line="240" w:lineRule="auto" w:after="120"/>
        <w:jc w:val="both"/>
      </w:pPr>
    </w:p>
    <w:p>
      <w:pPr>
        <w:spacing w:line="240" w:lineRule="auto" w:after="240"/>
        <w:jc w:val="center"/>
      </w:pPr>
      <w:r>
        <w:rPr>
          <w:b/>
        </w:rPr>
        <w:t>[PROPOSED] ORDER GRANTING PLAINTIFF'S MOTION TO COMPEL DISCOVERY RESPONSES</w:t>
      </w:r>
    </w:p>
    <w:p>
      <w:pPr>
        <w:spacing w:line="480" w:lineRule="auto" w:after="0"/>
        <w:ind w:firstLine="720"/>
        <w:jc w:val="both"/>
      </w:pPr>
      <w:r>
        <w:t xml:space="preserve">AND NOW, this </w:t>
      </w:r>
      <w:r>
        <w:rPr>
          <w:u w:val="single"/>
        </w:rPr>
        <w:t xml:space="preserve">__ day of </w:t>
      </w:r>
      <w:r>
        <w:rPr>
          <w:u w:val="single"/>
        </w:rPr>
        <w:t>_</w:t>
      </w:r>
      <w:r>
        <w:rPr>
          <w:u w:val="single"/>
        </w:rPr>
        <w:t>_</w:t>
      </w:r>
      <w:r>
        <w:rPr>
          <w:u w:val="single"/>
        </w:rPr>
        <w:t>, 2024, upon consideration of Plaintiff Vantage Industrial Holdings, Inc.'s Motion to Compel Discovery Responses, and any response thereto, it is hereb</w:t>
      </w:r>
      <w:r>
        <w:rPr>
          <w:b/>
        </w:rPr>
        <w:t>ORDERED</w:t>
      </w:r>
      <w:r>
        <w:t xml:space="preserve"> that the Motion is </w:t>
      </w:r>
      <w:r>
        <w:rPr>
          <w:b/>
        </w:rPr>
        <w:t>GRANTED</w:t>
      </w:r>
      <w:r>
        <w:t>, as follows:</w:t>
      </w:r>
    </w:p>
    <w:p>
      <w:pPr>
        <w:spacing w:line="480" w:lineRule="auto" w:after="0"/>
        <w:ind w:firstLine="720"/>
        <w:jc w:val="both"/>
      </w:pPr>
      <w:r>
        <w:t>1.</w:t>
        <w:tab/>
        <w:t xml:space="preserve">Defendant Corbin Machining &amp; Fabrication, LLC's General Objections to Plaintiff's First Set of Interrogatories and First Request for Production of Documents are </w:t>
      </w:r>
      <w:r>
        <w:rPr>
          <w:b/>
        </w:rPr>
        <w:t>OVERRULED</w:t>
      </w:r>
      <w:r>
        <w:t xml:space="preserve">. Defendant's specific objections are </w:t>
      </w:r>
      <w:r>
        <w:rPr>
          <w:b/>
        </w:rPr>
        <w:t>OVERRULED</w:t>
      </w:r>
      <w:r>
        <w:t xml:space="preserve"> for the reasons stated in Plaintiff's Memorandum and Appendix A.</w:t>
      </w:r>
    </w:p>
    <w:p>
      <w:pPr>
        <w:spacing w:line="480" w:lineRule="auto" w:after="0"/>
        <w:ind w:firstLine="720"/>
        <w:jc w:val="both"/>
      </w:pPr>
      <w:r>
        <w:t>2.</w:t>
        <w:tab/>
        <w:t xml:space="preserve">Within fourteen (14) days of this Order, Defendant shall serve complete answers, verified under oath, to Interrogatory Nos. 1 through 25, </w:t>
      </w:r>
      <w:r>
        <w:rPr>
          <w:b/>
        </w:rPr>
        <w:t>as those interrogatories were served</w:t>
      </w:r>
      <w:r>
        <w:t xml:space="preserve"> on June 17, 2024, including a complete and accurate supplemental answer to Interrogatory No. 18.</w:t>
      </w:r>
    </w:p>
    <w:p>
      <w:pPr>
        <w:spacing w:line="480" w:lineRule="auto" w:after="0"/>
        <w:ind w:firstLine="720"/>
        <w:jc w:val="both"/>
      </w:pPr>
      <w:r>
        <w:t>3.</w:t>
        <w:tab/>
        <w:t xml:space="preserve">Within fourteen (14) days of this Order, Defendant shall serve amended written responses to Request for Production Nos. 1 through 42, </w:t>
      </w:r>
      <w:r>
        <w:rPr>
          <w:b/>
        </w:rPr>
        <w:t>as those requests were served</w:t>
      </w:r>
      <w:r>
        <w:t xml:space="preserve"> on June 17, 2024, stating for each request whether any responsive materials are being withheld, and shall produce all responsive, non-privileged documents and ESI in its possession, custody, or control, including documents and communications held by or obtained from Allegheny Materials Testing, Inc.</w:t>
      </w:r>
    </w:p>
    <w:p>
      <w:pPr>
        <w:spacing w:line="480" w:lineRule="auto" w:after="0"/>
        <w:ind w:firstLine="720"/>
        <w:jc w:val="both"/>
      </w:pPr>
      <w:r>
        <w:t>4.</w:t>
        <w:tab/>
        <w:t>Defendant has waived any attorney-client privilege and work-product protection as to documents and information responsive to Plaintiff's First Set of Interrogatories and First Request for Production of Documents by failing to serve a privilege log as required by Fed. R. Civ. P. 26(b)(5)(A) and Section 4.4 of the Case Management Order. [</w:t>
      </w:r>
      <w:r>
        <w:rPr>
          <w:i/>
        </w:rPr>
        <w:t>Alternatively:</w:t>
      </w:r>
      <w:r>
        <w:t xml:space="preserve"> Within seven (7) days of this Order, Defendant shall serve a privilege log complying with Fed. R. Civ. P. 26(b)(5)(A) and Section 4.4 of the Case Management Order, and shall submit all logged documents to the Court for </w:t>
      </w:r>
      <w:r>
        <w:rPr>
          <w:i/>
        </w:rPr>
        <w:t>in camera</w:t>
      </w:r>
      <w:r>
        <w:t xml:space="preserve"> review. Any privilege not so logged is waived.]</w:t>
      </w:r>
    </w:p>
    <w:p>
      <w:pPr>
        <w:spacing w:line="480" w:lineRule="auto" w:after="0"/>
        <w:ind w:firstLine="720"/>
        <w:jc w:val="both"/>
      </w:pPr>
      <w:r>
        <w:t>5.</w:t>
        <w:tab/>
        <w:t>Defendant's objections based on trade secret, proprietary, or third-party confidentiality grounds shall not be a basis for withholding production. Within seven (7) days of this Order, the parties shall submit a stipulated protective order or, failing agreement, competing proposals. Pending entry of a protective order, Defendant may designate materials as "Attorneys' Eyes Only."</w:t>
      </w:r>
    </w:p>
    <w:p>
      <w:pPr>
        <w:spacing w:line="480" w:lineRule="auto" w:after="0"/>
        <w:ind w:firstLine="720"/>
        <w:jc w:val="both"/>
      </w:pPr>
      <w:r>
        <w:t>6.</w:t>
        <w:tab/>
        <w:t>Within fourteen (14) days of this Order, Defendant shall (a) produce all document retention, destruction, and records-management policies in effect at any time since January 1, 2020; (b) disclose the date(s), recipients, and scope of any litigation hold notice(s) relating to this matter; and (c) serve a sworn declaration of a knowledgeable corporate representative describing the search conducted for Certificates of Conformance for all forty-seven (47) purchase orders, including the purchase orders for which no Certificate has been located, the custodians, locations, and systems searched, the search methods used, and all information known to Defendant regarding the loss, destruction, or disposition of any missing Certificate.</w:t>
      </w:r>
    </w:p>
    <w:p>
      <w:pPr>
        <w:spacing w:line="480" w:lineRule="auto" w:after="0"/>
        <w:ind w:firstLine="720"/>
        <w:jc w:val="both"/>
      </w:pPr>
      <w:r>
        <w:t>7.</w:t>
        <w:tab/>
        <w:t>Pursuant to Fed. R. Civ. P. 37(a)(5)(A), Defendant and/or its counsel shall pay Plaintiff's reasonable expenses, including attorney's fees, incurred in making the Motion. Plaintiff shall file a declaration of fees and expenses within fourteen (14) days of this Order; Defendant may respond within fourteen (14) days thereafter.</w:t>
      </w:r>
    </w:p>
    <w:p>
      <w:pPr>
        <w:spacing w:line="480" w:lineRule="auto" w:after="0"/>
        <w:ind w:firstLine="720"/>
        <w:jc w:val="both"/>
      </w:pPr>
      <w:r>
        <w:t>8.</w:t>
        <w:tab/>
        <w:t>Failure to comply with this Order may result in sanctions under Fed. R. Civ. P. 37(b)(2).</w:t>
      </w:r>
    </w:p>
    <w:p>
      <w:pPr>
        <w:spacing w:line="240" w:lineRule="auto" w:after="720"/>
        <w:ind w:left="4680"/>
        <w:jc w:val="left"/>
      </w:pPr>
      <w:r>
        <w:t>BY THE COURT:</w:t>
      </w:r>
    </w:p>
    <w:p>
      <w:pPr>
        <w:spacing w:line="240" w:lineRule="auto" w:after="0"/>
        <w:ind w:left="4680"/>
        <w:jc w:val="left"/>
      </w:pPr>
      <w:r>
        <w:rPr>
          <w:u w:val="single"/>
        </w:rPr>
        <w:t>_</w:t>
      </w:r>
      <w:r>
        <w:rPr>
          <w:u w:val="single"/>
        </w:rPr>
        <w:t>_</w:t>
      </w:r>
      <w:r>
        <w:rPr>
          <w:u w:val="single"/>
        </w:rPr>
        <w:t>_</w:t>
      </w:r>
      <w:r>
        <w:rPr>
          <w:u w:val="single"/>
        </w:rPr>
        <w:t>_</w:t>
      </w:r>
      <w:r>
        <w:rPr>
          <w:u w:val="single"/>
        </w:rPr>
        <w:t>_</w:t>
      </w:r>
      <w:r>
        <w:rPr>
          <w:u w:val="single"/>
        </w:rPr>
        <w:t>_</w:t>
      </w:r>
    </w:p>
    <w:p>
      <w:pPr>
        <w:spacing w:line="240" w:lineRule="auto" w:after="0"/>
        <w:ind w:left="4680"/>
        <w:jc w:val="left"/>
      </w:pPr>
      <w:r>
        <w:t>Hon. David P. Sheehan</w:t>
      </w:r>
    </w:p>
    <w:p>
      <w:pPr>
        <w:spacing w:line="240" w:lineRule="auto" w:after="0"/>
        <w:ind w:left="4680"/>
        <w:jc w:val="left"/>
      </w:pPr>
      <w:r>
        <w:t>United States Magistrate Judge</w:t>
      </w:r>
    </w:p>
    <w:p>
      <w:r>
        <w:br w:type="page"/>
      </w:r>
    </w:p>
    <w:p>
      <w:pPr>
        <w:spacing w:line="240" w:lineRule="auto" w:after="240"/>
        <w:jc w:val="center"/>
      </w:pPr>
      <w:r>
        <w:rPr>
          <w:b/>
        </w:rPr>
        <w:t>CERTIFICATE OF SERVICE</w:t>
      </w:r>
    </w:p>
    <w:p>
      <w:pPr>
        <w:spacing w:line="480" w:lineRule="auto" w:after="0"/>
        <w:ind w:firstLine="720"/>
        <w:jc w:val="both"/>
      </w:pPr>
      <w:r>
        <w:t>I hereby certify that on October 15, 2024, I electronically filed the foregoing Plaintiff Vantage Industrial Holdings, Inc.'s Motion to Compel Discovery Responses, Memorandum of Law, Local Rule 37.1 Certification, Appendix A, Exhibits, and Proposed Order with the Clerk of Court using the CM/ECF system, which will send notification of such filing to all counsel of record, including:</w:t>
      </w:r>
    </w:p>
    <w:p>
      <w:pPr>
        <w:spacing w:line="240" w:lineRule="auto" w:after="0"/>
        <w:ind w:left="1440"/>
        <w:jc w:val="left"/>
      </w:pPr>
      <w:r>
        <w:t>Victor E. Strathearn, Esq.</w:t>
      </w:r>
    </w:p>
    <w:p>
      <w:pPr>
        <w:spacing w:line="240" w:lineRule="auto" w:after="0"/>
        <w:ind w:left="1440"/>
        <w:jc w:val="left"/>
      </w:pPr>
      <w:r>
        <w:t>Lauren M. Ybarra, Esq.</w:t>
      </w:r>
    </w:p>
    <w:p>
      <w:pPr>
        <w:spacing w:line="240" w:lineRule="auto" w:after="0"/>
        <w:ind w:left="1440"/>
        <w:jc w:val="left"/>
      </w:pPr>
      <w:r>
        <w:t>Strathearn Legal Group, P.C.</w:t>
      </w:r>
    </w:p>
    <w:p>
      <w:pPr>
        <w:spacing w:line="240" w:lineRule="auto" w:after="0"/>
        <w:ind w:left="1440"/>
        <w:jc w:val="left"/>
      </w:pPr>
      <w:r>
        <w:t>1100 Superior Avenue, Suite 1400</w:t>
      </w:r>
    </w:p>
    <w:p>
      <w:pPr>
        <w:spacing w:line="240" w:lineRule="auto" w:after="0"/>
        <w:ind w:left="1440"/>
        <w:jc w:val="left"/>
      </w:pPr>
      <w:r>
        <w:t>Cleveland, OH 44114</w:t>
      </w:r>
    </w:p>
    <w:p>
      <w:pPr>
        <w:spacing w:line="240" w:lineRule="auto" w:after="0"/>
        <w:ind w:left="1440"/>
        <w:jc w:val="left"/>
      </w:pPr>
      <w:r>
        <w:t>vstrathearn@strathearnlegal.com</w:t>
      </w:r>
    </w:p>
    <w:p>
      <w:pPr>
        <w:spacing w:line="240" w:lineRule="auto" w:after="0"/>
        <w:ind w:left="1440"/>
        <w:jc w:val="left"/>
      </w:pPr>
      <w:r>
        <w:t>lybarra@strathearnlegal.com</w:t>
      </w:r>
    </w:p>
    <w:p>
      <w:pPr>
        <w:spacing w:line="240" w:lineRule="auto" w:after="0"/>
        <w:ind w:left="1440"/>
        <w:jc w:val="left"/>
      </w:pPr>
      <w:r>
        <w:rPr>
          <w:i/>
        </w:rPr>
        <w:t>Counsel for Defendant Corbin Machining &amp; Fabrication, LLC</w:t>
      </w:r>
    </w:p>
    <w:p>
      <w:pPr>
        <w:spacing w:line="240" w:lineRule="auto" w:after="240"/>
        <w:jc w:val="both"/>
      </w:pPr>
    </w:p>
    <w:p>
      <w:pPr>
        <w:spacing w:line="240" w:lineRule="auto" w:after="0"/>
        <w:ind w:left="4680"/>
        <w:jc w:val="left"/>
      </w:pPr>
      <w:r>
        <w:t>/s/ Andrew J. Niles</w:t>
      </w:r>
    </w:p>
    <w:p>
      <w:pPr>
        <w:spacing w:line="240" w:lineRule="auto" w:after="0"/>
        <w:ind w:left="4680"/>
        <w:jc w:val="left"/>
      </w:pPr>
      <w:r>
        <w:t>Andrew J. Niles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