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STONEBRIDGE &amp; CALLOWAY LLP</w:t>
      </w:r>
    </w:p>
    <w:p>
      <w:pPr>
        <w:spacing w:after="240"/>
        <w:jc w:val="center"/>
      </w:pPr>
      <w:r>
        <w:rPr>
          <w:b/>
        </w:rPr>
        <w:t>PRIVILEGED &amp; CONFIDENTIAL — ATTORNEY WORK PRODUCT / ATTORNEY–CLIENT COMMUNICATION</w:t>
      </w:r>
    </w:p>
    <w:p>
      <w:pPr>
        <w:spacing w:after="240"/>
        <w:jc w:val="center"/>
      </w:pPr>
      <w:r>
        <w:rPr>
          <w:b/>
        </w:rPr>
        <w:t>MEMORANDUM</w:t>
      </w:r>
    </w:p>
    <w:p>
      <w:pPr>
        <w:spacing w:after="80"/>
        <w:ind w:left="1440" w:hanging="1440"/>
      </w:pPr>
      <w:r>
        <w:rPr>
          <w:b/>
        </w:rPr>
        <w:t>TO:</w:t>
      </w:r>
      <w:r>
        <w:tab/>
        <w:t>Margaret Calloway, Lead Partner; David Arsenault, Senior Associate</w:t>
      </w:r>
    </w:p>
    <w:p>
      <w:pPr>
        <w:spacing w:after="80"/>
        <w:ind w:left="1440" w:hanging="1440"/>
      </w:pPr>
      <w:r>
        <w:rPr>
          <w:b/>
        </w:rPr>
        <w:t>FROM:</w:t>
      </w:r>
      <w:r>
        <w:tab/>
        <w:t>[Drafting attorney]</w:t>
      </w:r>
    </w:p>
    <w:p>
      <w:pPr>
        <w:spacing w:after="80"/>
        <w:ind w:left="1440" w:hanging="1440"/>
      </w:pPr>
      <w:r>
        <w:rPr>
          <w:b/>
        </w:rPr>
        <w:t>DATE:</w:t>
      </w:r>
      <w:r>
        <w:tab/>
        <w:t>[__], 2024</w:t>
      </w:r>
    </w:p>
    <w:p>
      <w:pPr>
        <w:spacing w:after="80"/>
        <w:ind w:left="1440" w:hanging="1440"/>
      </w:pPr>
      <w:r>
        <w:rPr>
          <w:b/>
        </w:rPr>
        <w:t>RE:</w:t>
      </w:r>
      <w:r>
        <w:tab/>
      </w:r>
      <w:r>
        <w:rPr>
          <w:i/>
        </w:rPr>
        <w:t>Arcadia Health Systems, LLC v. Meridian Cloud Solutions, Inc.</w:t>
      </w:r>
      <w:r>
        <w:t>, No. 1:23-cv-00847-CMA (W.D. Tex.): cover memo for the draft Rule 12(b)(6) motion and proposed order, and threshold issues to resolve before filing</w:t>
      </w:r>
    </w:p>
    <w:p>
      <w:pPr>
        <w:pStyle w:val="Heading1"/>
      </w:pPr>
      <w:r>
        <w:t>I. Bottom Line</w:t>
      </w:r>
    </w:p>
    <w:p>
      <w:pPr>
        <w:spacing w:after="160"/>
        <w:jc w:val="both"/>
      </w:pPr>
      <w:r>
        <w:rPr>
          <w:b/>
        </w:rPr>
        <w:t>1. Do not file the motion in its current form. The Court very likely lacks subject-matter jurisdiction.</w:t>
      </w:r>
      <w:r>
        <w:t xml:space="preserve"> Arcadia is an LLC, so it takes the citizenship of each of its members. Two of those members are Texas citizens, and a third member, through its own partners, makes Arcadia a Delaware citizen as well. Meridian is a citizen of Delaware (where it is incorporated) and Texas (its principal place of business). That means the two sides share citizenship in </w:t>
      </w:r>
      <w:r>
        <w:rPr>
          <w:b/>
        </w:rPr>
        <w:t>both</w:t>
      </w:r>
      <w:r>
        <w:t xml:space="preserve"> states, so there is no complete diversity. Arcadia pleaded these facts itself in FAC ¶¶ 7–8. Our Notice of Removal treated Arcadia as a citizen of the state where it was organized, which is the wrong test for an LLC. A merits ruling from a court that lacks jurisdiction can be vacated at any point, including on appeal, and the Court can raise the issue on its own. This has to be resolved with the client first (§ II.A).</w:t>
      </w:r>
    </w:p>
    <w:p>
      <w:pPr>
        <w:spacing w:after="160"/>
        <w:jc w:val="both"/>
      </w:pPr>
      <w:r>
        <w:rPr>
          <w:b/>
        </w:rPr>
        <w:t>2. The motion papers are drafted and ready for use</w:t>
      </w:r>
      <w:r>
        <w:t xml:space="preserve"> if jurisdiction turns out to exist, or for adaptation in state court after remand. They meet the Standing Order's requirements: the 25-page limit, caption with response deadline, identification of the grounds preserved in the Answer (§ 3.4), and a separate proposed order (§ 3.5). All the drafting traps are flagged below.</w:t>
      </w:r>
    </w:p>
    <w:p>
      <w:pPr>
        <w:spacing w:after="160"/>
        <w:jc w:val="both"/>
      </w:pPr>
      <w:r>
        <w:rPr>
          <w:b/>
        </w:rPr>
        <w:t>3. Several authorities in the December 18, 2023 research memo must not be cited as written.</w:t>
      </w:r>
      <w:r>
        <w:t xml:space="preserve"> Some cases appear not to exist. Others are real but hold the opposite of what the memo says. The memo also misstates the DTPA exemption statute. I relied on none of the problem authorities; the details are in § III.</w:t>
      </w:r>
    </w:p>
    <w:p>
      <w:pPr>
        <w:spacing w:after="160"/>
        <w:jc w:val="both"/>
      </w:pPr>
      <w:r>
        <w:rPr>
          <w:b/>
        </w:rPr>
        <w:t>4. Be realistic about Count I.</w:t>
      </w:r>
      <w:r>
        <w:t xml:space="preserve"> No court will dismiss the breach-of-contract count outright at the pleading stage. The draft seeks full dismissal as the primary request but is really built to narrow the claim: taking out data migration, the Change Orders, and consequential damages removes about $32 million of the $47.3 million demand. Counts IV (unjust enrichment) and V (DTPA) are strong. Count II (fraud) is reasonably strong on the non-reliance clause. Count III (negligent misrepresentation) is moderately strong (§ IV).</w:t>
      </w:r>
    </w:p>
    <w:p>
      <w:pPr>
        <w:pStyle w:val="Heading1"/>
      </w:pPr>
      <w:r>
        <w:t>II. Threshold Issues</w:t>
      </w:r>
    </w:p>
    <w:p>
      <w:pPr>
        <w:pStyle w:val="Heading2"/>
      </w:pPr>
      <w:r>
        <w:t>A. Subject-matter jurisdiction: complete diversity appears to be lacking (dispositive)</w:t>
      </w:r>
    </w:p>
    <w:tbl>
      <w:tblPr>
        <w:tblStyle w:val="TableGrid"/>
        <w:tblW w:type="auto" w:w="0"/>
        <w:tblLook w:firstColumn="1" w:firstRow="1" w:lastColumn="0" w:lastRow="0" w:noHBand="0" w:noVBand="1" w:val="04A0"/>
      </w:tblPr>
      <w:tblGrid>
        <w:gridCol w:w="3312"/>
        <w:gridCol w:w="1728"/>
        <w:gridCol w:w="4320"/>
      </w:tblGrid>
      <w:tr>
        <w:tc>
          <w:tcPr>
            <w:tcW w:type="dxa" w:w="3312"/>
          </w:tcPr>
          <w:p>
            <w:pPr>
              <w:spacing w:line="240" w:lineRule="auto"/>
            </w:pPr>
            <w:r>
              <w:rPr>
                <w:sz w:val="20"/>
              </w:rPr>
            </w:r>
            <w:r>
              <w:rPr>
                <w:b/>
                <w:sz w:val="20"/>
              </w:rPr>
              <w:t>Party / layer</w:t>
            </w:r>
          </w:p>
        </w:tc>
        <w:tc>
          <w:tcPr>
            <w:tcW w:type="dxa" w:w="1728"/>
          </w:tcPr>
          <w:p>
            <w:pPr>
              <w:spacing w:line="240" w:lineRule="auto"/>
            </w:pPr>
            <w:r>
              <w:rPr>
                <w:sz w:val="20"/>
              </w:rPr>
            </w:r>
            <w:r>
              <w:rPr>
                <w:b/>
                <w:sz w:val="20"/>
              </w:rPr>
              <w:t>Citizenship</w:t>
            </w:r>
          </w:p>
        </w:tc>
        <w:tc>
          <w:tcPr>
            <w:tcW w:type="dxa" w:w="4320"/>
          </w:tcPr>
          <w:p>
            <w:pPr>
              <w:spacing w:line="240" w:lineRule="auto"/>
            </w:pPr>
            <w:r>
              <w:rPr>
                <w:sz w:val="20"/>
              </w:rPr>
            </w:r>
            <w:r>
              <w:rPr>
                <w:b/>
                <w:sz w:val="20"/>
              </w:rPr>
              <w:t>Source</w:t>
            </w:r>
          </w:p>
        </w:tc>
      </w:tr>
      <w:tr>
        <w:tc>
          <w:tcPr>
            <w:tcW w:type="dxa" w:w="3312"/>
          </w:tcPr>
          <w:p>
            <w:pPr>
              <w:spacing w:line="240" w:lineRule="auto"/>
            </w:pPr>
            <w:r>
              <w:rPr>
                <w:sz w:val="20"/>
              </w:rPr>
            </w:r>
            <w:r>
              <w:rPr>
                <w:sz w:val="20"/>
              </w:rPr>
              <w:t>Meridian (Del. corp.; PPB Austin)</w:t>
            </w:r>
          </w:p>
        </w:tc>
        <w:tc>
          <w:tcPr>
            <w:tcW w:type="dxa" w:w="1728"/>
          </w:tcPr>
          <w:p>
            <w:pPr>
              <w:spacing w:line="240" w:lineRule="auto"/>
            </w:pPr>
            <w:r>
              <w:rPr>
                <w:sz w:val="20"/>
              </w:rPr>
            </w:r>
            <w:r>
              <w:rPr>
                <w:sz w:val="20"/>
              </w:rPr>
              <w:t>Delaware + Texas</w:t>
            </w:r>
          </w:p>
        </w:tc>
        <w:tc>
          <w:tcPr>
            <w:tcW w:type="dxa" w:w="4320"/>
          </w:tcPr>
          <w:p>
            <w:pPr>
              <w:spacing w:line="240" w:lineRule="auto"/>
            </w:pPr>
            <w:r>
              <w:rPr>
                <w:sz w:val="20"/>
              </w:rPr>
            </w:r>
            <w:r>
              <w:rPr>
                <w:sz w:val="20"/>
              </w:rPr>
              <w:t xml:space="preserve">28 U.S.C. § 1332(c)(1); Notice of Removal ¶¶ 9–11; Answer ¶ 5; </w:t>
            </w:r>
            <w:r>
              <w:rPr>
                <w:i/>
                <w:sz w:val="20"/>
              </w:rPr>
              <w:t>Hertz Corp. v. Friend</w:t>
            </w:r>
            <w:r>
              <w:rPr>
                <w:sz w:val="20"/>
              </w:rPr>
              <w:t>, 559 U.S. 77 (2010)</w:t>
            </w:r>
          </w:p>
        </w:tc>
      </w:tr>
      <w:tr>
        <w:tc>
          <w:tcPr>
            <w:tcW w:type="dxa" w:w="3312"/>
          </w:tcPr>
          <w:p>
            <w:pPr>
              <w:spacing w:line="240" w:lineRule="auto"/>
            </w:pPr>
            <w:r>
              <w:rPr>
                <w:sz w:val="20"/>
              </w:rPr>
            </w:r>
            <w:r>
              <w:rPr>
                <w:sz w:val="20"/>
              </w:rPr>
              <w:t>Arcadia member: Dr. Okonkwo</w:t>
            </w:r>
          </w:p>
        </w:tc>
        <w:tc>
          <w:tcPr>
            <w:tcW w:type="dxa" w:w="1728"/>
          </w:tcPr>
          <w:p>
            <w:pPr>
              <w:spacing w:line="240" w:lineRule="auto"/>
            </w:pPr>
            <w:r>
              <w:rPr>
                <w:sz w:val="20"/>
              </w:rPr>
            </w:r>
            <w:r>
              <w:rPr>
                <w:sz w:val="20"/>
              </w:rPr>
              <w:t>Texas</w:t>
            </w:r>
          </w:p>
        </w:tc>
        <w:tc>
          <w:tcPr>
            <w:tcW w:type="dxa" w:w="4320"/>
          </w:tcPr>
          <w:p>
            <w:pPr>
              <w:spacing w:line="240" w:lineRule="auto"/>
            </w:pPr>
            <w:r>
              <w:rPr>
                <w:sz w:val="20"/>
              </w:rPr>
            </w:r>
            <w:r>
              <w:rPr>
                <w:sz w:val="20"/>
              </w:rPr>
              <w:t>FAC ¶ 7; Operating Agreement (OA) Ex. A n.1</w:t>
            </w:r>
          </w:p>
        </w:tc>
      </w:tr>
      <w:tr>
        <w:tc>
          <w:tcPr>
            <w:tcW w:type="dxa" w:w="3312"/>
          </w:tcPr>
          <w:p>
            <w:pPr>
              <w:spacing w:line="240" w:lineRule="auto"/>
            </w:pPr>
            <w:r>
              <w:rPr>
                <w:sz w:val="20"/>
              </w:rPr>
            </w:r>
            <w:r>
              <w:rPr>
                <w:sz w:val="20"/>
              </w:rPr>
              <w:t>Arcadia member: Schreiber</w:t>
            </w:r>
          </w:p>
        </w:tc>
        <w:tc>
          <w:tcPr>
            <w:tcW w:type="dxa" w:w="1728"/>
          </w:tcPr>
          <w:p>
            <w:pPr>
              <w:spacing w:line="240" w:lineRule="auto"/>
            </w:pPr>
            <w:r>
              <w:rPr>
                <w:sz w:val="20"/>
              </w:rPr>
            </w:r>
            <w:r>
              <w:rPr>
                <w:sz w:val="20"/>
              </w:rPr>
              <w:t>Texas</w:t>
            </w:r>
          </w:p>
        </w:tc>
        <w:tc>
          <w:tcPr>
            <w:tcW w:type="dxa" w:w="4320"/>
          </w:tcPr>
          <w:p>
            <w:pPr>
              <w:spacing w:line="240" w:lineRule="auto"/>
            </w:pPr>
            <w:r>
              <w:rPr>
                <w:sz w:val="20"/>
              </w:rPr>
            </w:r>
            <w:r>
              <w:rPr>
                <w:sz w:val="20"/>
              </w:rPr>
              <w:t>FAC ¶ 7; OA Ex. A n.2</w:t>
            </w:r>
          </w:p>
        </w:tc>
      </w:tr>
      <w:tr>
        <w:tc>
          <w:tcPr>
            <w:tcW w:type="dxa" w:w="3312"/>
          </w:tcPr>
          <w:p>
            <w:pPr>
              <w:spacing w:line="240" w:lineRule="auto"/>
            </w:pPr>
            <w:r>
              <w:rPr>
                <w:sz w:val="20"/>
              </w:rPr>
            </w:r>
            <w:r>
              <w:rPr>
                <w:sz w:val="20"/>
              </w:rPr>
              <w:t>Arcadia member: Apex Medical Ventures, LP → GP: Apex Medical Ventures GP, Inc. (Del. corp.; PPB Wilmington)</w:t>
            </w:r>
          </w:p>
        </w:tc>
        <w:tc>
          <w:tcPr>
            <w:tcW w:type="dxa" w:w="1728"/>
          </w:tcPr>
          <w:p>
            <w:pPr>
              <w:spacing w:line="240" w:lineRule="auto"/>
            </w:pPr>
            <w:r>
              <w:rPr>
                <w:sz w:val="20"/>
              </w:rPr>
            </w:r>
            <w:r>
              <w:rPr>
                <w:sz w:val="20"/>
              </w:rPr>
              <w:t>Delaware</w:t>
            </w:r>
          </w:p>
        </w:tc>
        <w:tc>
          <w:tcPr>
            <w:tcW w:type="dxa" w:w="4320"/>
          </w:tcPr>
          <w:p>
            <w:pPr>
              <w:spacing w:line="240" w:lineRule="auto"/>
            </w:pPr>
            <w:r>
              <w:rPr>
                <w:sz w:val="20"/>
              </w:rPr>
            </w:r>
            <w:r>
              <w:rPr>
                <w:sz w:val="20"/>
              </w:rPr>
              <w:t>FAC ¶ 8; OA Ex. A n.3(a)</w:t>
            </w:r>
          </w:p>
        </w:tc>
      </w:tr>
      <w:tr>
        <w:tc>
          <w:tcPr>
            <w:tcW w:type="dxa" w:w="3312"/>
          </w:tcPr>
          <w:p>
            <w:pPr>
              <w:spacing w:line="240" w:lineRule="auto"/>
            </w:pPr>
            <w:r>
              <w:rPr>
                <w:sz w:val="20"/>
              </w:rPr>
            </w:r>
            <w:r>
              <w:rPr>
                <w:sz w:val="20"/>
              </w:rPr>
              <w:t>Apex → LP: Okonkwo Family Trust</w:t>
            </w:r>
          </w:p>
        </w:tc>
        <w:tc>
          <w:tcPr>
            <w:tcW w:type="dxa" w:w="1728"/>
          </w:tcPr>
          <w:p>
            <w:pPr>
              <w:spacing w:line="240" w:lineRule="auto"/>
            </w:pPr>
            <w:r>
              <w:rPr>
                <w:sz w:val="20"/>
              </w:rPr>
            </w:r>
            <w:r>
              <w:rPr>
                <w:sz w:val="20"/>
              </w:rPr>
              <w:t>Texas (either way)</w:t>
            </w:r>
          </w:p>
        </w:tc>
        <w:tc>
          <w:tcPr>
            <w:tcW w:type="dxa" w:w="4320"/>
          </w:tcPr>
          <w:p>
            <w:pPr>
              <w:spacing w:line="240" w:lineRule="auto"/>
            </w:pPr>
            <w:r>
              <w:rPr>
                <w:sz w:val="20"/>
              </w:rPr>
            </w:r>
            <w:r>
              <w:rPr>
                <w:sz w:val="20"/>
              </w:rPr>
              <w:t xml:space="preserve">FAC ¶ 8 calls it </w:t>
            </w:r>
            <w:r>
              <w:rPr>
                <w:i/>
                <w:sz w:val="20"/>
              </w:rPr>
              <w:t>irrevocable</w:t>
            </w:r>
            <w:r>
              <w:rPr>
                <w:sz w:val="20"/>
              </w:rPr>
              <w:t xml:space="preserve"> with a Texas beneficiary; OA Ex. A n.3(b) calls it </w:t>
            </w:r>
            <w:r>
              <w:rPr>
                <w:i/>
                <w:sz w:val="20"/>
              </w:rPr>
              <w:t>revocable</w:t>
            </w:r>
            <w:r>
              <w:rPr>
                <w:sz w:val="20"/>
              </w:rPr>
              <w:t xml:space="preserve"> with Dr. Okonkwo (Texas) as sole trustee. A traditional trust takes its trustee's citizenship (</w:t>
            </w:r>
            <w:r>
              <w:rPr>
                <w:i/>
                <w:sz w:val="20"/>
              </w:rPr>
              <w:t>Americold Realty Tr. v. ConAgra Foods</w:t>
            </w:r>
            <w:r>
              <w:rPr>
                <w:sz w:val="20"/>
              </w:rPr>
              <w:t>, 577 U.S. 378 (2016)), so it is Texas under either version.</w:t>
            </w:r>
          </w:p>
        </w:tc>
      </w:tr>
      <w:tr>
        <w:tc>
          <w:tcPr>
            <w:tcW w:type="dxa" w:w="3312"/>
          </w:tcPr>
          <w:p>
            <w:pPr>
              <w:spacing w:line="240" w:lineRule="auto"/>
            </w:pPr>
            <w:r>
              <w:rPr>
                <w:sz w:val="20"/>
              </w:rPr>
            </w:r>
            <w:r>
              <w:rPr>
                <w:b/>
                <w:sz w:val="20"/>
              </w:rPr>
              <w:t>Arcadia (aggregate)</w:t>
            </w:r>
          </w:p>
        </w:tc>
        <w:tc>
          <w:tcPr>
            <w:tcW w:type="dxa" w:w="1728"/>
          </w:tcPr>
          <w:p>
            <w:pPr>
              <w:spacing w:line="240" w:lineRule="auto"/>
            </w:pPr>
            <w:r>
              <w:rPr>
                <w:sz w:val="20"/>
              </w:rPr>
            </w:r>
            <w:r>
              <w:rPr>
                <w:b/>
                <w:sz w:val="20"/>
              </w:rPr>
              <w:t>Texas + Delaware</w:t>
            </w:r>
          </w:p>
        </w:tc>
        <w:tc>
          <w:tcPr>
            <w:tcW w:type="dxa" w:w="4320"/>
          </w:tcPr>
          <w:p>
            <w:pPr>
              <w:spacing w:line="240" w:lineRule="auto"/>
            </w:pPr>
            <w:r>
              <w:rPr>
                <w:sz w:val="20"/>
              </w:rPr>
            </w:r>
            <w:r>
              <w:rPr>
                <w:i/>
                <w:sz w:val="20"/>
              </w:rPr>
              <w:t>Harvey v. Grey Wolf Drilling Co.</w:t>
            </w:r>
            <w:r>
              <w:rPr>
                <w:sz w:val="20"/>
              </w:rPr>
              <w:t xml:space="preserve">, 542 F.3d 1077, 1080 (5th Cir. 2008) (LLC takes the citizenship of all members); </w:t>
            </w:r>
            <w:r>
              <w:rPr>
                <w:i/>
                <w:sz w:val="20"/>
              </w:rPr>
              <w:t>Carden v. Arkoma Assocs.</w:t>
            </w:r>
            <w:r>
              <w:rPr>
                <w:sz w:val="20"/>
              </w:rPr>
              <w:t>, 494 U.S. 185 (1990) (same for partnerships)</w:t>
            </w:r>
          </w:p>
        </w:tc>
      </w:tr>
    </w:tbl>
    <w:p>
      <w:pPr>
        <w:spacing w:line="240" w:lineRule="auto"/>
      </w:pPr>
    </w:p>
    <w:p>
      <w:pPr>
        <w:spacing w:after="160"/>
        <w:jc w:val="both"/>
      </w:pPr>
      <w:r>
        <w:rPr>
          <w:b/>
        </w:rPr>
        <w:t>Consequences.</w:t>
      </w:r>
      <w:r>
        <w:t xml:space="preserve"> (i) Parties cannot waive, consent to, or cure a lack of subject-matter jurisdiction. The Court must remand "[i]f at any time before final judgment it appears that the district court lacks subject matter jurisdiction." 28 U.S.C. § 1447(c); Fed. R. Civ. P. 12(h)(3). Citizenship is fixed as of filing and removal and cannot be fixed by later changes. </w:t>
      </w:r>
      <w:r>
        <w:rPr>
          <w:i/>
        </w:rPr>
        <w:t>Grupo Dataflux v. Atlas Global Grp., L.P.</w:t>
      </w:r>
      <w:r>
        <w:t xml:space="preserve">, 541 U.S. 567 (2004). (ii) The Court cannot decide the 12(b)(6) motion by assuming it has jurisdiction. </w:t>
      </w:r>
      <w:r>
        <w:rPr>
          <w:i/>
        </w:rPr>
        <w:t>Steel Co. v. Citizens for a Better Env't</w:t>
      </w:r>
      <w:r>
        <w:t xml:space="preserve">, 523 U.S. 83, 94–95 (1998). A dismissal with prejudice would be void-able and would not protect the client. (iii) Fee exposure: the remand order may award fees and costs caused by removal if removal lacked an objectively reasonable basis. </w:t>
      </w:r>
      <w:r>
        <w:rPr>
          <w:i/>
        </w:rPr>
        <w:t>Martin v. Franklin Capital Corp.</w:t>
      </w:r>
      <w:r>
        <w:t xml:space="preserve">, 546 U.S. 132 (2005). The Notice of Removal applied the wrong test for an LLC and did not address Arcadia's members at all. (iv) The Notice of Removal and every later filing carry Rule 11 exposure. Check whether each side filed the Rule 7.1(a)(2) citizenship disclosure statement required since December 1, 2022; if Meridian did not, that is an independent compliance gap. (v) The research memo (§ XV) suggests weighing whether Meridian "benefits more" from federal or state court. That is not a legitimate option. Counsel may not keep litigating the merits while knowing of an apparent jurisdictional defect. </w:t>
      </w:r>
      <w:r>
        <w:rPr>
          <w:i/>
        </w:rPr>
        <w:t>See</w:t>
      </w:r>
      <w:r>
        <w:t xml:space="preserve"> Tex. Disciplinary R. Prof'l Conduct 3.01, 3.03.</w:t>
      </w:r>
    </w:p>
    <w:p>
      <w:pPr>
        <w:spacing w:after="160"/>
        <w:jc w:val="both"/>
      </w:pPr>
      <w:r>
        <w:rPr>
          <w:b/>
        </w:rPr>
        <w:t>Separate removal defect (now moot).</w:t>
      </w:r>
      <w:r>
        <w:t xml:space="preserve"> Meridian is a Texas citizen, and it removed a case from a Texas state court. The forum-defendant rule, 28 U.S.C. § 1441(b)(2), bars that. Arcadia waived this procedural objection by not moving within 30 days (§ 1447(c)). It matters only as further evidence that the removal was not carefully vetted.</w:t>
      </w:r>
    </w:p>
    <w:p>
      <w:pPr>
        <w:spacing w:after="160"/>
        <w:jc w:val="both"/>
      </w:pPr>
      <w:r>
        <w:rPr>
          <w:b/>
        </w:rPr>
        <w:t>Recommended steps.</w:t>
      </w:r>
      <w:r>
        <w:t xml:space="preserve"> (1) Get Apex's partnership agreement and the trust instrument and confirm the analysis (a one-day task). Also confirm there were no membership changes between August 7 and August 29, 2023. (2) Advise Meridian in writing, including the fee and cost exposure, and get instructions. (3) Tell opposing counsel and the Court promptly. Options include an advisory to the Court, or a joint or unopposed motion to remand under § 1447(c). (4) Suspend work toward the January deadline except for what remains useful in state court. (5) Think about whether the firm's own role in the removal creates a client-relations or conflict issue that should be disclosed to Meridian.</w:t>
      </w:r>
    </w:p>
    <w:p>
      <w:pPr>
        <w:spacing w:after="160"/>
        <w:jc w:val="both"/>
      </w:pPr>
      <w:r>
        <w:rPr>
          <w:b/>
        </w:rPr>
        <w:t>After remand (Bexar County, 73rd District Court).</w:t>
      </w:r>
      <w:r>
        <w:t xml:space="preserve"> (a) </w:t>
      </w:r>
      <w:r>
        <w:rPr>
          <w:i/>
        </w:rPr>
        <w:t>Venue.</w:t>
      </w:r>
      <w:r>
        <w:t xml:space="preserve"> The MSLSA's § 12.8 Travis County clause is likely enforceable under the major-transaction statute, Tex. Civ. Prac. &amp; Rem. Code § 15.020 (written agreement of $1 million or more). But a motion to transfer venue must be filed before or together with any other plea other than a special appearance (Tex. R. Civ. P. 86). We need to research quickly whether Meridian's federal Answer counts as its state-court answer on remand and waives venue. (b) </w:t>
      </w:r>
      <w:r>
        <w:rPr>
          <w:i/>
        </w:rPr>
        <w:t>Rule 91a</w:t>
      </w:r>
      <w:r>
        <w:t xml:space="preserve"> (the Texas early-dismissal motion) is likely unavailable, because its 60-day window runs from service of the first pleading containing each claim; the original petition was served August 10, 2023. (c) The arguments in the draft can be used as special exceptions (Tex. R. Civ. P. 91) and then a traditional summary-judgment motion. The summary-judgment motion can use the negotiation emails, which cannot be considered on a 12(b)(6) motion (§ IV). (d) The jury waiver is enforceable in Texas state court. </w:t>
      </w:r>
      <w:r>
        <w:rPr>
          <w:i/>
        </w:rPr>
        <w:t>In re Prudential Ins. Co. of Am.</w:t>
      </w:r>
      <w:r>
        <w:t>, 148 S.W.3d 124 (Tex. 2004).</w:t>
      </w:r>
    </w:p>
    <w:p>
      <w:pPr>
        <w:pStyle w:val="Heading2"/>
      </w:pPr>
      <w:r>
        <w:t>B. Procedural posture and deadline issues (if the motion is filed in this Court)</w:t>
      </w:r>
    </w:p>
    <w:p>
      <w:pPr>
        <w:spacing w:after="100"/>
        <w:ind w:left="432"/>
        <w:jc w:val="both"/>
      </w:pPr>
      <w:r>
        <w:t xml:space="preserve">•  </w:t>
      </w:r>
      <w:r>
        <w:rPr>
          <w:b/>
        </w:rPr>
        <w:t>12(b)(6) versus 12(c) conflict.</w:t>
      </w:r>
      <w:r>
        <w:t xml:space="preserve"> Standing Order § 3.4 (effective September 1, 2023) says the Court treats post-answer motions as 12(b)(6) motions. The Scheduling Order (October 16, 2023) says the Court "will treat any such motion as a Rule 12(c) motion" and cites a "W.D. Tex. Standing Order 2019-03" that we could not locate. Verify that citation before relying on it. The standard is the same either way (</w:t>
      </w:r>
      <w:r>
        <w:rPr>
          <w:i/>
        </w:rPr>
        <w:t>Doe v. MySpace</w:t>
      </w:r>
      <w:r>
        <w:t>, 528 F.3d at 418). The draft is titled in the alternative and asks for the same relief under either Rule.</w:t>
      </w:r>
    </w:p>
    <w:p>
      <w:pPr>
        <w:spacing w:after="100"/>
        <w:ind w:left="432"/>
        <w:jc w:val="both"/>
      </w:pPr>
      <w:r>
        <w:t xml:space="preserve">•  </w:t>
      </w:r>
      <w:r>
        <w:rPr>
          <w:b/>
        </w:rPr>
        <w:t>Deadline.</w:t>
      </w:r>
      <w:r>
        <w:t xml:space="preserve"> The dispositive-motion deadline, January 15, 2024, is Martin Luther King Jr. Day, a federal holiday. Do not count on Rule 6(a) rolling a court-set calendar date to the next day. </w:t>
      </w:r>
      <w:r>
        <w:rPr>
          <w:b/>
        </w:rPr>
        <w:t>Target filing: Friday, January 12, 2024.</w:t>
      </w:r>
      <w:r>
        <w:t xml:space="preserve"> Any motion for extra pages is due 7 days before the deadline (Standing Order § 3.2), so by January 8. The draft currently runs about 21 counted pages.</w:t>
      </w:r>
    </w:p>
    <w:p>
      <w:pPr>
        <w:spacing w:after="100"/>
        <w:ind w:left="432"/>
        <w:jc w:val="both"/>
      </w:pPr>
      <w:r>
        <w:t xml:space="preserve">•  </w:t>
      </w:r>
      <w:r>
        <w:rPr>
          <w:b/>
        </w:rPr>
        <w:t>Page-limit conflict for replies.</w:t>
      </w:r>
      <w:r>
        <w:t xml:space="preserve"> The Standing Order allows 15 pages for a dispositive reply; the Scheduling Order allows 10. Plan for 10.</w:t>
      </w:r>
    </w:p>
    <w:p>
      <w:pPr>
        <w:spacing w:after="100"/>
        <w:ind w:left="432"/>
        <w:jc w:val="both"/>
      </w:pPr>
      <w:r>
        <w:t xml:space="preserve">•  </w:t>
      </w:r>
      <w:r>
        <w:rPr>
          <w:b/>
        </w:rPr>
        <w:t>Certificate of conference.</w:t>
      </w:r>
      <w:r>
        <w:t xml:space="preserve"> Standing Order § 3.1 requires one for dispositive motions, filed as a separate document at the same time as the motion. It must describe a good-faith, personal (telephone or in-person) conference aimed at voluntarily narrowing claims. Suggested narrowing request: that Arcadia drop Count V and Count IV. Draft the certificate after the call. The motion refers to it.</w:t>
      </w:r>
    </w:p>
    <w:p>
      <w:pPr>
        <w:spacing w:after="100"/>
        <w:ind w:left="432"/>
        <w:jc w:val="both"/>
      </w:pPr>
      <w:r>
        <w:t xml:space="preserve">•  </w:t>
      </w:r>
      <w:r>
        <w:rPr>
          <w:b/>
        </w:rPr>
        <w:t>Caption response deadline</w:t>
      </w:r>
      <w:r>
        <w:t xml:space="preserve"> (Standing Order § 2.2(e)). This is 21 days after filing (§ 3.3(a)), so February 2, 2024 if we file on January 12. Fill it in at filing.</w:t>
      </w:r>
    </w:p>
    <w:p>
      <w:pPr>
        <w:spacing w:after="100"/>
        <w:ind w:left="432"/>
        <w:jc w:val="both"/>
      </w:pPr>
      <w:r>
        <w:t xml:space="preserve">•  </w:t>
      </w:r>
      <w:r>
        <w:rPr>
          <w:b/>
        </w:rPr>
        <w:t>Proposed order</w:t>
      </w:r>
      <w:r>
        <w:t xml:space="preserve"> (§ 3.5). It must be filed separately in .docx format with no argumentative recitals (the draft complies). The docket number must be added within one business day after filing.</w:t>
      </w:r>
    </w:p>
    <w:p>
      <w:pPr>
        <w:spacing w:after="100"/>
        <w:ind w:left="432"/>
        <w:jc w:val="both"/>
      </w:pPr>
      <w:r>
        <w:t xml:space="preserve">•  </w:t>
      </w:r>
      <w:r>
        <w:rPr>
          <w:b/>
        </w:rPr>
        <w:t>Standing Order § 3.4(d).</w:t>
      </w:r>
      <w:r>
        <w:t xml:space="preserve"> The motion must identify the grounds preserved in the Answer; the draft does this in its Procedural Posture section. Caveat: the Answer's Thirteenth Affirmative Defense describes § 17.49(f) incorrectly (see § II.D). § 17.49(g) is preserved only through the general failure-to-state-a-claim defense and the Part III reservation of "DTPA exemption." That is probably enough, but expect Arcadia to argue otherwise.</w:t>
      </w:r>
    </w:p>
    <w:p>
      <w:pPr>
        <w:pStyle w:val="Heading2"/>
      </w:pPr>
      <w:r>
        <w:t>C. Problems with the Answer and signature blocks</w:t>
      </w:r>
    </w:p>
    <w:p>
      <w:pPr>
        <w:spacing w:after="100"/>
        <w:ind w:left="432"/>
        <w:jc w:val="both"/>
      </w:pPr>
      <w:r>
        <w:t xml:space="preserve">•  </w:t>
      </w:r>
      <w:r>
        <w:rPr>
          <w:b/>
        </w:rPr>
        <w:t>The Answer's paragraph responses do not line up with the FAC.</w:t>
      </w:r>
      <w:r>
        <w:t xml:space="preserve"> For example, FAC ¶ 7 pleads Arcadia's members, but Answer ¶ 7 responds to allegations about NexusCore; Answer ¶ 18 responds as if FAC ¶ 18 described the Poletti presentation. Under Rule 8(b)(6), an allegation that is not denied is admitted. The general denial (Answer preamble and ¶ 59) probably protects us, but consider a corrected amended answer. The amendment deadline (December 15, 2023) has passed, so we would need to show good cause under Rule 16(b)(4). Hold this until the jurisdiction question is resolved.</w:t>
      </w:r>
    </w:p>
    <w:p>
      <w:pPr>
        <w:spacing w:after="100"/>
        <w:ind w:left="432"/>
        <w:jc w:val="both"/>
      </w:pPr>
      <w:r>
        <w:t xml:space="preserve">•  </w:t>
      </w:r>
      <w:r>
        <w:rPr>
          <w:b/>
        </w:rPr>
        <w:t>Inconsistent bar numbers and phone numbers.</w:t>
      </w:r>
      <w:r>
        <w:t xml:space="preserve"> Ms. Calloway is listed as 24037891 in the Answer and 24078153 in the Notice of Removal. Mr. Arsenault is 24098254 in the Answer and 24112490 in the Notice. Firm phone numbers differ across filings. Confirm the correct numbers and conform the signature block (left bracketed in the draft).</w:t>
      </w:r>
    </w:p>
    <w:p>
      <w:pPr>
        <w:spacing w:after="100"/>
        <w:ind w:left="432"/>
        <w:jc w:val="both"/>
      </w:pPr>
      <w:r>
        <w:t xml:space="preserve">•  </w:t>
      </w:r>
      <w:r>
        <w:rPr>
          <w:b/>
        </w:rPr>
        <w:t>Lawyer-as-witness risk.</w:t>
      </w:r>
      <w:r>
        <w:t xml:space="preserve"> The negotiation emails show that Mr. Arsenault negotiated the MSLSA for Meridian under Ms. Calloway's supervision, including rejecting Arcadia's requested fraud carve-out to § 12.1. If the non-reliance clause's negotiation history becomes a contested fact, Arcadia may try to disqualify them under Tex. Disciplinary R. Prof'l Conduct 3.08. Assess now, and consider having someone else sponsor any testimony.</w:t>
      </w:r>
    </w:p>
    <w:p>
      <w:pPr>
        <w:spacing w:after="100"/>
        <w:ind w:left="432"/>
        <w:jc w:val="both"/>
      </w:pPr>
      <w:r>
        <w:t xml:space="preserve">•  </w:t>
      </w:r>
      <w:r>
        <w:rPr>
          <w:b/>
        </w:rPr>
        <w:t>Change Orders.</w:t>
      </w:r>
      <w:r>
        <w:t xml:space="preserve"> Our file copies have blank signature lines. Get the fully executed copies before relying on "mutually executed" (App. 2).</w:t>
      </w:r>
    </w:p>
    <w:p>
      <w:pPr>
        <w:pStyle w:val="Heading2"/>
      </w:pPr>
      <w:r>
        <w:t>D. DTPA: everyone has been citing the wrong exemption</w:t>
      </w:r>
    </w:p>
    <w:p>
      <w:pPr>
        <w:spacing w:after="160"/>
        <w:jc w:val="both"/>
      </w:pPr>
      <w:r>
        <w:t xml:space="preserve">The Answer (¶ 54 and the Thirteenth Affirmative Defense), our July 2023 correspondence, and the research memo all describe § 17.49(f) as a "$500,000 threshold where the consumer has assets of $25 million or more" or "unless the consumer is an individual." Both descriptions are wrong. As we understand the current text: § 17.49(f) excludes claims arising from a written contract involving more than $100,000 where the consumer is represented by counsel not selected by the defendant and the contract does not involve the consumer's residence. § 17.49(g) excludes transactions involving more than $500,000 that do not involve the consumer's residence. </w:t>
      </w:r>
      <w:r>
        <w:rPr>
          <w:b/>
        </w:rPr>
        <w:t>Neither has an asset test.</w:t>
      </w:r>
      <w:r>
        <w:t xml:space="preserve"> The $25 million asset figure comes from the definition of "consumer" in § 17.45(4) (business consumers with assets of $25 million or more are excluded). Arcadia's letter of July 25, 2023 says it has $23.8 million in assets; that is relevant only to § 17.45(4), which we do not rely on. The motion uses § 17.49(f) and (g) as correctly stated, based on FAC ¶¶ 32–34. </w:t>
      </w:r>
      <w:r>
        <w:rPr>
          <w:b/>
        </w:rPr>
        <w:t>Check the statutory text against the current code before filing.</w:t>
      </w:r>
    </w:p>
    <w:p>
      <w:pPr>
        <w:spacing w:after="160"/>
        <w:jc w:val="both"/>
      </w:pPr>
      <w:r>
        <w:t>DTPA pre-suit notice: Arcadia's notice is dated June 15, 2023, and suit was filed August 7, 2023, which is 53 days, short of the 60 days § 17.505 requires. The remedy is abatement, not dismissal, and it must be raised by a verified plea within 30 days after filing the answer. That window almost certainly closed around November 1, 2023. This is not a ground for the motion. (Our July 10 letter responds to a "June 26" letter; reconcile the dates in the file.)</w:t>
      </w:r>
    </w:p>
    <w:p>
      <w:pPr>
        <w:pStyle w:val="Heading1"/>
      </w:pPr>
      <w:r>
        <w:t>III. The December 18, 2023 Research Memo: Citation Problems</w:t>
      </w:r>
    </w:p>
    <w:p>
      <w:pPr>
        <w:spacing w:after="160"/>
        <w:jc w:val="both"/>
      </w:pPr>
      <w:r>
        <w:t>Each authority below must be pulled and read before it is cited anywhere. Citing a nonexistent case, or misstating a holding, to Judge Alvarez carries sanction risk under Rule 11 and Standing Order § 1.4. Assessments are based on our review and need confirmation on Westlaw or Lexis.</w:t>
      </w:r>
    </w:p>
    <w:tbl>
      <w:tblPr>
        <w:tblStyle w:val="TableGrid"/>
        <w:tblW w:type="auto" w:w="0"/>
        <w:tblLook w:firstColumn="1" w:firstRow="1" w:lastColumn="0" w:lastRow="0" w:noHBand="0" w:noVBand="1" w:val="04A0"/>
      </w:tblPr>
      <w:tblGrid>
        <w:gridCol w:w="3168"/>
        <w:gridCol w:w="4032"/>
        <w:gridCol w:w="2160"/>
      </w:tblGrid>
      <w:tr>
        <w:tc>
          <w:tcPr>
            <w:tcW w:type="dxa" w:w="3168"/>
          </w:tcPr>
          <w:p>
            <w:pPr>
              <w:spacing w:line="240" w:lineRule="auto"/>
            </w:pPr>
            <w:r>
              <w:rPr>
                <w:sz w:val="18"/>
              </w:rPr>
            </w:r>
            <w:r>
              <w:rPr>
                <w:b/>
                <w:sz w:val="18"/>
              </w:rPr>
              <w:t>Authority (as cited in memo)</w:t>
            </w:r>
          </w:p>
        </w:tc>
        <w:tc>
          <w:tcPr>
            <w:tcW w:type="dxa" w:w="4032"/>
          </w:tcPr>
          <w:p>
            <w:pPr>
              <w:spacing w:line="240" w:lineRule="auto"/>
            </w:pPr>
            <w:r>
              <w:rPr>
                <w:sz w:val="18"/>
              </w:rPr>
            </w:r>
            <w:r>
              <w:rPr>
                <w:b/>
                <w:sz w:val="18"/>
              </w:rPr>
              <w:t>Problem</w:t>
            </w:r>
          </w:p>
        </w:tc>
        <w:tc>
          <w:tcPr>
            <w:tcW w:type="dxa" w:w="2160"/>
          </w:tcPr>
          <w:p>
            <w:pPr>
              <w:spacing w:line="240" w:lineRule="auto"/>
            </w:pPr>
            <w:r>
              <w:rPr>
                <w:sz w:val="18"/>
              </w:rPr>
            </w:r>
            <w:r>
              <w:rPr>
                <w:b/>
                <w:sz w:val="18"/>
              </w:rPr>
              <w:t>Treatment in draft</w:t>
            </w:r>
          </w:p>
        </w:tc>
      </w:tr>
      <w:tr>
        <w:tc>
          <w:tcPr>
            <w:tcW w:type="dxa" w:w="3168"/>
          </w:tcPr>
          <w:p>
            <w:pPr>
              <w:spacing w:line="240" w:lineRule="auto"/>
            </w:pPr>
            <w:r>
              <w:rPr>
                <w:sz w:val="18"/>
              </w:rPr>
            </w:r>
            <w:r>
              <w:rPr>
                <w:i/>
                <w:sz w:val="18"/>
              </w:rPr>
              <w:t>Brasby v. Morris Dynamics</w:t>
            </w:r>
            <w:r>
              <w:rPr>
                <w:sz w:val="18"/>
              </w:rPr>
              <w:t>, 947 A.2d 1042 (Del. 2008)</w:t>
            </w:r>
          </w:p>
        </w:tc>
        <w:tc>
          <w:tcPr>
            <w:tcW w:type="dxa" w:w="4032"/>
          </w:tcPr>
          <w:p>
            <w:pPr>
              <w:spacing w:line="240" w:lineRule="auto"/>
            </w:pPr>
            <w:r>
              <w:rPr>
                <w:sz w:val="18"/>
              </w:rPr>
            </w:r>
            <w:r>
              <w:rPr>
                <w:sz w:val="18"/>
              </w:rPr>
              <w:t>Could not locate; appears not to exist.</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Kana Software v. Sealand Tech.</w:t>
            </w:r>
            <w:r>
              <w:rPr>
                <w:sz w:val="18"/>
              </w:rPr>
              <w:t>, 178 A.3d 1045 (Del. Ch. 2017)</w:t>
            </w:r>
          </w:p>
        </w:tc>
        <w:tc>
          <w:tcPr>
            <w:tcW w:type="dxa" w:w="4032"/>
          </w:tcPr>
          <w:p>
            <w:pPr>
              <w:spacing w:line="240" w:lineRule="auto"/>
            </w:pPr>
            <w:r>
              <w:rPr>
                <w:sz w:val="18"/>
              </w:rPr>
            </w:r>
            <w:r>
              <w:rPr>
                <w:sz w:val="18"/>
              </w:rPr>
              <w:t>Could not locate; appears not to exist. The memo calls it "factually analogous," which is a red flag.</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Simulados v. Canton Health Mgmt.</w:t>
            </w:r>
            <w:r>
              <w:rPr>
                <w:sz w:val="18"/>
              </w:rPr>
              <w:t xml:space="preserve">, 2019 WL 4573218 (W.D. Tex.); </w:t>
            </w:r>
            <w:r>
              <w:rPr>
                <w:i/>
                <w:sz w:val="18"/>
              </w:rPr>
              <w:t>Precision Healthcare v. Nextera</w:t>
            </w:r>
            <w:r>
              <w:rPr>
                <w:sz w:val="18"/>
              </w:rPr>
              <w:t>, 458 F. Supp. 3d 544 (N.D. Tex. 2020)</w:t>
            </w:r>
          </w:p>
        </w:tc>
        <w:tc>
          <w:tcPr>
            <w:tcW w:type="dxa" w:w="4032"/>
          </w:tcPr>
          <w:p>
            <w:pPr>
              <w:spacing w:line="240" w:lineRule="auto"/>
            </w:pPr>
            <w:r>
              <w:rPr>
                <w:sz w:val="18"/>
              </w:rPr>
            </w:r>
            <w:r>
              <w:rPr>
                <w:sz w:val="18"/>
              </w:rPr>
              <w:t>Could not locate; appear not to exist. Both are suspiciously on point for deemed acceptance.</w:t>
            </w:r>
          </w:p>
        </w:tc>
        <w:tc>
          <w:tcPr>
            <w:tcW w:type="dxa" w:w="2160"/>
          </w:tcPr>
          <w:p>
            <w:pPr>
              <w:spacing w:line="240" w:lineRule="auto"/>
            </w:pPr>
            <w:r>
              <w:rPr>
                <w:sz w:val="18"/>
              </w:rPr>
            </w:r>
            <w:r>
              <w:rPr>
                <w:sz w:val="18"/>
              </w:rPr>
              <w:t>Not cited; deemed-acceptance argument not made (see § IV)</w:t>
            </w:r>
          </w:p>
        </w:tc>
      </w:tr>
      <w:tr>
        <w:tc>
          <w:tcPr>
            <w:tcW w:type="dxa" w:w="3168"/>
          </w:tcPr>
          <w:p>
            <w:pPr>
              <w:spacing w:line="240" w:lineRule="auto"/>
            </w:pPr>
            <w:r>
              <w:rPr>
                <w:sz w:val="18"/>
              </w:rPr>
            </w:r>
            <w:r>
              <w:rPr>
                <w:i/>
                <w:sz w:val="18"/>
              </w:rPr>
              <w:t>Hollcroft &amp; Sedgewick v. Pac. Mut.</w:t>
            </w:r>
            <w:r>
              <w:rPr>
                <w:sz w:val="18"/>
              </w:rPr>
              <w:t>, 51 S.W.3d 573 (Tex. 2001)</w:t>
            </w:r>
          </w:p>
        </w:tc>
        <w:tc>
          <w:tcPr>
            <w:tcW w:type="dxa" w:w="4032"/>
          </w:tcPr>
          <w:p>
            <w:pPr>
              <w:spacing w:line="240" w:lineRule="auto"/>
            </w:pPr>
            <w:r>
              <w:rPr>
                <w:sz w:val="18"/>
              </w:rPr>
            </w:r>
            <w:r>
              <w:rPr>
                <w:sz w:val="18"/>
              </w:rPr>
              <w:t>Could not locate.</w:t>
            </w:r>
          </w:p>
        </w:tc>
        <w:tc>
          <w:tcPr>
            <w:tcW w:type="dxa" w:w="2160"/>
          </w:tcPr>
          <w:p>
            <w:pPr>
              <w:spacing w:line="240" w:lineRule="auto"/>
            </w:pPr>
            <w:r>
              <w:rPr>
                <w:sz w:val="18"/>
              </w:rPr>
            </w:r>
            <w:r>
              <w:rPr>
                <w:sz w:val="18"/>
              </w:rPr>
              <w:t xml:space="preserve">Not cited; used </w:t>
            </w:r>
            <w:r>
              <w:rPr>
                <w:i/>
                <w:sz w:val="18"/>
              </w:rPr>
              <w:t>Grant Thornton</w:t>
            </w:r>
            <w:r>
              <w:rPr>
                <w:sz w:val="18"/>
              </w:rPr>
              <w:t xml:space="preserve"> / </w:t>
            </w:r>
            <w:r>
              <w:rPr>
                <w:i/>
                <w:sz w:val="18"/>
              </w:rPr>
              <w:t>Orca Assets</w:t>
            </w:r>
            <w:r>
              <w:rPr>
                <w:sz w:val="18"/>
              </w:rPr>
              <w:t xml:space="preserve"> instead</w:t>
            </w:r>
          </w:p>
        </w:tc>
      </w:tr>
      <w:tr>
        <w:tc>
          <w:tcPr>
            <w:tcW w:type="dxa" w:w="3168"/>
          </w:tcPr>
          <w:p>
            <w:pPr>
              <w:spacing w:line="240" w:lineRule="auto"/>
            </w:pPr>
            <w:r>
              <w:rPr>
                <w:sz w:val="18"/>
              </w:rPr>
            </w:r>
            <w:r>
              <w:rPr>
                <w:i/>
                <w:sz w:val="18"/>
              </w:rPr>
              <w:t>Eagle Indus. v. DeVilbiss</w:t>
            </w:r>
            <w:r>
              <w:rPr>
                <w:sz w:val="18"/>
              </w:rPr>
              <w:t>, 702 A.2d 1228 (Del. 1997)</w:t>
            </w:r>
          </w:p>
        </w:tc>
        <w:tc>
          <w:tcPr>
            <w:tcW w:type="dxa" w:w="4032"/>
          </w:tcPr>
          <w:p>
            <w:pPr>
              <w:spacing w:line="240" w:lineRule="auto"/>
            </w:pPr>
            <w:r>
              <w:rPr>
                <w:sz w:val="18"/>
              </w:rPr>
            </w:r>
            <w:r>
              <w:rPr>
                <w:sz w:val="18"/>
              </w:rPr>
              <w:t xml:space="preserve">Real, but cited for the opposite of what it holds. </w:t>
            </w:r>
            <w:r>
              <w:rPr>
                <w:i/>
                <w:sz w:val="18"/>
              </w:rPr>
              <w:t>Eagle</w:t>
            </w:r>
            <w:r>
              <w:rPr>
                <w:sz w:val="18"/>
              </w:rPr>
              <w:t xml:space="preserve"> held that a standard integration clause </w:t>
            </w:r>
            <w:r>
              <w:rPr>
                <w:b/>
                <w:sz w:val="18"/>
              </w:rPr>
              <w:t>without</w:t>
            </w:r>
            <w:r>
              <w:rPr>
                <w:sz w:val="18"/>
              </w:rPr>
              <w:t xml:space="preserve"> explicit anti-reliance language does </w:t>
            </w:r>
            <w:r>
              <w:rPr>
                <w:b/>
                <w:sz w:val="18"/>
              </w:rPr>
              <w:t>not</w:t>
            </w:r>
            <w:r>
              <w:rPr>
                <w:sz w:val="18"/>
              </w:rPr>
              <w:t xml:space="preserve"> bar fraud claims.</w:t>
            </w:r>
          </w:p>
        </w:tc>
        <w:tc>
          <w:tcPr>
            <w:tcW w:type="dxa" w:w="2160"/>
          </w:tcPr>
          <w:p>
            <w:pPr>
              <w:spacing w:line="240" w:lineRule="auto"/>
            </w:pPr>
            <w:r>
              <w:rPr>
                <w:sz w:val="18"/>
              </w:rPr>
            </w:r>
            <w:r>
              <w:rPr>
                <w:sz w:val="18"/>
              </w:rPr>
              <w:t xml:space="preserve">Not cited; relied on the actual § 12.1 non-reliance sentence plus </w:t>
            </w:r>
            <w:r>
              <w:rPr>
                <w:i/>
                <w:sz w:val="18"/>
              </w:rPr>
              <w:t>Abry Partners</w:t>
            </w:r>
          </w:p>
        </w:tc>
      </w:tr>
      <w:tr>
        <w:tc>
          <w:tcPr>
            <w:tcW w:type="dxa" w:w="3168"/>
          </w:tcPr>
          <w:p>
            <w:pPr>
              <w:spacing w:line="240" w:lineRule="auto"/>
            </w:pPr>
            <w:r>
              <w:rPr>
                <w:sz w:val="18"/>
              </w:rPr>
            </w:r>
            <w:r>
              <w:rPr>
                <w:i/>
                <w:sz w:val="18"/>
              </w:rPr>
              <w:t>Chapman Custom Homes v. Dallas Plumbing</w:t>
            </w:r>
            <w:r>
              <w:rPr>
                <w:sz w:val="18"/>
              </w:rPr>
              <w:t>, 445 S.W.3d 716 (Tex. 2014)</w:t>
            </w:r>
          </w:p>
        </w:tc>
        <w:tc>
          <w:tcPr>
            <w:tcW w:type="dxa" w:w="4032"/>
          </w:tcPr>
          <w:p>
            <w:pPr>
              <w:spacing w:line="240" w:lineRule="auto"/>
            </w:pPr>
            <w:r>
              <w:rPr>
                <w:sz w:val="18"/>
              </w:rPr>
            </w:r>
            <w:r>
              <w:rPr>
                <w:sz w:val="18"/>
              </w:rPr>
              <w:t xml:space="preserve">Real; as we read it, the Court found an independent tort duty, so the tort claim was </w:t>
            </w:r>
            <w:r>
              <w:rPr>
                <w:b/>
                <w:sz w:val="18"/>
              </w:rPr>
              <w:t>not</w:t>
            </w:r>
            <w:r>
              <w:rPr>
                <w:sz w:val="18"/>
              </w:rPr>
              <w:t xml:space="preserve"> barred. The quoted "three-factor test" does not appear in the opinion.</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Fed. Land Bank v. Sloane</w:t>
            </w:r>
            <w:r>
              <w:rPr>
                <w:sz w:val="18"/>
              </w:rPr>
              <w:t xml:space="preserve">, 825 S.W.2d 439 (Tex. 1991); </w:t>
            </w:r>
            <w:r>
              <w:rPr>
                <w:i/>
                <w:sz w:val="18"/>
              </w:rPr>
              <w:t>McCamish</w:t>
            </w:r>
            <w:r>
              <w:rPr>
                <w:sz w:val="18"/>
              </w:rPr>
              <w:t>, 991 S.W.2d 787 (Tex. 1999)</w:t>
            </w:r>
          </w:p>
        </w:tc>
        <w:tc>
          <w:tcPr>
            <w:tcW w:type="dxa" w:w="4032"/>
          </w:tcPr>
          <w:p>
            <w:pPr>
              <w:spacing w:line="240" w:lineRule="auto"/>
            </w:pPr>
            <w:r>
              <w:rPr>
                <w:sz w:val="18"/>
              </w:rPr>
            </w:r>
            <w:r>
              <w:rPr>
                <w:sz w:val="18"/>
              </w:rPr>
              <w:t xml:space="preserve">Real but mischaracterized. </w:t>
            </w:r>
            <w:r>
              <w:rPr>
                <w:i/>
                <w:sz w:val="18"/>
              </w:rPr>
              <w:t>Sloane</w:t>
            </w:r>
            <w:r>
              <w:rPr>
                <w:sz w:val="18"/>
              </w:rPr>
              <w:t xml:space="preserve"> recognized the negligent-misrepresentation claim and limited damages to out-of-pocket loss. </w:t>
            </w:r>
            <w:r>
              <w:rPr>
                <w:i/>
                <w:sz w:val="18"/>
              </w:rPr>
              <w:t>McCamish</w:t>
            </w:r>
            <w:r>
              <w:rPr>
                <w:sz w:val="18"/>
              </w:rPr>
              <w:t xml:space="preserve"> extended liability to non-clients; it did not add an "independent duty" bar.</w:t>
            </w:r>
          </w:p>
        </w:tc>
        <w:tc>
          <w:tcPr>
            <w:tcW w:type="dxa" w:w="2160"/>
          </w:tcPr>
          <w:p>
            <w:pPr>
              <w:spacing w:line="240" w:lineRule="auto"/>
            </w:pPr>
            <w:r>
              <w:rPr>
                <w:sz w:val="18"/>
              </w:rPr>
            </w:r>
            <w:r>
              <w:rPr>
                <w:sz w:val="18"/>
              </w:rPr>
              <w:t>Cited only for the correct propositions (damages limit; elements)</w:t>
            </w:r>
          </w:p>
        </w:tc>
      </w:tr>
      <w:tr>
        <w:tc>
          <w:tcPr>
            <w:tcW w:type="dxa" w:w="3168"/>
          </w:tcPr>
          <w:p>
            <w:pPr>
              <w:spacing w:line="240" w:lineRule="auto"/>
            </w:pPr>
            <w:r>
              <w:rPr>
                <w:sz w:val="18"/>
              </w:rPr>
            </w:r>
            <w:r>
              <w:rPr>
                <w:i/>
                <w:sz w:val="18"/>
              </w:rPr>
              <w:t>Riverside Nat'l Bank v. Lewis</w:t>
            </w:r>
            <w:r>
              <w:rPr>
                <w:sz w:val="18"/>
              </w:rPr>
              <w:t>, 603 S.W.2d 169 (Tex. 1980)</w:t>
            </w:r>
          </w:p>
        </w:tc>
        <w:tc>
          <w:tcPr>
            <w:tcW w:type="dxa" w:w="4032"/>
          </w:tcPr>
          <w:p>
            <w:pPr>
              <w:spacing w:line="240" w:lineRule="auto"/>
            </w:pPr>
            <w:r>
              <w:rPr>
                <w:sz w:val="18"/>
              </w:rPr>
            </w:r>
            <w:r>
              <w:rPr>
                <w:sz w:val="18"/>
              </w:rPr>
              <w:t xml:space="preserve">Real; held a borrower seeking money was </w:t>
            </w:r>
            <w:r>
              <w:rPr>
                <w:b/>
                <w:sz w:val="18"/>
              </w:rPr>
              <w:t>not</w:t>
            </w:r>
            <w:r>
              <w:rPr>
                <w:sz w:val="18"/>
              </w:rPr>
              <w:t xml:space="preserve"> a consumer. The memo says the opposite.</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Melody Home v. Barnes</w:t>
            </w:r>
            <w:r>
              <w:rPr>
                <w:sz w:val="18"/>
              </w:rPr>
              <w:t>, 741 S.W.2d 349 (Tex. 1987)</w:t>
            </w:r>
          </w:p>
        </w:tc>
        <w:tc>
          <w:tcPr>
            <w:tcW w:type="dxa" w:w="4032"/>
          </w:tcPr>
          <w:p>
            <w:pPr>
              <w:spacing w:line="240" w:lineRule="auto"/>
            </w:pPr>
            <w:r>
              <w:rPr>
                <w:sz w:val="18"/>
              </w:rPr>
            </w:r>
            <w:r>
              <w:rPr>
                <w:sz w:val="18"/>
              </w:rPr>
              <w:t>Real; about an implied warranty of good workmanship, not "producing cause." Arcadia's letter also relies on a quotation from it; check that too (useful for the reply).</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Castrol v. Pennzoil</w:t>
            </w:r>
            <w:r>
              <w:rPr>
                <w:sz w:val="18"/>
              </w:rPr>
              <w:t xml:space="preserve">, 987 F.2d 939 (3d Cir. 1993); </w:t>
            </w:r>
            <w:r>
              <w:rPr>
                <w:i/>
                <w:sz w:val="18"/>
              </w:rPr>
              <w:t>Pizza Hut</w:t>
            </w:r>
            <w:r>
              <w:rPr>
                <w:sz w:val="18"/>
              </w:rPr>
              <w:t>, 227 F.3d 489 (5th Cir. 2000)</w:t>
            </w:r>
          </w:p>
        </w:tc>
        <w:tc>
          <w:tcPr>
            <w:tcW w:type="dxa" w:w="4032"/>
          </w:tcPr>
          <w:p>
            <w:pPr>
              <w:spacing w:line="240" w:lineRule="auto"/>
            </w:pPr>
            <w:r>
              <w:rPr>
                <w:sz w:val="18"/>
              </w:rPr>
            </w:r>
            <w:r>
              <w:rPr>
                <w:i/>
                <w:sz w:val="18"/>
              </w:rPr>
              <w:t>Castrol</w:t>
            </w:r>
            <w:r>
              <w:rPr>
                <w:sz w:val="18"/>
              </w:rPr>
              <w:t xml:space="preserve"> affirmed a finding of literal falsity, so it is a poor puffery case. </w:t>
            </w:r>
            <w:r>
              <w:rPr>
                <w:i/>
                <w:sz w:val="18"/>
              </w:rPr>
              <w:t>Pizza Hut</w:t>
            </w:r>
            <w:r>
              <w:rPr>
                <w:sz w:val="18"/>
              </w:rPr>
              <w:t xml:space="preserve"> held the slogan became actionable in the context of specific comparative ads; the memo's "remains non-actionable even when combined" gets it backwards.</w:t>
            </w:r>
          </w:p>
        </w:tc>
        <w:tc>
          <w:tcPr>
            <w:tcW w:type="dxa" w:w="2160"/>
          </w:tcPr>
          <w:p>
            <w:pPr>
              <w:spacing w:line="240" w:lineRule="auto"/>
            </w:pPr>
            <w:r>
              <w:rPr>
                <w:sz w:val="18"/>
              </w:rPr>
            </w:r>
            <w:r>
              <w:rPr>
                <w:i/>
                <w:sz w:val="18"/>
              </w:rPr>
              <w:t>Pizza Hut</w:t>
            </w:r>
            <w:r>
              <w:rPr>
                <w:sz w:val="18"/>
              </w:rPr>
              <w:t xml:space="preserve"> cited only for the definition of puffery; </w:t>
            </w:r>
            <w:r>
              <w:rPr>
                <w:i/>
                <w:sz w:val="18"/>
              </w:rPr>
              <w:t>Castrol</w:t>
            </w:r>
            <w:r>
              <w:rPr>
                <w:sz w:val="18"/>
              </w:rPr>
              <w:t xml:space="preserve"> omitted</w:t>
            </w:r>
          </w:p>
        </w:tc>
      </w:tr>
      <w:tr>
        <w:tc>
          <w:tcPr>
            <w:tcW w:type="dxa" w:w="3168"/>
          </w:tcPr>
          <w:p>
            <w:pPr>
              <w:spacing w:line="240" w:lineRule="auto"/>
            </w:pPr>
            <w:r>
              <w:rPr>
                <w:sz w:val="18"/>
              </w:rPr>
            </w:r>
            <w:r>
              <w:rPr>
                <w:i/>
                <w:sz w:val="18"/>
              </w:rPr>
              <w:t>Flaherty &amp; Crumrine v. TXU</w:t>
            </w:r>
            <w:r>
              <w:rPr>
                <w:sz w:val="18"/>
              </w:rPr>
              <w:t xml:space="preserve">, 565 F.3d 200; </w:t>
            </w:r>
            <w:r>
              <w:rPr>
                <w:i/>
                <w:sz w:val="18"/>
              </w:rPr>
              <w:t>Dorsey</w:t>
            </w:r>
            <w:r>
              <w:rPr>
                <w:sz w:val="18"/>
              </w:rPr>
              <w:t>, 540 F.3d 333</w:t>
            </w:r>
          </w:p>
        </w:tc>
        <w:tc>
          <w:tcPr>
            <w:tcW w:type="dxa" w:w="4032"/>
          </w:tcPr>
          <w:p>
            <w:pPr>
              <w:spacing w:line="240" w:lineRule="auto"/>
            </w:pPr>
            <w:r>
              <w:rPr>
                <w:sz w:val="18"/>
              </w:rPr>
            </w:r>
            <w:r>
              <w:rPr>
                <w:sz w:val="18"/>
              </w:rPr>
              <w:t>Securities cases. The "strong inference" of scienter is a PSLRA standard and does not apply to a common-law fraud claim under Rule 9(b).</w:t>
            </w:r>
          </w:p>
        </w:tc>
        <w:tc>
          <w:tcPr>
            <w:tcW w:type="dxa" w:w="2160"/>
          </w:tcPr>
          <w:p>
            <w:pPr>
              <w:spacing w:line="240" w:lineRule="auto"/>
            </w:pPr>
            <w:r>
              <w:rPr>
                <w:sz w:val="18"/>
              </w:rPr>
            </w:r>
            <w:r>
              <w:rPr>
                <w:sz w:val="18"/>
              </w:rPr>
              <w:t>Not cited; draft uses the plausibility standard for intent</w:t>
            </w:r>
          </w:p>
        </w:tc>
      </w:tr>
      <w:tr>
        <w:tc>
          <w:tcPr>
            <w:tcW w:type="dxa" w:w="3168"/>
          </w:tcPr>
          <w:p>
            <w:pPr>
              <w:spacing w:line="240" w:lineRule="auto"/>
            </w:pPr>
            <w:r>
              <w:rPr>
                <w:sz w:val="18"/>
              </w:rPr>
            </w:r>
            <w:r>
              <w:rPr>
                <w:i/>
                <w:sz w:val="18"/>
              </w:rPr>
              <w:t>Benchmark Elecs.</w:t>
            </w:r>
            <w:r>
              <w:rPr>
                <w:sz w:val="18"/>
              </w:rPr>
              <w:t>, 343 F.3d 719</w:t>
            </w:r>
          </w:p>
        </w:tc>
        <w:tc>
          <w:tcPr>
            <w:tcW w:type="dxa" w:w="4032"/>
          </w:tcPr>
          <w:p>
            <w:pPr>
              <w:spacing w:line="240" w:lineRule="auto"/>
            </w:pPr>
            <w:r>
              <w:rPr>
                <w:sz w:val="18"/>
              </w:rPr>
            </w:r>
            <w:r>
              <w:rPr>
                <w:sz w:val="18"/>
              </w:rPr>
              <w:t>Real, but the memo's facts are wrong: it was a stock purchase, not a "specialty chemical" sale. The court found some fraud allegations sufficient, and it held a "this Agreement" choice-of-law clause too narrow to reach tort claims.</w:t>
            </w:r>
          </w:p>
        </w:tc>
        <w:tc>
          <w:tcPr>
            <w:tcW w:type="dxa" w:w="2160"/>
          </w:tcPr>
          <w:p>
            <w:pPr>
              <w:spacing w:line="240" w:lineRule="auto"/>
            </w:pPr>
            <w:r>
              <w:rPr>
                <w:sz w:val="18"/>
              </w:rPr>
            </w:r>
            <w:r>
              <w:rPr>
                <w:sz w:val="18"/>
              </w:rPr>
              <w:t>Cited for the 9(b) standard, for applying 9(b) to negligent misrepresentation, and for choice of law; confirm pin cites</w:t>
            </w:r>
          </w:p>
        </w:tc>
      </w:tr>
      <w:tr>
        <w:tc>
          <w:tcPr>
            <w:tcW w:type="dxa" w:w="3168"/>
          </w:tcPr>
          <w:p>
            <w:pPr>
              <w:spacing w:line="240" w:lineRule="auto"/>
            </w:pPr>
            <w:r>
              <w:rPr>
                <w:sz w:val="18"/>
              </w:rPr>
            </w:r>
            <w:r>
              <w:rPr>
                <w:i/>
                <w:sz w:val="18"/>
              </w:rPr>
              <w:t>PPG Indus. v. JMB/Houston Ctrs.</w:t>
            </w:r>
            <w:r>
              <w:rPr>
                <w:sz w:val="18"/>
              </w:rPr>
              <w:t>, 146 S.W.3d 79</w:t>
            </w:r>
          </w:p>
        </w:tc>
        <w:tc>
          <w:tcPr>
            <w:tcW w:type="dxa" w:w="4032"/>
          </w:tcPr>
          <w:p>
            <w:pPr>
              <w:spacing w:line="240" w:lineRule="auto"/>
            </w:pPr>
            <w:r>
              <w:rPr>
                <w:sz w:val="18"/>
              </w:rPr>
            </w:r>
            <w:r>
              <w:rPr>
                <w:sz w:val="18"/>
              </w:rPr>
              <w:t xml:space="preserve">This is a </w:t>
            </w:r>
            <w:r>
              <w:rPr>
                <w:b/>
                <w:sz w:val="18"/>
              </w:rPr>
              <w:t>Texas Supreme Court</w:t>
            </w:r>
            <w:r>
              <w:rPr>
                <w:sz w:val="18"/>
              </w:rPr>
              <w:t xml:space="preserve"> decision (2004) about whether DTPA claims can be assigned, not a Houston court of appeals decision about § 17.49(f).</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Kuhn Constr. v. Diamond State Port</w:t>
            </w:r>
            <w:r>
              <w:rPr>
                <w:sz w:val="18"/>
              </w:rPr>
              <w:t xml:space="preserve">, 990 A.2d 393 (Del. 2010); </w:t>
            </w:r>
            <w:r>
              <w:rPr>
                <w:i/>
                <w:sz w:val="18"/>
              </w:rPr>
              <w:t>SIGA v. PharmAthene</w:t>
            </w:r>
            <w:r>
              <w:rPr>
                <w:sz w:val="18"/>
              </w:rPr>
              <w:t>, 67 A.3d 330 (Del. 2013)</w:t>
            </w:r>
          </w:p>
        </w:tc>
        <w:tc>
          <w:tcPr>
            <w:tcW w:type="dxa" w:w="4032"/>
          </w:tcPr>
          <w:p>
            <w:pPr>
              <w:spacing w:line="240" w:lineRule="auto"/>
            </w:pPr>
            <w:r>
              <w:rPr>
                <w:sz w:val="18"/>
              </w:rPr>
            </w:r>
            <w:r>
              <w:rPr>
                <w:sz w:val="18"/>
              </w:rPr>
              <w:t>Real, but the propositions and quotations attributed to them (economic-loss doctrine; integration clauses) do not match the opinions as we understand them.</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i/>
                <w:sz w:val="18"/>
              </w:rPr>
              <w:t>Dresser-Rand v. Virtual Automation</w:t>
            </w:r>
            <w:r>
              <w:rPr>
                <w:sz w:val="18"/>
              </w:rPr>
              <w:t xml:space="preserve">, 361 F.3d 831 (5th Cir. 2004); </w:t>
            </w:r>
            <w:r>
              <w:rPr>
                <w:i/>
                <w:sz w:val="18"/>
              </w:rPr>
              <w:t>Excess Underwriters</w:t>
            </w:r>
            <w:r>
              <w:rPr>
                <w:sz w:val="18"/>
              </w:rPr>
              <w:t>, 246 S.W.3d 42 (Tex. 2008)</w:t>
            </w:r>
          </w:p>
        </w:tc>
        <w:tc>
          <w:tcPr>
            <w:tcW w:type="dxa" w:w="4032"/>
          </w:tcPr>
          <w:p>
            <w:pPr>
              <w:spacing w:line="240" w:lineRule="auto"/>
            </w:pPr>
            <w:r>
              <w:rPr>
                <w:sz w:val="18"/>
              </w:rPr>
            </w:r>
            <w:r>
              <w:rPr>
                <w:sz w:val="18"/>
              </w:rPr>
              <w:t xml:space="preserve">Real cases, but the quoted language and the "Texas and Delaware" holding in </w:t>
            </w:r>
            <w:r>
              <w:rPr>
                <w:i/>
                <w:sz w:val="18"/>
              </w:rPr>
              <w:t>Dresser-Rand</w:t>
            </w:r>
            <w:r>
              <w:rPr>
                <w:sz w:val="18"/>
              </w:rPr>
              <w:t xml:space="preserve"> need verification.</w:t>
            </w:r>
          </w:p>
        </w:tc>
        <w:tc>
          <w:tcPr>
            <w:tcW w:type="dxa" w:w="2160"/>
          </w:tcPr>
          <w:p>
            <w:pPr>
              <w:spacing w:line="240" w:lineRule="auto"/>
            </w:pPr>
            <w:r>
              <w:rPr>
                <w:sz w:val="18"/>
              </w:rPr>
            </w:r>
            <w:r>
              <w:rPr>
                <w:sz w:val="18"/>
              </w:rPr>
              <w:t>Not cited</w:t>
            </w:r>
          </w:p>
        </w:tc>
      </w:tr>
      <w:tr>
        <w:tc>
          <w:tcPr>
            <w:tcW w:type="dxa" w:w="3168"/>
          </w:tcPr>
          <w:p>
            <w:pPr>
              <w:spacing w:line="240" w:lineRule="auto"/>
            </w:pPr>
            <w:r>
              <w:rPr>
                <w:sz w:val="18"/>
              </w:rPr>
            </w:r>
            <w:r>
              <w:rPr>
                <w:sz w:val="18"/>
              </w:rPr>
              <w:t>Tex. Bus. &amp; Com. Code § 17.49(f)</w:t>
            </w:r>
          </w:p>
        </w:tc>
        <w:tc>
          <w:tcPr>
            <w:tcW w:type="dxa" w:w="4032"/>
          </w:tcPr>
          <w:p>
            <w:pPr>
              <w:spacing w:line="240" w:lineRule="auto"/>
            </w:pPr>
            <w:r>
              <w:rPr>
                <w:sz w:val="18"/>
              </w:rPr>
            </w:r>
            <w:r>
              <w:rPr>
                <w:sz w:val="18"/>
              </w:rPr>
              <w:t>Statutory text misstated (see § II.D).</w:t>
            </w:r>
          </w:p>
        </w:tc>
        <w:tc>
          <w:tcPr>
            <w:tcW w:type="dxa" w:w="2160"/>
          </w:tcPr>
          <w:p>
            <w:pPr>
              <w:spacing w:line="240" w:lineRule="auto"/>
            </w:pPr>
            <w:r>
              <w:rPr>
                <w:sz w:val="18"/>
              </w:rPr>
            </w:r>
            <w:r>
              <w:rPr>
                <w:sz w:val="18"/>
              </w:rPr>
              <w:t>Correct text used</w:t>
            </w:r>
          </w:p>
        </w:tc>
      </w:tr>
    </w:tbl>
    <w:p>
      <w:pPr>
        <w:spacing w:line="240" w:lineRule="auto"/>
      </w:pPr>
    </w:p>
    <w:p>
      <w:pPr>
        <w:spacing w:after="160"/>
        <w:jc w:val="both"/>
      </w:pPr>
      <w:r>
        <w:t>Also, the memo's recommended "Factual Background" relies on facts outside the pleadings: the 45-day project-manager gap, the late API specifications, Linden Park's errors, the support-ticket breakdown, the Schreiber memo, and Poletti's notes. Under Rule 12(d) and Standing Order § 3.4, relying on those facts would turn the motion into a summary-judgment motion or invite the Court to disregard them. The draft uses only the FAC and documents it references (the MSLSA/SOW-1, the Change Orders, and the December 2021 proposal).</w:t>
      </w:r>
    </w:p>
    <w:p>
      <w:pPr>
        <w:pStyle w:val="Heading1"/>
      </w:pPr>
      <w:r>
        <w:t>IV. Merits Judgment Calls in the Draft</w:t>
      </w:r>
    </w:p>
    <w:p>
      <w:pPr>
        <w:spacing w:after="100"/>
        <w:ind w:left="432"/>
        <w:jc w:val="both"/>
      </w:pPr>
      <w:r>
        <w:t xml:space="preserve">•  </w:t>
      </w:r>
      <w:r>
        <w:rPr>
          <w:b/>
        </w:rPr>
        <w:t>Choice of law.</w:t>
      </w:r>
      <w:r>
        <w:t xml:space="preserve"> Section 12.7 ("this Agreement shall be governed by") is a narrow clause, and under </w:t>
      </w:r>
      <w:r>
        <w:rPr>
          <w:i/>
        </w:rPr>
        <w:t>Benchmark</w:t>
      </w:r>
      <w:r>
        <w:t xml:space="preserve"> it probably does not reach tort claims. The Answer's Tenth Affirmative Defense relies on Delaware's economic-loss doctrine. The draft instead accepts Texas law for Counts II–V and argues the outcome is the same under either state's law. That is more defensible and avoids depending on unverified Delaware cases.</w:t>
      </w:r>
    </w:p>
    <w:p>
      <w:pPr>
        <w:spacing w:after="100"/>
        <w:ind w:left="432"/>
        <w:jc w:val="both"/>
      </w:pPr>
      <w:r>
        <w:t xml:space="preserve">•  </w:t>
      </w:r>
      <w:r>
        <w:rPr>
          <w:b/>
        </w:rPr>
        <w:t>Economic-loss rule argument against fraud dropped.</w:t>
      </w:r>
      <w:r>
        <w:t xml:space="preserve"> Texas treats fraudulent inducement as an independent tort even when the only loss is economic (</w:t>
      </w:r>
      <w:r>
        <w:rPr>
          <w:i/>
        </w:rPr>
        <w:t>Formosa Plastics v. Presidio Eng'rs</w:t>
      </w:r>
      <w:r>
        <w:t xml:space="preserve">, 960 S.W.2d 41, 46–47 (Tex. 1998)). Leading with the economic-loss rule against fraud would hurt our credibility. The draft relies instead on (1) the § 12.1 reliance disclaimer under </w:t>
      </w:r>
      <w:r>
        <w:rPr>
          <w:i/>
        </w:rPr>
        <w:t>Schlumberger</w:t>
      </w:r>
      <w:r>
        <w:t xml:space="preserve">, </w:t>
      </w:r>
      <w:r>
        <w:rPr>
          <w:i/>
        </w:rPr>
        <w:t>Forest Oil</w:t>
      </w:r>
      <w:r>
        <w:t xml:space="preserve">, and </w:t>
      </w:r>
      <w:r>
        <w:rPr>
          <w:i/>
        </w:rPr>
        <w:t>Italian Cowboy</w:t>
      </w:r>
      <w:r>
        <w:t xml:space="preserve">; (2) puffery; and (3) Rule 9(b). For negligent misrepresentation, it uses the benefit-of-the-bargain bar from </w:t>
      </w:r>
      <w:r>
        <w:rPr>
          <w:i/>
        </w:rPr>
        <w:t>D.S.A.</w:t>
      </w:r>
      <w:r>
        <w:t xml:space="preserve"> and </w:t>
      </w:r>
      <w:r>
        <w:rPr>
          <w:i/>
        </w:rPr>
        <w:t>Sloane</w:t>
      </w:r>
      <w:r>
        <w:t>.</w:t>
      </w:r>
    </w:p>
    <w:p>
      <w:pPr>
        <w:spacing w:after="100"/>
        <w:ind w:left="432"/>
        <w:jc w:val="both"/>
      </w:pPr>
      <w:r>
        <w:t xml:space="preserve">•  </w:t>
      </w:r>
      <w:r>
        <w:rPr>
          <w:b/>
        </w:rPr>
        <w:t>The non-reliance clause is the strongest argument, and it gets stronger at summary judgment.</w:t>
      </w:r>
      <w:r>
        <w:t xml:space="preserve"> Arcadia asked for a fraud carve-out to § 12.1. Meridian refused. Arcadia's counsel then withdrew the request, writing that Arcadia was "comfortable proceeding on the basis of the express contractual terms rather than pre-contractual representations" (email of February 28, 2022; MCS-00004217–48). That satisfies </w:t>
      </w:r>
      <w:r>
        <w:rPr>
          <w:i/>
        </w:rPr>
        <w:t>Forest Oil</w:t>
      </w:r>
      <w:r>
        <w:t>'s factor that the clause was specifically negotiated, but the email is outside the pleadings. The motion relies on FAC ¶ 32 (Arcadia had counsel and negotiated) and saves the emails for summary judgment.</w:t>
      </w:r>
    </w:p>
    <w:p>
      <w:pPr>
        <w:spacing w:after="100"/>
        <w:ind w:left="432"/>
        <w:jc w:val="both"/>
      </w:pPr>
      <w:r>
        <w:t xml:space="preserve">•  </w:t>
      </w:r>
      <w:r>
        <w:rPr>
          <w:b/>
        </w:rPr>
        <w:t>Weak points to expect in Arcadia's response.</w:t>
      </w:r>
      <w:r>
        <w:t xml:space="preserve"> (i) "Clients </w:t>
      </w:r>
      <w:r>
        <w:rPr>
          <w:i/>
        </w:rPr>
        <w:t>typically see</w:t>
      </w:r>
      <w:r>
        <w:t xml:space="preserve"> 30–40% improvement" can be read as a verifiable statement of historical fact, not puffery. The draft relies mainly on the proposal's written disclaimer and the non-reliance clause. (ii) "Will integrate seamlessly with </w:t>
      </w:r>
      <w:r>
        <w:rPr>
          <w:i/>
        </w:rPr>
        <w:t>any</w:t>
      </w:r>
      <w:r>
        <w:t xml:space="preserve"> EHR platform" is specific. The draft attacks it under Rule 9(b) (falsity inferred only from later performance) and reliance, not as puffery. Poletti's contrary notes cannot be used at this stage. (iii) Rule 9(b) dismissals are usually granted with leave to amend (</w:t>
      </w:r>
      <w:r>
        <w:rPr>
          <w:i/>
        </w:rPr>
        <w:t>Hart v. Bayer Corp.</w:t>
      </w:r>
      <w:r>
        <w:t>, 199 F.3d 239, 248 n.6 (5th Cir. 2000)). Expect Counts II and III to be dismissed without prejudice at best. The reliance-disclaimer ground supports dismissal with prejudice. (iv) MSLSA § 8.4(e) removes the §§ 8.1–8.2 limits for "willful misconduct" damages, and Arcadia will argue fraud qualifies. The draft applies § 8.2 only to Count I.</w:t>
      </w:r>
    </w:p>
    <w:p>
      <w:pPr>
        <w:spacing w:after="100"/>
        <w:ind w:left="432"/>
        <w:jc w:val="both"/>
      </w:pPr>
      <w:r>
        <w:t xml:space="preserve">•  </w:t>
      </w:r>
      <w:r>
        <w:rPr>
          <w:b/>
        </w:rPr>
        <w:t>Count I.</w:t>
      </w:r>
      <w:r>
        <w:t xml:space="preserve"> Deemed acceptance under § 5.3 was deliberately </w:t>
      </w:r>
      <w:r>
        <w:rPr>
          <w:b/>
        </w:rPr>
        <w:t>not</w:t>
      </w:r>
      <w:r>
        <w:t xml:space="preserve"> argued. It depends on a Deployment Notice not shown in the pleadings. Acceptance only channels claims into the warranty rather than barring them. And the supporting cases in the research memo appear not to exist. (Worth noting for later: § 5.3(d) treats production use during the testing window as acceptance, and Dr. Okonkwo's cordial March 8 email says the issues had been flagged "over the past few weeks," which means before February 14. The FAC calls it Ex. E, but the produced copy is marked Ex. F.) The March 8 email fell </w:t>
      </w:r>
      <w:r>
        <w:rPr>
          <w:b/>
        </w:rPr>
        <w:t>within</w:t>
      </w:r>
      <w:r>
        <w:t xml:space="preserve"> the 90-day warranty period (which ended April 15, 2023), so the warranty argument is that Arcadia's remedy is limited, not that the claim is time-barred. Some courts in this Circuit refuse to rule on damages limits under Rule 12(b)(6) because a limit is not a "claim." The alternative relief is framed as dismissing specific theories and categories of damages to address that. The § 8.1 cap was not argued because its amount depends on facts about the fee history.</w:t>
      </w:r>
    </w:p>
    <w:p>
      <w:pPr>
        <w:spacing w:after="100"/>
        <w:ind w:left="432"/>
        <w:jc w:val="both"/>
      </w:pPr>
      <w:r>
        <w:t xml:space="preserve">•  </w:t>
      </w:r>
      <w:r>
        <w:rPr>
          <w:b/>
        </w:rPr>
        <w:t>Other points.</w:t>
      </w:r>
      <w:r>
        <w:t xml:space="preserve"> The Scheduling Order says the parties waived a jury trial, but the Answer demands one "to the extent" the waiver is unenforceable; reconcile these. FAC ¶ 38 says the $30 million-plus in infrastructure investments were required by entering the MSLSA, while ¶ 117 says they were made "[p]rior to entering" it. That inconsistency is useful on causation and reliance later but is not argued now.</w:t>
      </w:r>
    </w:p>
    <w:p>
      <w:pPr>
        <w:pStyle w:val="Heading1"/>
      </w:pPr>
      <w:r>
        <w:t>V. Action Items</w:t>
      </w:r>
    </w:p>
    <w:tbl>
      <w:tblPr>
        <w:tblStyle w:val="TableGrid"/>
        <w:tblW w:type="auto" w:w="0"/>
        <w:tblLook w:firstColumn="1" w:firstRow="1" w:lastColumn="0" w:lastRow="0" w:noHBand="0" w:noVBand="1" w:val="04A0"/>
      </w:tblPr>
      <w:tblGrid>
        <w:gridCol w:w="432"/>
        <w:gridCol w:w="5472"/>
        <w:gridCol w:w="1440"/>
        <w:gridCol w:w="2016"/>
      </w:tblGrid>
      <w:tr>
        <w:tc>
          <w:tcPr>
            <w:tcW w:type="dxa" w:w="432"/>
          </w:tcPr>
          <w:p>
            <w:pPr>
              <w:spacing w:line="240" w:lineRule="auto"/>
            </w:pPr>
            <w:r>
              <w:rPr>
                <w:sz w:val="20"/>
              </w:rPr>
            </w:r>
            <w:r>
              <w:rPr>
                <w:b/>
                <w:sz w:val="20"/>
              </w:rPr>
              <w:t>#</w:t>
            </w:r>
          </w:p>
        </w:tc>
        <w:tc>
          <w:tcPr>
            <w:tcW w:type="dxa" w:w="5472"/>
          </w:tcPr>
          <w:p>
            <w:pPr>
              <w:spacing w:line="240" w:lineRule="auto"/>
            </w:pPr>
            <w:r>
              <w:rPr>
                <w:sz w:val="20"/>
              </w:rPr>
            </w:r>
            <w:r>
              <w:rPr>
                <w:b/>
                <w:sz w:val="20"/>
              </w:rPr>
              <w:t>Task</w:t>
            </w:r>
          </w:p>
        </w:tc>
        <w:tc>
          <w:tcPr>
            <w:tcW w:type="dxa" w:w="1440"/>
          </w:tcPr>
          <w:p>
            <w:pPr>
              <w:spacing w:line="240" w:lineRule="auto"/>
            </w:pPr>
            <w:r>
              <w:rPr>
                <w:sz w:val="20"/>
              </w:rPr>
            </w:r>
            <w:r>
              <w:rPr>
                <w:b/>
                <w:sz w:val="20"/>
              </w:rPr>
              <w:t>Owner</w:t>
            </w:r>
          </w:p>
        </w:tc>
        <w:tc>
          <w:tcPr>
            <w:tcW w:type="dxa" w:w="2016"/>
          </w:tcPr>
          <w:p>
            <w:pPr>
              <w:spacing w:line="240" w:lineRule="auto"/>
            </w:pPr>
            <w:r>
              <w:rPr>
                <w:sz w:val="20"/>
              </w:rPr>
            </w:r>
            <w:r>
              <w:rPr>
                <w:b/>
                <w:sz w:val="20"/>
              </w:rPr>
              <w:t>Timing</w:t>
            </w:r>
          </w:p>
        </w:tc>
      </w:tr>
      <w:tr>
        <w:tc>
          <w:tcPr>
            <w:tcW w:type="dxa" w:w="432"/>
          </w:tcPr>
          <w:p>
            <w:pPr>
              <w:spacing w:line="240" w:lineRule="auto"/>
            </w:pPr>
            <w:r>
              <w:rPr>
                <w:sz w:val="20"/>
              </w:rPr>
            </w:r>
            <w:r>
              <w:rPr>
                <w:sz w:val="20"/>
              </w:rPr>
              <w:t>1</w:t>
            </w:r>
          </w:p>
        </w:tc>
        <w:tc>
          <w:tcPr>
            <w:tcW w:type="dxa" w:w="5472"/>
          </w:tcPr>
          <w:p>
            <w:pPr>
              <w:spacing w:line="240" w:lineRule="auto"/>
            </w:pPr>
            <w:r>
              <w:rPr>
                <w:sz w:val="20"/>
              </w:rPr>
            </w:r>
            <w:r>
              <w:rPr>
                <w:sz w:val="20"/>
              </w:rPr>
              <w:t>Confirm the Apex and trust citizenship analysis; brief the client on jurisdiction, fee exposure, and options; decide on remand</w:t>
            </w:r>
          </w:p>
        </w:tc>
        <w:tc>
          <w:tcPr>
            <w:tcW w:type="dxa" w:w="1440"/>
          </w:tcPr>
          <w:p>
            <w:pPr>
              <w:spacing w:line="240" w:lineRule="auto"/>
            </w:pPr>
            <w:r>
              <w:rPr>
                <w:sz w:val="20"/>
              </w:rPr>
            </w:r>
            <w:r>
              <w:rPr>
                <w:sz w:val="20"/>
              </w:rPr>
              <w:t>MC / DA</w:t>
            </w:r>
          </w:p>
        </w:tc>
        <w:tc>
          <w:tcPr>
            <w:tcW w:type="dxa" w:w="2016"/>
          </w:tcPr>
          <w:p>
            <w:pPr>
              <w:spacing w:line="240" w:lineRule="auto"/>
            </w:pPr>
            <w:r>
              <w:rPr>
                <w:sz w:val="20"/>
              </w:rPr>
            </w:r>
            <w:r>
              <w:rPr>
                <w:sz w:val="20"/>
              </w:rPr>
              <w:t>Immediately</w:t>
            </w:r>
          </w:p>
        </w:tc>
      </w:tr>
      <w:tr>
        <w:tc>
          <w:tcPr>
            <w:tcW w:type="dxa" w:w="432"/>
          </w:tcPr>
          <w:p>
            <w:pPr>
              <w:spacing w:line="240" w:lineRule="auto"/>
            </w:pPr>
            <w:r>
              <w:rPr>
                <w:sz w:val="20"/>
              </w:rPr>
            </w:r>
            <w:r>
              <w:rPr>
                <w:sz w:val="20"/>
              </w:rPr>
              <w:t>2</w:t>
            </w:r>
          </w:p>
        </w:tc>
        <w:tc>
          <w:tcPr>
            <w:tcW w:type="dxa" w:w="5472"/>
          </w:tcPr>
          <w:p>
            <w:pPr>
              <w:spacing w:line="240" w:lineRule="auto"/>
            </w:pPr>
            <w:r>
              <w:rPr>
                <w:sz w:val="20"/>
              </w:rPr>
            </w:r>
            <w:r>
              <w:rPr>
                <w:sz w:val="20"/>
              </w:rPr>
              <w:t>If remanded: research venue transfer to Travis County and due-order-of-pleading waiver; plan special exceptions</w:t>
            </w:r>
          </w:p>
        </w:tc>
        <w:tc>
          <w:tcPr>
            <w:tcW w:type="dxa" w:w="1440"/>
          </w:tcPr>
          <w:p>
            <w:pPr>
              <w:spacing w:line="240" w:lineRule="auto"/>
            </w:pPr>
            <w:r>
              <w:rPr>
                <w:sz w:val="20"/>
              </w:rPr>
            </w:r>
            <w:r>
              <w:rPr>
                <w:sz w:val="20"/>
              </w:rPr>
              <w:t>DA</w:t>
            </w:r>
          </w:p>
        </w:tc>
        <w:tc>
          <w:tcPr>
            <w:tcW w:type="dxa" w:w="2016"/>
          </w:tcPr>
          <w:p>
            <w:pPr>
              <w:spacing w:line="240" w:lineRule="auto"/>
            </w:pPr>
            <w:r>
              <w:rPr>
                <w:sz w:val="20"/>
              </w:rPr>
            </w:r>
            <w:r>
              <w:rPr>
                <w:sz w:val="20"/>
              </w:rPr>
              <w:t>Before remand order</w:t>
            </w:r>
          </w:p>
        </w:tc>
      </w:tr>
      <w:tr>
        <w:tc>
          <w:tcPr>
            <w:tcW w:type="dxa" w:w="432"/>
          </w:tcPr>
          <w:p>
            <w:pPr>
              <w:spacing w:line="240" w:lineRule="auto"/>
            </w:pPr>
            <w:r>
              <w:rPr>
                <w:sz w:val="20"/>
              </w:rPr>
            </w:r>
            <w:r>
              <w:rPr>
                <w:sz w:val="20"/>
              </w:rPr>
              <w:t>3</w:t>
            </w:r>
          </w:p>
        </w:tc>
        <w:tc>
          <w:tcPr>
            <w:tcW w:type="dxa" w:w="5472"/>
          </w:tcPr>
          <w:p>
            <w:pPr>
              <w:spacing w:line="240" w:lineRule="auto"/>
            </w:pPr>
            <w:r>
              <w:rPr>
                <w:sz w:val="20"/>
              </w:rPr>
            </w:r>
            <w:r>
              <w:rPr>
                <w:sz w:val="20"/>
              </w:rPr>
              <w:t>Verify every authority in the draft and the statutory text of § 17.49(f)/(g); run KeyCite; add pin cites</w:t>
            </w:r>
          </w:p>
        </w:tc>
        <w:tc>
          <w:tcPr>
            <w:tcW w:type="dxa" w:w="1440"/>
          </w:tcPr>
          <w:p>
            <w:pPr>
              <w:spacing w:line="240" w:lineRule="auto"/>
            </w:pPr>
            <w:r>
              <w:rPr>
                <w:sz w:val="20"/>
              </w:rPr>
            </w:r>
            <w:r>
              <w:rPr>
                <w:sz w:val="20"/>
              </w:rPr>
              <w:t>Associate</w:t>
            </w:r>
          </w:p>
        </w:tc>
        <w:tc>
          <w:tcPr>
            <w:tcW w:type="dxa" w:w="2016"/>
          </w:tcPr>
          <w:p>
            <w:pPr>
              <w:spacing w:line="240" w:lineRule="auto"/>
            </w:pPr>
            <w:r>
              <w:rPr>
                <w:sz w:val="20"/>
              </w:rPr>
            </w:r>
            <w:r>
              <w:rPr>
                <w:sz w:val="20"/>
              </w:rPr>
              <w:t>Before any filing</w:t>
            </w:r>
          </w:p>
        </w:tc>
      </w:tr>
      <w:tr>
        <w:tc>
          <w:tcPr>
            <w:tcW w:type="dxa" w:w="432"/>
          </w:tcPr>
          <w:p>
            <w:pPr>
              <w:spacing w:line="240" w:lineRule="auto"/>
            </w:pPr>
            <w:r>
              <w:rPr>
                <w:sz w:val="20"/>
              </w:rPr>
            </w:r>
            <w:r>
              <w:rPr>
                <w:sz w:val="20"/>
              </w:rPr>
              <w:t>4</w:t>
            </w:r>
          </w:p>
        </w:tc>
        <w:tc>
          <w:tcPr>
            <w:tcW w:type="dxa" w:w="5472"/>
          </w:tcPr>
          <w:p>
            <w:pPr>
              <w:spacing w:line="240" w:lineRule="auto"/>
            </w:pPr>
            <w:r>
              <w:rPr>
                <w:sz w:val="20"/>
              </w:rPr>
            </w:r>
            <w:r>
              <w:rPr>
                <w:sz w:val="20"/>
              </w:rPr>
              <w:t>Confirm bar and phone numbers; conform signature blocks</w:t>
            </w:r>
          </w:p>
        </w:tc>
        <w:tc>
          <w:tcPr>
            <w:tcW w:type="dxa" w:w="1440"/>
          </w:tcPr>
          <w:p>
            <w:pPr>
              <w:spacing w:line="240" w:lineRule="auto"/>
            </w:pPr>
            <w:r>
              <w:rPr>
                <w:sz w:val="20"/>
              </w:rPr>
            </w:r>
            <w:r>
              <w:rPr>
                <w:sz w:val="20"/>
              </w:rPr>
              <w:t>DA</w:t>
            </w:r>
          </w:p>
        </w:tc>
        <w:tc>
          <w:tcPr>
            <w:tcW w:type="dxa" w:w="2016"/>
          </w:tcPr>
          <w:p>
            <w:pPr>
              <w:spacing w:line="240" w:lineRule="auto"/>
            </w:pPr>
            <w:r>
              <w:rPr>
                <w:sz w:val="20"/>
              </w:rPr>
            </w:r>
            <w:r>
              <w:rPr>
                <w:sz w:val="20"/>
              </w:rPr>
              <w:t>Before any filing</w:t>
            </w:r>
          </w:p>
        </w:tc>
      </w:tr>
      <w:tr>
        <w:tc>
          <w:tcPr>
            <w:tcW w:type="dxa" w:w="432"/>
          </w:tcPr>
          <w:p>
            <w:pPr>
              <w:spacing w:line="240" w:lineRule="auto"/>
            </w:pPr>
            <w:r>
              <w:rPr>
                <w:sz w:val="20"/>
              </w:rPr>
            </w:r>
            <w:r>
              <w:rPr>
                <w:sz w:val="20"/>
              </w:rPr>
              <w:t>5</w:t>
            </w:r>
          </w:p>
        </w:tc>
        <w:tc>
          <w:tcPr>
            <w:tcW w:type="dxa" w:w="5472"/>
          </w:tcPr>
          <w:p>
            <w:pPr>
              <w:spacing w:line="240" w:lineRule="auto"/>
            </w:pPr>
            <w:r>
              <w:rPr>
                <w:sz w:val="20"/>
              </w:rPr>
            </w:r>
            <w:r>
              <w:rPr>
                <w:sz w:val="20"/>
              </w:rPr>
              <w:t>Hold a personal conference with Breckenridge; draft the separate Certificate of Conference</w:t>
            </w:r>
          </w:p>
        </w:tc>
        <w:tc>
          <w:tcPr>
            <w:tcW w:type="dxa" w:w="1440"/>
          </w:tcPr>
          <w:p>
            <w:pPr>
              <w:spacing w:line="240" w:lineRule="auto"/>
            </w:pPr>
            <w:r>
              <w:rPr>
                <w:sz w:val="20"/>
              </w:rPr>
            </w:r>
            <w:r>
              <w:rPr>
                <w:sz w:val="20"/>
              </w:rPr>
              <w:t>DA</w:t>
            </w:r>
          </w:p>
        </w:tc>
        <w:tc>
          <w:tcPr>
            <w:tcW w:type="dxa" w:w="2016"/>
          </w:tcPr>
          <w:p>
            <w:pPr>
              <w:spacing w:line="240" w:lineRule="auto"/>
            </w:pPr>
            <w:r>
              <w:rPr>
                <w:sz w:val="20"/>
              </w:rPr>
            </w:r>
            <w:r>
              <w:rPr>
                <w:sz w:val="20"/>
              </w:rPr>
              <w:t>By Jan. 9, 2024</w:t>
            </w:r>
          </w:p>
        </w:tc>
      </w:tr>
      <w:tr>
        <w:tc>
          <w:tcPr>
            <w:tcW w:type="dxa" w:w="432"/>
          </w:tcPr>
          <w:p>
            <w:pPr>
              <w:spacing w:line="240" w:lineRule="auto"/>
            </w:pPr>
            <w:r>
              <w:rPr>
                <w:sz w:val="20"/>
              </w:rPr>
            </w:r>
            <w:r>
              <w:rPr>
                <w:sz w:val="20"/>
              </w:rPr>
              <w:t>6</w:t>
            </w:r>
          </w:p>
        </w:tc>
        <w:tc>
          <w:tcPr>
            <w:tcW w:type="dxa" w:w="5472"/>
          </w:tcPr>
          <w:p>
            <w:pPr>
              <w:spacing w:line="240" w:lineRule="auto"/>
            </w:pPr>
            <w:r>
              <w:rPr>
                <w:sz w:val="20"/>
              </w:rPr>
            </w:r>
            <w:r>
              <w:rPr>
                <w:sz w:val="20"/>
              </w:rPr>
              <w:t>Get executed Change Orders; assemble Appendix (App. 1–3)</w:t>
            </w:r>
          </w:p>
        </w:tc>
        <w:tc>
          <w:tcPr>
            <w:tcW w:type="dxa" w:w="1440"/>
          </w:tcPr>
          <w:p>
            <w:pPr>
              <w:spacing w:line="240" w:lineRule="auto"/>
            </w:pPr>
            <w:r>
              <w:rPr>
                <w:sz w:val="20"/>
              </w:rPr>
            </w:r>
            <w:r>
              <w:rPr>
                <w:sz w:val="20"/>
              </w:rPr>
              <w:t>Paralegal</w:t>
            </w:r>
          </w:p>
        </w:tc>
        <w:tc>
          <w:tcPr>
            <w:tcW w:type="dxa" w:w="2016"/>
          </w:tcPr>
          <w:p>
            <w:pPr>
              <w:spacing w:line="240" w:lineRule="auto"/>
            </w:pPr>
            <w:r>
              <w:rPr>
                <w:sz w:val="20"/>
              </w:rPr>
            </w:r>
            <w:r>
              <w:rPr>
                <w:sz w:val="20"/>
              </w:rPr>
              <w:t>By Jan. 9, 2024</w:t>
            </w:r>
          </w:p>
        </w:tc>
      </w:tr>
      <w:tr>
        <w:tc>
          <w:tcPr>
            <w:tcW w:type="dxa" w:w="432"/>
          </w:tcPr>
          <w:p>
            <w:pPr>
              <w:spacing w:line="240" w:lineRule="auto"/>
            </w:pPr>
            <w:r>
              <w:rPr>
                <w:sz w:val="20"/>
              </w:rPr>
            </w:r>
            <w:r>
              <w:rPr>
                <w:sz w:val="20"/>
              </w:rPr>
              <w:t>7</w:t>
            </w:r>
          </w:p>
        </w:tc>
        <w:tc>
          <w:tcPr>
            <w:tcW w:type="dxa" w:w="5472"/>
          </w:tcPr>
          <w:p>
            <w:pPr>
              <w:spacing w:line="240" w:lineRule="auto"/>
            </w:pPr>
            <w:r>
              <w:rPr>
                <w:sz w:val="20"/>
              </w:rPr>
            </w:r>
            <w:r>
              <w:rPr>
                <w:sz w:val="20"/>
              </w:rPr>
              <w:t>File by Jan. 12, 2024 (only if jurisdiction exists); add docket number to proposed order within one business day</w:t>
            </w:r>
          </w:p>
        </w:tc>
        <w:tc>
          <w:tcPr>
            <w:tcW w:type="dxa" w:w="1440"/>
          </w:tcPr>
          <w:p>
            <w:pPr>
              <w:spacing w:line="240" w:lineRule="auto"/>
            </w:pPr>
            <w:r>
              <w:rPr>
                <w:sz w:val="20"/>
              </w:rPr>
            </w:r>
            <w:r>
              <w:rPr>
                <w:sz w:val="20"/>
              </w:rPr>
              <w:t>DA</w:t>
            </w:r>
          </w:p>
        </w:tc>
        <w:tc>
          <w:tcPr>
            <w:tcW w:type="dxa" w:w="2016"/>
          </w:tcPr>
          <w:p>
            <w:pPr>
              <w:spacing w:line="240" w:lineRule="auto"/>
            </w:pPr>
            <w:r>
              <w:rPr>
                <w:sz w:val="20"/>
              </w:rPr>
            </w:r>
            <w:r>
              <w:rPr>
                <w:sz w:val="20"/>
              </w:rPr>
              <w:t>Jan. 12, 2024</w:t>
            </w:r>
          </w:p>
        </w:tc>
      </w:tr>
      <w:tr>
        <w:tc>
          <w:tcPr>
            <w:tcW w:type="dxa" w:w="432"/>
          </w:tcPr>
          <w:p>
            <w:pPr>
              <w:spacing w:line="240" w:lineRule="auto"/>
            </w:pPr>
            <w:r>
              <w:rPr>
                <w:sz w:val="20"/>
              </w:rPr>
            </w:r>
            <w:r>
              <w:rPr>
                <w:sz w:val="20"/>
              </w:rPr>
              <w:t>8</w:t>
            </w:r>
          </w:p>
        </w:tc>
        <w:tc>
          <w:tcPr>
            <w:tcW w:type="dxa" w:w="5472"/>
          </w:tcPr>
          <w:p>
            <w:pPr>
              <w:spacing w:line="240" w:lineRule="auto"/>
            </w:pPr>
            <w:r>
              <w:rPr>
                <w:sz w:val="20"/>
              </w:rPr>
            </w:r>
            <w:r>
              <w:rPr>
                <w:sz w:val="20"/>
              </w:rPr>
              <w:t>Evaluate an amended answer (paragraph mismatch; DTPA exemption wording); assess lawyer-as-witness issue</w:t>
            </w:r>
          </w:p>
        </w:tc>
        <w:tc>
          <w:tcPr>
            <w:tcW w:type="dxa" w:w="1440"/>
          </w:tcPr>
          <w:p>
            <w:pPr>
              <w:spacing w:line="240" w:lineRule="auto"/>
            </w:pPr>
            <w:r>
              <w:rPr>
                <w:sz w:val="20"/>
              </w:rPr>
            </w:r>
            <w:r>
              <w:rPr>
                <w:sz w:val="20"/>
              </w:rPr>
              <w:t>MC</w:t>
            </w:r>
          </w:p>
        </w:tc>
        <w:tc>
          <w:tcPr>
            <w:tcW w:type="dxa" w:w="2016"/>
          </w:tcPr>
          <w:p>
            <w:pPr>
              <w:spacing w:line="240" w:lineRule="auto"/>
            </w:pPr>
            <w:r>
              <w:rPr>
                <w:sz w:val="20"/>
              </w:rPr>
            </w:r>
            <w:r>
              <w:rPr>
                <w:sz w:val="20"/>
              </w:rPr>
              <w:t>After #1</w:t>
            </w:r>
          </w:p>
        </w:tc>
      </w:tr>
    </w:tbl>
    <w:p>
      <w:pPr>
        <w:spacing w:line="240" w:lineRule="auto"/>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