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UNITED STATES DISTRICT COURT</w:t>
      </w:r>
    </w:p>
    <w:p>
      <w:pPr>
        <w:spacing w:after="180"/>
        <w:jc w:val="center"/>
      </w:pPr>
      <w:r>
        <w:rPr>
          <w:b/>
          <w:sz w:val="24"/>
        </w:rPr>
        <w:t>FOR THE WESTERN DISTRICT OF PENNSYLVANIA</w:t>
      </w:r>
    </w:p>
    <w:tbl>
      <w:tblPr>
        <w:tblStyle w:val="TableGrid"/>
        <w:tblW w:type="auto" w:w="0"/>
        <w:jc w:val="center"/>
        <w:tblLayout w:type="fixed"/>
        <w:tblLook w:firstColumn="1" w:firstRow="1" w:lastColumn="0" w:lastRow="0" w:noHBand="0" w:noVBand="1" w:val="04A0"/>
      </w:tblPr>
      <w:tblGrid>
        <w:gridCol w:w="4939"/>
        <w:gridCol w:w="4939"/>
      </w:tblGrid>
      <w:tr>
        <w:trPr>
          <w:cantSplit/>
        </w:trPr>
        <w:tc>
          <w:tcPr>
            <w:tcW w:type="dxa" w:w="6264"/>
            <w:vAlign w:val="top"/>
            <w:tcMar>
              <w:top w:w="70" w:type="dxa"/>
              <w:start w:w="75" w:type="dxa"/>
              <w:bottom w:w="70" w:type="dxa"/>
              <w:end w:w="75" w:type="dxa"/>
            </w:tcMar>
            <w:tcBorders>
              <w:top w:val="nil"/>
              <w:left w:val="nil"/>
              <w:bottom w:val="nil"/>
              <w:right w:val="nil"/>
              <w:insideH w:val="nil"/>
              <w:insideV w:val="nil"/>
            </w:tcBorders>
          </w:tcPr>
          <w:p>
            <w:pPr>
              <w:spacing w:after="0" w:line="240" w:lineRule="auto"/>
            </w:pPr>
            <w:r/>
            <w:r>
              <w:rPr>
                <w:rFonts w:ascii="Times New Roman" w:hAnsi="Times New Roman" w:eastAsia="Times New Roman"/>
                <w:b w:val="0"/>
                <w:sz w:val="22"/>
              </w:rPr>
              <w:t>RIDGELINE MANUFACTURING, INC.,</w:t>
              <w:br/>
              <w:br/>
              <w:t>Plaintiff,</w:t>
              <w:br/>
              <w:br/>
              <w:t>v.</w:t>
              <w:br/>
              <w:br/>
              <w:t>CORBIN SUPPLY GROUP, LLC,</w:t>
              <w:br/>
              <w:br/>
              <w:t>Defendant.</w:t>
            </w:r>
          </w:p>
        </w:tc>
        <w:tc>
          <w:tcPr>
            <w:tcW w:type="dxa" w:w="3528"/>
            <w:vAlign w:val="top"/>
            <w:tcMar>
              <w:top w:w="70" w:type="dxa"/>
              <w:start w:w="75" w:type="dxa"/>
              <w:bottom w:w="70" w:type="dxa"/>
              <w:end w:w="75" w:type="dxa"/>
            </w:tcMar>
            <w:tcBorders>
              <w:top w:val="nil"/>
              <w:left w:val="nil"/>
              <w:bottom w:val="nil"/>
              <w:right w:val="nil"/>
              <w:insideH w:val="nil"/>
              <w:insideV w:val="nil"/>
            </w:tcBorders>
          </w:tcPr>
          <w:p>
            <w:pPr>
              <w:spacing w:after="0" w:line="240" w:lineRule="auto"/>
            </w:pPr>
            <w:r/>
            <w:r>
              <w:rPr>
                <w:rFonts w:ascii="Times New Roman" w:hAnsi="Times New Roman" w:eastAsia="Times New Roman"/>
                <w:b w:val="0"/>
                <w:sz w:val="20"/>
              </w:rPr>
              <w:t>Case No. 2:23-cv-00417-KMG</w:t>
              <w:br/>
              <w:br/>
              <w:t>Hon. Katherine M. Gresham</w:t>
              <w:br/>
              <w:t>United States District Judge</w:t>
            </w:r>
          </w:p>
        </w:tc>
      </w:tr>
    </w:tbl>
    <w:p>
      <w:pPr>
        <w:spacing w:before="200" w:after="80"/>
        <w:jc w:val="center"/>
      </w:pPr>
      <w:r>
        <w:rPr>
          <w:b/>
          <w:sz w:val="28"/>
        </w:rPr>
        <w:t>PLAINTIFF RIDGELINE MANUFACTURING, INC.’S PRETRIAL STATEMENT</w:t>
      </w:r>
    </w:p>
    <w:p>
      <w:pPr>
        <w:spacing w:after="200"/>
        <w:jc w:val="center"/>
      </w:pPr>
      <w:r>
        <w:rPr>
          <w:i/>
          <w:sz w:val="20"/>
        </w:rPr>
        <w:t>(Plaintiff’s proposed contribution in the Court-ordered twelve-section format)</w:t>
      </w:r>
    </w:p>
    <w:p>
      <w:pPr>
        <w:spacing w:before="60" w:after="140"/>
        <w:ind w:left="259" w:right="259"/>
      </w:pPr>
      <w:r>
        <w:rPr>
          <w:i/>
          <w:sz w:val="18"/>
        </w:rPr>
        <w:t>DRAFTING NOTE—NOT FOR FILING AS A JOINT STATEMENT WITHOUT COMPLETION: This draft sets out Plaintiff’s positions from the supplied record. The pretrial order requires a unified joint statement. Defendant-specific sections and settlement/jurisdiction facts that cannot be verified from the supplied materials are expressly identified for counsel’s completion or confirmation. Bracketed completion notes must be resolved before filing. Deposition page-and-line designations and exhibit objections remain subject to the Court’s September 1, 2025 deadlines.</w:t>
      </w:r>
    </w:p>
    <w:p>
      <w:r>
        <w:rPr>
          <w:i w:val="0"/>
        </w:rPr>
        <w:t>The Court has set jury trial to commence September 15, 2025, for an estimated seven trial days. The November 15, 2024 Memorandum Opinion and Order granted Ridgeline partial summary judgment on liability for Corbin Supply’s breach of the Minimum Annual Purchase Commitment (“MAPC”) provisions of the parties’ Exclusive Distribution Agreement (“EDA”). Count I proceeds for damages only. Count II (fraudulent inducement) and Corbin Supply’s remaining affirmative defenses identified by the Court—including the statute-of-limitations defense to Count II and force majeure defense to Count I—remain for trial to the extent set forth below. Count III (negligent misrepresentation) was dismissed. (Pretrial Order § I; Memorandum Opinion and Order, Nov. 15, 2024 (“SJ Order”) §§ I, V.)</w:t>
      </w:r>
    </w:p>
    <w:p>
      <w:pPr>
        <w:pStyle w:val="Heading1"/>
        <w:keepNext/>
        <w:pageBreakBefore w:val="0"/>
      </w:pPr>
      <w:r>
        <w:t>SECTION 1. JURISDICTIONAL STATEMENT</w:t>
      </w:r>
    </w:p>
    <w:p>
      <w:r>
        <w:rPr>
          <w:i w:val="0"/>
        </w:rPr>
        <w:t>Subject-matter jurisdiction is based on diversity of citizenship under 28 U.S.C. § 1332(a)(1). Ridgeline Manufacturing, Inc. is a Pennsylvania corporation with its principal place of business in Butler, Pennsylvania, and is therefore a Pennsylvania citizen. Corbin Supply Group, LLC is organized under Delaware law and has its principal offices in Charlotte, North Carolina. Because Corbin is an LLC, its citizenship is that of each of its members—not its state of organization or principal office. The supplied materials do not identify every member and each member’s citizenship. The SJ Order states that the Court exercises diversity jurisdiction under § 1332, and the provided materials disclose no jurisdictional challenge; before filing, counsel should confirm from the jurisdictional record that complete diversity exists and insert/verify the citizenship of each Corbin member. (SJ Order §§ II.A, III; Corbin III Dep. Tr. 12:4–17:22.)</w:t>
      </w:r>
    </w:p>
    <w:p>
      <w:r>
        <w:rPr>
          <w:i w:val="0"/>
        </w:rPr>
        <w:t>The amount in controversy exceeds $75,000, exclusive of interest and costs. Ridgeline’s expert has calculated economic damages of $14,325,000 before any allocation or adjustment to avoid duplicative recovery. (Prescott Report §§ X, XII; SJ Order § II.F.) Venue is proper in this District under 28 U.S.C. § 1391(b)(2), including because the EDA selects the federal and state courts located in the Western District of Pennsylvania, and the negotiations and Ridgeline’s principal place of business are tied to Butler, Pennsylvania. EDA § 14.5; Pretrial Order caption and § I. No jurisdictional or venue objection is identified in the materials supplied; counsel should confirm that statement with Defendant before filing.</w:t>
      </w:r>
    </w:p>
    <w:p>
      <w:pPr>
        <w:pStyle w:val="Heading1"/>
        <w:keepNext/>
        <w:pageBreakBefore w:val="0"/>
      </w:pPr>
      <w:r>
        <w:t>SECTION 2. STIPULATED FACTS</w:t>
      </w:r>
    </w:p>
    <w:p>
      <w:pPr>
        <w:spacing w:after="120"/>
      </w:pPr>
      <w:r>
        <w:rPr>
          <w:i/>
          <w:sz w:val="19"/>
        </w:rPr>
        <w:t>Plaintiff’s proposed stipulations for Defendant’s review and confirmation; the parties must identify which are jointly agreed.</w:t>
      </w:r>
    </w:p>
    <w:p>
      <w:pPr>
        <w:spacing w:before="60" w:after="140"/>
        <w:ind w:left="259" w:right="259"/>
      </w:pPr>
      <w:r>
        <w:rPr>
          <w:i/>
          <w:sz w:val="18"/>
        </w:rPr>
        <w:t>The following facts are described in the SJ Order as undisputed/admitted or are established by prior rulings. They are proposed for stipulation and are not represented here as a newly executed joint stipulation. See SJ Order § IV.A; Defendant’s responses to Plaintiff’s statements of material fact, as summarized therein.</w:t>
      </w:r>
    </w:p>
    <w:p>
      <w:pPr>
        <w:ind w:left="360" w:hanging="317"/>
      </w:pPr>
      <w:r>
        <w:rPr>
          <w:b/>
        </w:rPr>
        <w:t xml:space="preserve">1. </w:t>
      </w:r>
      <w:r>
        <w:t>Ridgeline Manufacturing, Inc. is a Pennsylvania corporation formed in 1987, headquartered at 4500 Whitestown Road, Butler, Pennsylvania 16001; it manufactures hydraulic cylinders, control valves, and pump assemblies and has approximately 310 employees at two Butler County facilities. (SJ Order § II.A.)</w:t>
      </w:r>
    </w:p>
    <w:p>
      <w:pPr>
        <w:ind w:left="360" w:hanging="317"/>
      </w:pPr>
      <w:r>
        <w:rPr>
          <w:b/>
        </w:rPr>
        <w:t xml:space="preserve">2. </w:t>
      </w:r>
      <w:r>
        <w:t>Corbin Supply Group, LLC is a Delaware limited liability company with principal offices at 1200 Tryon Tower, Suite 800, Charlotte, North Carolina 28202. (SJ Order § II.A.)</w:t>
      </w:r>
    </w:p>
    <w:p>
      <w:pPr>
        <w:ind w:left="360" w:hanging="317"/>
      </w:pPr>
      <w:r>
        <w:rPr>
          <w:b/>
        </w:rPr>
        <w:t xml:space="preserve">3. </w:t>
      </w:r>
      <w:r>
        <w:t>The parties executed the EDA, Contract No. CSG-RM-2021-0301, on March 1, 2021. The EDA granted Corbin exclusive distribution rights for Ridgeline’s hydraulic products in a twelve-state territory for a five-year term ending February 28, 2026. (EDA §§ 2.1, 3.1, 14.5; SJ Order § II.C; Jt. Stip. ¶ 1, ECF No. 71.)</w:t>
      </w:r>
    </w:p>
    <w:p>
      <w:pPr>
        <w:ind w:left="360" w:hanging="317"/>
      </w:pPr>
      <w:r>
        <w:rPr>
          <w:b/>
        </w:rPr>
        <w:t xml:space="preserve">4. </w:t>
      </w:r>
      <w:r>
        <w:t>The EDA’s annual purchase commitments were $6,000,000 for Year 1; $7,500,000 for Year 2; $9,000,000 for Year 3; $10,500,000 for Year 4; and $12,000,000 for Year 5, totaling $45,000,000. (EDA § 4.1 &amp; Schedule B.)</w:t>
      </w:r>
    </w:p>
    <w:p>
      <w:pPr>
        <w:ind w:left="360" w:hanging="317"/>
      </w:pPr>
      <w:r>
        <w:rPr>
          <w:b/>
        </w:rPr>
        <w:t xml:space="preserve">5. </w:t>
      </w:r>
      <w:r>
        <w:t>Corbin purchased $5,120,000 in Year 1, $880,000 below the Year 1 MAPC, and $4,370,000 in Year 2, $3,130,000 below the Year 2 MAPC. The Year 2 total was $750,000 less than Year 1. (SJ Order § II.D; Def.’s Resp. to Pl.’s SMF ¶¶ 18, 21, admitted.)</w:t>
      </w:r>
    </w:p>
    <w:p>
      <w:pPr>
        <w:ind w:left="360" w:hanging="317"/>
      </w:pPr>
      <w:r>
        <w:rPr>
          <w:b/>
        </w:rPr>
        <w:t xml:space="preserve">6. </w:t>
      </w:r>
      <w:r>
        <w:t>Ridgeline sent Corbin a written cure notice on March 15, 2022, under EDA § 8.2. Corbin did not submit a formal remediation plan or make supplemental purchases that cured the Year 1 shortfall within the 60-day cure period, which expired May 14, 2022. (SJ Order § II.D; Def.’s Resp. to Pl.’s SMF ¶¶ 19–20, admitted.)</w:t>
      </w:r>
    </w:p>
    <w:p>
      <w:pPr>
        <w:ind w:left="360" w:hanging="317"/>
      </w:pPr>
      <w:r>
        <w:rPr>
          <w:b/>
        </w:rPr>
        <w:t xml:space="preserve">7. </w:t>
      </w:r>
      <w:r>
        <w:t>Ridgeline terminated the EDA on March 10, 2023, under § 8.4. (SJ Order § II.D; Ex. I / proposed PX-015.)</w:t>
      </w:r>
    </w:p>
    <w:p>
      <w:pPr>
        <w:ind w:left="360" w:hanging="317"/>
      </w:pPr>
      <w:r>
        <w:rPr>
          <w:b/>
        </w:rPr>
        <w:t xml:space="preserve">8. </w:t>
      </w:r>
      <w:r>
        <w:t>On November 15, 2024, the Court held Corbin liable as a matter of law for breach of the MAPC provisions. Count I liability is not for trial. The Court also held waiver and unclean hands do not defeat Count I liability. (SJ Order §§ IV.A.2, IV.B, V; Pretrial Order § I.)</w:t>
      </w:r>
    </w:p>
    <w:p>
      <w:pPr>
        <w:ind w:left="360" w:hanging="317"/>
      </w:pPr>
      <w:r>
        <w:rPr>
          <w:b/>
        </w:rPr>
        <w:t xml:space="preserve">9. </w:t>
      </w:r>
      <w:r>
        <w:t>Count III (negligent misrepresentation) was dismissed by Order dated July 7, 2023. (Pretrial Order § I; SJ Order § I.)</w:t>
      </w:r>
    </w:p>
    <w:p>
      <w:pPr>
        <w:ind w:left="360" w:hanging="317"/>
      </w:pPr>
      <w:r>
        <w:rPr>
          <w:b/>
        </w:rPr>
        <w:t xml:space="preserve">10. </w:t>
      </w:r>
      <w:r>
        <w:t>Ridgeline entered a 36-month lease for the Greenville shipping hub on June 1, 2021, at monthly rent of $51,388.89, with stated total rent of $1,850,000; the lease contained a six-month-rent early termination option. Ridgeline also purchased specialized packaging equipment for $475,000. (Lease §§ 2.1, 3.1–3.2, 7.1–7.3; SJ Order § II.F; Hausman Dep. Tr. 42:6–58:19.)</w:t>
      </w:r>
    </w:p>
    <w:p>
      <w:pPr>
        <w:ind w:left="360" w:hanging="317"/>
      </w:pPr>
      <w:r>
        <w:rPr>
          <w:b/>
        </w:rPr>
        <w:t xml:space="preserve">11. </w:t>
      </w:r>
      <w:r>
        <w:t>Ridgeline engaged Allegheny Industrial Partners as a replacement distributor effective September 1, 2023. The projected purchase volume identified in the supplied record is approximately $3,200,000 annually; the projection is not an admitted actual purchase total. (SJ Order § II.F; Exs. M and PX-019–PX-021.)</w:t>
      </w:r>
    </w:p>
    <w:p>
      <w:pPr>
        <w:pStyle w:val="Heading1"/>
        <w:keepNext/>
        <w:pageBreakBefore w:val="0"/>
      </w:pPr>
      <w:r>
        <w:t>SECTION 3. PLAINTIFF’S CONTESTED FACTUAL ISSUES</w:t>
      </w:r>
    </w:p>
    <w:p>
      <w:pPr>
        <w:pStyle w:val="Heading3"/>
        <w:keepNext/>
      </w:pPr>
      <w:r>
        <w:t>1. Falsity and scope of the pre-contract and contractual capability representations</w:t>
      </w:r>
    </w:p>
    <w:p>
      <w:pPr>
        <w:ind w:left="259" w:firstLine="0"/>
      </w:pPr>
      <w:r>
        <w:rPr>
          <w:b/>
        </w:rPr>
        <w:t xml:space="preserve">Proposition. </w:t>
      </w:r>
      <w:r>
        <w:t>Ted Corbin and Corbin Supply represented that Corbin had 300-plus active OEM service-center relationships, 11 operational climate-controlled warehouses, and 42 dedicated hydraulic representatives; those representations were materially inaccurate when made and/or as of the EDA’s March 1, 2021 Effective Date.</w:t>
      </w:r>
    </w:p>
    <w:p>
      <w:pPr>
        <w:ind w:left="259" w:firstLine="0"/>
      </w:pPr>
      <w:r>
        <w:rPr>
          <w:b/>
        </w:rPr>
        <w:t xml:space="preserve">Supporting evidence. </w:t>
      </w:r>
      <w:r>
        <w:t>Corbin’s October 14, 2020 email described “firm relationships with over 300” active service centers (Pre-Contract Correspondence Ex. A, CSG-001204–001207; proposed PX-004); the November 9, 2020 presentation stated 11 warehouses with full climate control (slides 4–6), 42 dedicated hydraulic reps (slides 7–8), and 300-plus service centers (slide 11) (proposed PX-005); Corbin’s December 3 letter repeated 11 warehouses, 42 dedicated reps, and 300-plus active accounts (Ex. C, CSG-001210–001215; proposed PX-006). The EDA itself warrants, as of the Effective Date, at least 300 service centers, 11 suitable warehouses, and 42 dedicated sales representatives. (EDA § 6.2.) Corbin’s CRM reflected 187 active accounts; the record identifies seven operational warehouses at signing, not eleven, with internal records describing five as fully climate-controlled and two as requiring upgrades (while Findlay’s deposition described seven operational climate-controlled locations); and the hydraulic roster listed 23 representatives. (Proposed PX-008–PX-010; Findlay Dep. Tr. 48:7–64:21; Corbin III Dep. Tr. 45:3–68:14; Findlay Memo § 3.2.)</w:t>
      </w:r>
    </w:p>
    <w:p>
      <w:pPr>
        <w:ind w:left="259" w:firstLine="0"/>
      </w:pPr>
      <w:r>
        <w:rPr>
          <w:b/>
        </w:rPr>
        <w:t xml:space="preserve">Materiality. </w:t>
      </w:r>
      <w:r>
        <w:t>Truth, falsity, and materiality of these representations are elements of Count II and bear on justifiable reliance, causation, and the damages claimed.</w:t>
      </w:r>
    </w:p>
    <w:p>
      <w:pPr>
        <w:pStyle w:val="Heading3"/>
        <w:keepNext/>
      </w:pPr>
      <w:r>
        <w:t>2. Corbin’s knowledge, recklessness, and intent to induce the EDA</w:t>
      </w:r>
    </w:p>
    <w:p>
      <w:pPr>
        <w:ind w:left="259" w:firstLine="0"/>
      </w:pPr>
      <w:r>
        <w:rPr>
          <w:b/>
        </w:rPr>
        <w:t xml:space="preserve">Proposition. </w:t>
      </w:r>
      <w:r>
        <w:t>Corbin Supply, acting through senior leadership including Ted Corbin III, knew or recklessly disregarded that its represented capabilities and ability to meet the MAPCs were materially overstated, and used the proposed relationship and MAPCs to pursue a cross-selling strategy rather than disclose its actual limits.</w:t>
      </w:r>
    </w:p>
    <w:p>
      <w:pPr>
        <w:ind w:left="259" w:firstLine="0"/>
      </w:pPr>
      <w:r>
        <w:rPr>
          <w:b/>
        </w:rPr>
        <w:t xml:space="preserve">Supporting evidence. </w:t>
      </w:r>
      <w:r>
        <w:t>Findlay’s January 15, 2021 internal memo to “Senior Leadership” states the minimums were “aggressive,” describes a plan to “renegotiate or exit after year one” if hydraulic margins did not reach 18%, and records 187 active centers, seven operating warehouses (five with full climate control and two with limited environmental controls), and 23 hydraulic-dedicated representatives. (Findlay Memo at 2–4, CSG-00004721; proposed PX-007.) Findlay testified that Corbin III was on the distribution list, reported directly to him, and discussed the memo with him before execution; Findlay recalled Corbin III saying he had seen it and that Corbin would “grow into the numbers.” (Findlay Dep. Tr. 8:12–16:5, 22:3–44:18.) Corbin testified he “may have seen” the memo and could not specifically recall reading it; he also testified that he believed Corbin could meet the targets and that some representations reflected what it was building toward. (Corbin III Dep. Tr. 72:8–86:19; SJ Order § IV.C.3.)</w:t>
      </w:r>
    </w:p>
    <w:p>
      <w:pPr>
        <w:ind w:left="259" w:firstLine="0"/>
      </w:pPr>
      <w:r>
        <w:rPr>
          <w:b/>
        </w:rPr>
        <w:t xml:space="preserve">Materiality. </w:t>
      </w:r>
      <w:r>
        <w:t>Scienter and intent are required elements of fraudulent inducement and are disputed for the jury; the Court held the circumstantial evidence creates a genuine dispute, not that scienter is established.</w:t>
      </w:r>
    </w:p>
    <w:p>
      <w:pPr>
        <w:pStyle w:val="Heading3"/>
        <w:keepNext/>
      </w:pPr>
      <w:r>
        <w:t>3. Materiality, reliance, and causal inducement</w:t>
      </w:r>
    </w:p>
    <w:p>
      <w:pPr>
        <w:ind w:left="259" w:firstLine="0"/>
      </w:pPr>
      <w:r>
        <w:rPr>
          <w:b/>
        </w:rPr>
        <w:t xml:space="preserve">Proposition. </w:t>
      </w:r>
      <w:r>
        <w:t>The scope of Corbin’s service-center network, warehouse infrastructure, and dedicated sales force was material and actually induced Ridgeline to execute the EDA, accept the exclusive-territory arrangement and MAPCs, and make the Greenville and packaging expenditures; Ridgeline’s reliance was justifiable.</w:t>
      </w:r>
    </w:p>
    <w:p>
      <w:pPr>
        <w:ind w:left="259" w:firstLine="0"/>
      </w:pPr>
      <w:r>
        <w:rPr>
          <w:b/>
        </w:rPr>
        <w:t xml:space="preserve">Supporting evidence. </w:t>
      </w:r>
      <w:r>
        <w:t>Hausman testified that the 300-plus network, 11 warehouses, and 42-person force were central to the decision and that Ridgeline used Corbin’s stated infrastructure to set the MAPCs. (Hausman Dep. Tr. 18:4–38:22.) She testified Ridgeline would not have entered the EDA or made the capital commitments had it known the actual figures. (Hausman Dep. Tr. 142:8–150:12; SJ Order § IV.D.) The EDA independently states the § 6.2 capabilities are material to Ridgeline’s decision and planned investments and that Ridgeline entered in reliance on them; the recitals likewise identify reliance and planned capital investments. (EDA recitals; § 6.2.) Rinaldi testified the MAPCs were modeled on Corbin’s representations and those written, quantified statements gave Ridgeline no reason to disbelieve them. (Rinaldi Dep. Tr. 10:8–27:15.)</w:t>
      </w:r>
    </w:p>
    <w:p>
      <w:pPr>
        <w:ind w:left="259" w:firstLine="0"/>
      </w:pPr>
      <w:r>
        <w:rPr>
          <w:b/>
        </w:rPr>
        <w:t xml:space="preserve">Materiality. </w:t>
      </w:r>
      <w:r>
        <w:t>Fraud Count II requires proof of materiality, justifiable reliance, and proximate causation. The jury must resolve these disputed elements, including the effect of the EDA’s integration language and its express § 6.2 representations.</w:t>
      </w:r>
    </w:p>
    <w:p>
      <w:pPr>
        <w:pStyle w:val="Heading3"/>
        <w:keepNext/>
      </w:pPr>
      <w:r>
        <w:t>4. Count I damages: direct shortfall damages and lost profits</w:t>
      </w:r>
    </w:p>
    <w:p>
      <w:pPr>
        <w:ind w:left="259" w:firstLine="0"/>
      </w:pPr>
      <w:r>
        <w:rPr>
          <w:b/>
        </w:rPr>
        <w:t xml:space="preserve">Proposition. </w:t>
      </w:r>
      <w:r>
        <w:t>The MAPC shortfalls and the future contract term provide a sufficiently certain basis to determine Ridgeline’s contract damages; the proper amount depends on the legal measure and the jury’s assessment of the disclosed expert evidence.</w:t>
      </w:r>
    </w:p>
    <w:p>
      <w:pPr>
        <w:ind w:left="259" w:firstLine="0"/>
      </w:pPr>
      <w:r>
        <w:rPr>
          <w:b/>
        </w:rPr>
        <w:t xml:space="preserve">Supporting evidence. </w:t>
      </w:r>
      <w:r>
        <w:t>The contract establishes annual MAPCs totaling $45 million and specifically states that direct damages, including lost profits calculated by reference to MAPCs, are not subject to the limitation in § 11.1. (EDA §§ 4.1, 4.3, 11.1.) Actual Year 1 and Year 2 purchase shortfalls are $880,000 and $3,130,000, respectively. (SJ Order § II.D; proposed PX-011–PX-012.) Prescott calculates $4,010,000 in shortfall amounts and $7,990,000 in net future lost profits for Years 3–5, using MAPCs and a 34% margin, less a $2,720,000 mitigation credit. (Prescott Report §§ VII–VIII; Prescott Dep. Tr. 18:4–30:22, 34:8–56:19.) Holt proposes $1,972,000 future loss for a 12-month period and challenges use of future MAPCs; he admits contractual minimums are not inherently speculative and MAPC/gross-margin methods fall within accepted approaches. (Holt Report §§ VI–VII; Holt Dep. Tr. 18:3–38:22, 42:7–58:14.)</w:t>
      </w:r>
    </w:p>
    <w:p>
      <w:pPr>
        <w:ind w:left="259" w:firstLine="0"/>
      </w:pPr>
      <w:r>
        <w:rPr>
          <w:b/>
        </w:rPr>
        <w:t xml:space="preserve">Materiality. </w:t>
      </w:r>
      <w:r>
        <w:t>The Court left all Count I damages for trial, including future lost profits, mitigation, and reliance. (SJ Order §§ IV.A.3, V.)</w:t>
      </w:r>
    </w:p>
    <w:p>
      <w:pPr>
        <w:pStyle w:val="Heading3"/>
        <w:keepNext/>
      </w:pPr>
      <w:r>
        <w:t>5. Reasonableness and timing of mitigation</w:t>
      </w:r>
    </w:p>
    <w:p>
      <w:pPr>
        <w:ind w:left="259" w:firstLine="0"/>
      </w:pPr>
      <w:r>
        <w:rPr>
          <w:b/>
        </w:rPr>
        <w:t xml:space="preserve">Proposition. </w:t>
      </w:r>
      <w:r>
        <w:t>Ridgeline acted with reasonable diligence in locating and vetting a replacement exclusive distributor for a 12-state territory, and the approximately six-month period from termination to Allegheny’s effective date was commercially reasonable.</w:t>
      </w:r>
    </w:p>
    <w:p>
      <w:pPr>
        <w:ind w:left="259" w:firstLine="0"/>
      </w:pPr>
      <w:r>
        <w:rPr>
          <w:b/>
        </w:rPr>
        <w:t xml:space="preserve">Supporting evidence. </w:t>
      </w:r>
      <w:r>
        <w:t>Hausman and Rinaldi testified that Ridgeline began identifying candidates shortly after termination, contacted five candidates, two declined, vetted three, visited facilities, checked finances and references, selected Allegheny in July, and completed negotiations, systems integration, and training before the September 1, 2023 effective date. (Hausman Dep. Tr. 78:4–94:17; Rinaldi Dep. Tr. 56:3–74:18; proposed PX-020.) Prescott opines that four to nine months is typical and six months is on the faster end. (Prescott Dep. Tr. 60:3–72:14.) Holt contends a replacement should have been secured in 60–90 days and asserts a $272,000 avoidable-loss credit, but acknowledges a reasonable manufacturer could take up to a year and that the search itself, once underway, was within a reasonable range; he is not a distribution-operations expert and cites no empirical study for his timetable. (Holt Report §§ VI–VII; Holt Dep. Tr. 42:7–58:14.)</w:t>
      </w:r>
    </w:p>
    <w:p>
      <w:pPr>
        <w:ind w:left="259" w:firstLine="0"/>
      </w:pPr>
      <w:r>
        <w:rPr>
          <w:b/>
        </w:rPr>
        <w:t xml:space="preserve">Materiality. </w:t>
      </w:r>
      <w:r>
        <w:t>The Court expressly held that mitigation diligence and the reasonable replacement period present jury questions. Erie Ins. Exch. v. Claypoole, 673 A.2d 348, 354 (Pa. Super. Ct. 1996); SJ Order § IV.A.3.</w:t>
      </w:r>
    </w:p>
    <w:p>
      <w:pPr>
        <w:pStyle w:val="Heading3"/>
        <w:keepNext/>
      </w:pPr>
      <w:r>
        <w:t>6. Reliance expenditures, value received, and potential overlap</w:t>
      </w:r>
    </w:p>
    <w:p>
      <w:pPr>
        <w:ind w:left="259" w:firstLine="0"/>
      </w:pPr>
      <w:r>
        <w:rPr>
          <w:b/>
        </w:rPr>
        <w:t xml:space="preserve">Proposition. </w:t>
      </w:r>
      <w:r>
        <w:t>Ridgeline incurred the Greenville lease and custom packaging-equipment expenditures because of the EDA and the capability representations; the amount of any recoverable fraud reliance loss must account for value received, residual/redeployment value, and any overlap with expectation damages without a double recovery.</w:t>
      </w:r>
    </w:p>
    <w:p>
      <w:pPr>
        <w:ind w:left="259" w:firstLine="0"/>
      </w:pPr>
      <w:r>
        <w:rPr>
          <w:b/>
        </w:rPr>
        <w:t xml:space="preserve">Supporting evidence. </w:t>
      </w:r>
      <w:r>
        <w:t>The lease states a total 36-month rental obligation of $1,850,000, from June 1, 2021 to May 31, 2024, with a $308,333.34 early-termination penalty. (Lease §§ 2.1, 3.1–3.2, 7.1–7.3; proposed PX-016.) Hausman testified the facility and $475,000 equipment were specifically for Corbin’s network and would not have been acquired absent the EDA; she testified the equipment was written off and not practically reusable. (Hausman Dep. Tr. 42:6–58:19.) Rinaldi testified Ridgeline explored termination, determined the penalty exceeded the expected savings, marketed the facility for sublease without success, and used the facility only in limited fashion for Allegheny after September 2023. (Rinaldi Dep. Tr. 84:7–98:19.) Prescott calculated $2,325,000 but acknowledged that limiting lease loss to the post-termination period would reduce the lease portion to approximately $770,833.35 and the total reliance amount to approximately $1,245,833.35. (Prescott Report § IX; Prescott Dep. Tr. 76:2–90:18.) Holt asserts equipment residual value of 40–60% and a theoretical double-counting concern but did not conduct a line-item allocation analysis and could identify no specific duplicate line item. (Holt Report § VII.D; Holt Dep. Tr. 62:3–78:19.)</w:t>
      </w:r>
    </w:p>
    <w:p>
      <w:pPr>
        <w:ind w:left="259" w:firstLine="0"/>
      </w:pPr>
      <w:r>
        <w:rPr>
          <w:b/>
        </w:rPr>
        <w:t xml:space="preserve">Materiality. </w:t>
      </w:r>
      <w:r>
        <w:t>This evidence bears on fraud causation and damages, the proper allocation of damages between Counts I and II, and the Court’s instruction preventing duplicative recovery. (SJ Order § IV.A.3; Restatement (Second) of Contracts § 349 cmt. a.)</w:t>
      </w:r>
    </w:p>
    <w:p>
      <w:pPr>
        <w:pStyle w:val="Heading3"/>
        <w:keepNext/>
      </w:pPr>
      <w:r>
        <w:t>7. Discovery and reasonable diligence for statute-of-limitations purposes</w:t>
      </w:r>
    </w:p>
    <w:p>
      <w:pPr>
        <w:ind w:left="259" w:firstLine="0"/>
      </w:pPr>
      <w:r>
        <w:rPr>
          <w:b/>
        </w:rPr>
        <w:t xml:space="preserve">Proposition. </w:t>
      </w:r>
      <w:r>
        <w:t>Ridgeline did not know, and through reasonable diligence could not reasonably have known, the specific falsity of Corbin’s infrastructure representations more than two years before filing; a Year 1 shortfall or generalized concerns did not reveal the concealed internal account, warehouse, sales-force, and Findlay-memo facts.</w:t>
      </w:r>
    </w:p>
    <w:p>
      <w:pPr>
        <w:ind w:left="259" w:firstLine="0"/>
      </w:pPr>
      <w:r>
        <w:rPr>
          <w:b/>
        </w:rPr>
        <w:t xml:space="preserve">Supporting evidence. </w:t>
      </w:r>
      <w:r>
        <w:t>Hausman testified that the Year 1 shortfall could reflect ordinary onboarding or market factors; concerns about the worsening Year 2 trend arose in fall 2022, but Ridgeline did not learn the actual 187/7/23 figures and Findlay memo until Corbin’s document productions in November–December 2023. (Hausman Dep. Tr. 62:1–74:16.) The SJ Order recounts Ridgeline’s position that specific falsity was not discovered until discovery and holds that when Ridgeline knew or should have known is a factual question; Corbin did not support its limitations argument with evidence of earlier discovery. (SJ Order § IV.C.2; Pl.’s Opp. Br. at 28–31, ECF No. 89.)</w:t>
      </w:r>
    </w:p>
    <w:p>
      <w:pPr>
        <w:ind w:left="259" w:firstLine="0"/>
      </w:pPr>
      <w:r>
        <w:rPr>
          <w:b/>
        </w:rPr>
        <w:t xml:space="preserve">Materiality. </w:t>
      </w:r>
      <w:r>
        <w:t>The Court denied summary judgment on limitations and directed that the discovery-rule issue be addressed if the defense remains. The date of discovery or reasonable discoverability bears on the two-year fraud limitations period. (42 Pa. C.S. § 5524(7); Fine v. Checcio, 582 Pa. 253, 266–67 (2005); SJ Order §§ IV.C.2, V.)</w:t>
      </w:r>
    </w:p>
    <w:p>
      <w:pPr>
        <w:pStyle w:val="Heading3"/>
        <w:keepNext/>
      </w:pPr>
      <w:r>
        <w:t>8. Force majeure and causal relation to MAPC nonperformance</w:t>
      </w:r>
    </w:p>
    <w:p>
      <w:pPr>
        <w:ind w:left="259" w:firstLine="0"/>
      </w:pPr>
      <w:r>
        <w:rPr>
          <w:b/>
        </w:rPr>
        <w:t xml:space="preserve">Proposition. </w:t>
      </w:r>
      <w:r>
        <w:t>Corbin did not provide the written notice required by EDA § 12.1(b), and the current record does not establish that a qualifying force majeure event prevented or materially impaired performance of the MAPCs or caused the specific shortfalls.</w:t>
      </w:r>
    </w:p>
    <w:p>
      <w:pPr>
        <w:ind w:left="259" w:firstLine="0"/>
      </w:pPr>
      <w:r>
        <w:rPr>
          <w:b/>
        </w:rPr>
        <w:t xml:space="preserve">Supporting evidence. </w:t>
      </w:r>
      <w:r>
        <w:t>Corbin III testified that he could not identify any force majeure notice, did not direct one to be sent, and did not believe Corbin sent one. (Corbin III Dep. Tr. 92:1–97:15.) Rinaldi testified that Ridgeline’s records contained no written notice and that Corbin did not invoke force majeure during their conversations. (Rinaldi Dep. Tr. 78:2–81:14.) Corbin cited COVID-related supply-chain challenges and hesitant customers as general explanations for declining purchases, but the supplied record identifies no notice complying with § 12.1(b). (Corbin III Dep. Tr. 98:7–108:22; EDA § 12.1.)</w:t>
      </w:r>
    </w:p>
    <w:p>
      <w:pPr>
        <w:ind w:left="259" w:firstLine="0"/>
      </w:pPr>
      <w:r>
        <w:rPr>
          <w:b/>
        </w:rPr>
        <w:t xml:space="preserve">Materiality. </w:t>
      </w:r>
      <w:r>
        <w:t>The Court reserved the defense only to the extent Corbin may proffer compliance or argue excuse of the notice condition. The notice, qualifying event, causation, and excuse are material to that remaining defense. (SJ Order §§ IV.A.2, V.)</w:t>
      </w:r>
    </w:p>
    <w:p>
      <w:pPr>
        <w:pStyle w:val="Heading1"/>
        <w:keepNext/>
        <w:pageBreakBefore w:val="0"/>
      </w:pPr>
      <w:r>
        <w:t>SECTION 4. DEFENDANT’S CONTESTED FACTUAL ISSUES</w:t>
      </w:r>
    </w:p>
    <w:p>
      <w:pPr>
        <w:spacing w:after="120"/>
      </w:pPr>
      <w:r>
        <w:rPr>
          <w:i/>
          <w:sz w:val="19"/>
        </w:rPr>
        <w:t>Plaintiff’s summary of disputes Corbin raised in the summary-judgment record and expert disclosure; Defendant must confirm, revise, and supply its own final Section 4.</w:t>
      </w:r>
    </w:p>
    <w:p>
      <w:pPr>
        <w:spacing w:before="60" w:after="140"/>
        <w:ind w:left="259" w:right="259"/>
      </w:pPr>
      <w:r>
        <w:rPr>
          <w:i/>
          <w:sz w:val="18"/>
        </w:rPr>
        <w:t>The following is not offered as Defendant’s approved statement. It identifies known defense contentions so the joint statement can be completed without implying Plaintiff’s agreement.</w:t>
      </w:r>
    </w:p>
    <w:p>
      <w:pPr>
        <w:pStyle w:val="Heading3"/>
        <w:keepNext/>
      </w:pPr>
      <w:r>
        <w:t>1. Nature and truth of capability statements</w:t>
      </w:r>
    </w:p>
    <w:p>
      <w:pPr>
        <w:ind w:left="259" w:firstLine="0"/>
      </w:pPr>
      <w:r>
        <w:rPr>
          <w:b/>
        </w:rPr>
        <w:t xml:space="preserve">Proposition. </w:t>
      </w:r>
      <w:r>
        <w:t>Corbin contends that “300-plus,” 11 warehouses, and 42 sales representatives reflected aspirational plans, pipeline relationships, national resources, or personnel who could be redeployed, rather than false statements about current capabilities.</w:t>
      </w:r>
    </w:p>
    <w:p>
      <w:pPr>
        <w:ind w:left="259" w:firstLine="0"/>
      </w:pPr>
      <w:r>
        <w:rPr>
          <w:b/>
        </w:rPr>
        <w:t xml:space="preserve">Supporting evidence. </w:t>
      </w:r>
      <w:r>
        <w:t>Corbin III testified that the 300-plus figure may have included prospects, that warehouses were at different stages of readiness, and that representatives from other product lines could be redeployed; he testified that Corbin was building toward the represented capabilities. (Corbin III Dep. Tr. 45:3–68:14, 72:8–86:19, 98:4–102:11; SJ Order § IV.C.3.) Corbin points to two additional warehouses under negotiation and hiring/cross-training plans. (Findlay Memo at 3–4; Corbin III Dep. Tr. 98:4–102:11.)</w:t>
      </w:r>
    </w:p>
    <w:p>
      <w:pPr>
        <w:ind w:left="259" w:firstLine="0"/>
      </w:pPr>
      <w:r>
        <w:rPr>
          <w:b/>
        </w:rPr>
        <w:t xml:space="preserve">Materiality. </w:t>
      </w:r>
      <w:r>
        <w:t>The competing evidence bears on falsity and the meaning of the statements, but the EDA § 6.2 expressly states the capabilities as of the Effective Date and the pre-contract statements use present-tense descriptions.</w:t>
      </w:r>
    </w:p>
    <w:p>
      <w:pPr>
        <w:pStyle w:val="Heading3"/>
        <w:keepNext/>
      </w:pPr>
      <w:r>
        <w:t>2. Scienter and corporate knowledge</w:t>
      </w:r>
    </w:p>
    <w:p>
      <w:pPr>
        <w:ind w:left="259" w:firstLine="0"/>
      </w:pPr>
      <w:r>
        <w:rPr>
          <w:b/>
        </w:rPr>
        <w:t xml:space="preserve">Proposition. </w:t>
      </w:r>
      <w:r>
        <w:t>Corbin contends that Findlay’s memo reflected his individual business assessment and contingency planning, and that Corbin III’s “may have seen” testimony does not establish Corbin III’s actual knowledge or intent to mislead.</w:t>
      </w:r>
    </w:p>
    <w:p>
      <w:pPr>
        <w:ind w:left="259" w:firstLine="0"/>
      </w:pPr>
      <w:r>
        <w:rPr>
          <w:b/>
        </w:rPr>
        <w:t xml:space="preserve">Supporting evidence. </w:t>
      </w:r>
      <w:r>
        <w:t>Corbin III testified he could not specifically recall reading the memo and believed the parties could meet the MAPCs; Corbin asserts its business expected to grow into the targets. (Corbin III Dep. Tr. 72:8–86:19; SJ Order § IV.C.3.) Findlay testified Corbin discussed the memo with him before execution and knew his concerns. (Findlay Dep. Tr. 22:3–44:18.)</w:t>
      </w:r>
    </w:p>
    <w:p>
      <w:pPr>
        <w:ind w:left="259" w:firstLine="0"/>
      </w:pPr>
      <w:r>
        <w:rPr>
          <w:b/>
        </w:rPr>
        <w:t xml:space="preserve">Materiality. </w:t>
      </w:r>
      <w:r>
        <w:t>Scienter is an element of fraud, to be proven by clear and convincing evidence, and the Court identified this as a jury issue. (Gibbs v. Ernst, 647 A.2d 882, 889–90 (Pa. 1994); SJ Order § IV.C.3.)</w:t>
      </w:r>
    </w:p>
    <w:p>
      <w:pPr>
        <w:pStyle w:val="Heading3"/>
        <w:keepNext/>
      </w:pPr>
      <w:r>
        <w:t>3. Reasons for purchase shortfalls and market conditions</w:t>
      </w:r>
    </w:p>
    <w:p>
      <w:pPr>
        <w:ind w:left="259" w:firstLine="0"/>
      </w:pPr>
      <w:r>
        <w:rPr>
          <w:b/>
        </w:rPr>
        <w:t xml:space="preserve">Proposition. </w:t>
      </w:r>
      <w:r>
        <w:t>Corbin contends that weak market demand, customer hesitation, COVID-era supply-chain disruption, and the ramp-up of a new product line—not any pre-contract misrepresentation—explain the Year 1 and Year 2 shortfalls.</w:t>
      </w:r>
    </w:p>
    <w:p>
      <w:pPr>
        <w:ind w:left="259" w:firstLine="0"/>
      </w:pPr>
      <w:r>
        <w:rPr>
          <w:b/>
        </w:rPr>
        <w:t xml:space="preserve">Supporting evidence. </w:t>
      </w:r>
      <w:r>
        <w:t>Corbin testified that market conditions were difficult, customers hesitated to commit to large orders, and demand in the Southeast was soft; he also referenced pandemic-related supply-chain challenges. (Corbin III Dep. Tr. 92:1–97:15, 98:7–108:22.) Findlay testified that the targets were aggressive relative to then-current capacity. (Findlay Dep. Tr. 22:3–44:18.)</w:t>
      </w:r>
    </w:p>
    <w:p>
      <w:pPr>
        <w:ind w:left="259" w:firstLine="0"/>
      </w:pPr>
      <w:r>
        <w:rPr>
          <w:b/>
        </w:rPr>
        <w:t xml:space="preserve">Materiality. </w:t>
      </w:r>
      <w:r>
        <w:t>The explanation bears on causation for Count II and on Corbin’s remaining force-majeure defense; it does not reopen Count I liability already adjudicated.</w:t>
      </w:r>
    </w:p>
    <w:p>
      <w:pPr>
        <w:pStyle w:val="Heading3"/>
        <w:keepNext/>
      </w:pPr>
      <w:r>
        <w:t>4. Amount and duration of future lost profits</w:t>
      </w:r>
    </w:p>
    <w:p>
      <w:pPr>
        <w:ind w:left="259" w:firstLine="0"/>
      </w:pPr>
      <w:r>
        <w:rPr>
          <w:b/>
        </w:rPr>
        <w:t xml:space="preserve">Proposition. </w:t>
      </w:r>
      <w:r>
        <w:t>Corbin’s expert disputes projecting full MAPC performance through Years 3–5 after actual purchases missed and declined in Years 1–2, and contends the future-loss period should be limited to Year 3 or a shorter mitigation period.</w:t>
      </w:r>
    </w:p>
    <w:p>
      <w:pPr>
        <w:ind w:left="259" w:firstLine="0"/>
      </w:pPr>
      <w:r>
        <w:rPr>
          <w:b/>
        </w:rPr>
        <w:t xml:space="preserve">Supporting evidence. </w:t>
      </w:r>
      <w:r>
        <w:t>Holt calculates $1,972,000 for Year 3 using $9 million less $3.2 million projected Allegheny revenue, times a 34% margin; he proposes limiting the period to 12 months and disputes Prescott’s $7.99 million net projection. (Holt Report §§ VI–VII; Holt Dep. Tr. 18:3–38:22, 42:7–58:14.)</w:t>
      </w:r>
    </w:p>
    <w:p>
      <w:pPr>
        <w:ind w:left="259" w:firstLine="0"/>
      </w:pPr>
      <w:r>
        <w:rPr>
          <w:b/>
        </w:rPr>
        <w:t xml:space="preserve">Materiality. </w:t>
      </w:r>
      <w:r>
        <w:t>The Court denied summary judgment on future damages and left the period, reliability, and amount for trial. (SJ Order § IV.A.3.)</w:t>
      </w:r>
    </w:p>
    <w:p>
      <w:pPr>
        <w:pStyle w:val="Heading3"/>
        <w:keepNext/>
      </w:pPr>
      <w:r>
        <w:t>5. Mitigation diligence and avoidable loss</w:t>
      </w:r>
    </w:p>
    <w:p>
      <w:pPr>
        <w:ind w:left="259" w:firstLine="0"/>
      </w:pPr>
      <w:r>
        <w:rPr>
          <w:b/>
        </w:rPr>
        <w:t xml:space="preserve">Proposition. </w:t>
      </w:r>
      <w:r>
        <w:t>Corbin contends Ridgeline delayed initiating a replacement-distributor search, could have secured a replacement within 60–90 days, and thereby avoided at least $272,000.</w:t>
      </w:r>
    </w:p>
    <w:p>
      <w:pPr>
        <w:ind w:left="259" w:firstLine="0"/>
      </w:pPr>
      <w:r>
        <w:rPr>
          <w:b/>
        </w:rPr>
        <w:t xml:space="preserve">Supporting evidence. </w:t>
      </w:r>
      <w:r>
        <w:t>Holt’s report asserts active solicitation began around May 2023 and calculates a $272,000 credit. (Holt Report §§ VI–VII.C.) Hausman and Rinaldi testify that candidate identification began in late March/April and describe the multi-stage search and due diligence. (Hausman Dep. Tr. 78:4–94:17; Rinaldi Dep. Tr. 56:3–74:18.)</w:t>
      </w:r>
    </w:p>
    <w:p>
      <w:pPr>
        <w:ind w:left="259" w:firstLine="0"/>
      </w:pPr>
      <w:r>
        <w:rPr>
          <w:b/>
        </w:rPr>
        <w:t xml:space="preserve">Materiality. </w:t>
      </w:r>
      <w:r>
        <w:t>The issue affects the future-loss period and damages; the Court has held mitigation reasonableness is for the jury. (SJ Order § IV.A.3.)</w:t>
      </w:r>
    </w:p>
    <w:p>
      <w:pPr>
        <w:pStyle w:val="Heading3"/>
        <w:keepNext/>
      </w:pPr>
      <w:r>
        <w:t>6. Reliance damages and residual value</w:t>
      </w:r>
    </w:p>
    <w:p>
      <w:pPr>
        <w:ind w:left="259" w:firstLine="0"/>
      </w:pPr>
      <w:r>
        <w:rPr>
          <w:b/>
        </w:rPr>
        <w:t xml:space="preserve">Proposition. </w:t>
      </w:r>
      <w:r>
        <w:t>Corbin contends that expectation and reliance measures cannot be cumulated; that much lease cost was incurred while the EDA remained in effect; that Ridgeline should have exercised the lease termination option; that the hub had value for Allegheny; and that the equipment retained salvage or redeployment value.</w:t>
      </w:r>
    </w:p>
    <w:p>
      <w:pPr>
        <w:ind w:left="259" w:firstLine="0"/>
      </w:pPr>
      <w:r>
        <w:rPr>
          <w:b/>
        </w:rPr>
        <w:t xml:space="preserve">Supporting evidence. </w:t>
      </w:r>
      <w:r>
        <w:t>Holt offers these opinions in his report and acknowledges at deposition that he did not fully analyze whether the hub lease was included in Prescott’s gross-margin calculation and cannot identify a specific duplicate line item. (Holt Report § VII.D; Holt Dep. Tr. 62:3–78:19.) Rinaldi describes the early-termination economics, unsuccessful sublease attempt, and limited Allegheny use. (Rinaldi Dep. Tr. 84:7–98:19.)</w:t>
      </w:r>
    </w:p>
    <w:p>
      <w:pPr>
        <w:ind w:left="259" w:firstLine="0"/>
      </w:pPr>
      <w:r>
        <w:rPr>
          <w:b/>
        </w:rPr>
        <w:t xml:space="preserve">Materiality. </w:t>
      </w:r>
      <w:r>
        <w:t>The evidence goes to the amount and allocation of Count II damages and the prohibition on double recovery; the Court denied summary judgment on this subject. (SJ Order § IV.A.3.)</w:t>
      </w:r>
    </w:p>
    <w:p>
      <w:pPr>
        <w:pStyle w:val="Heading3"/>
        <w:keepNext/>
      </w:pPr>
      <w:r>
        <w:t>7. Statute of limitations and reasonable discoverability</w:t>
      </w:r>
    </w:p>
    <w:p>
      <w:pPr>
        <w:ind w:left="259" w:firstLine="0"/>
      </w:pPr>
      <w:r>
        <w:rPr>
          <w:b/>
        </w:rPr>
        <w:t xml:space="preserve">Proposition. </w:t>
      </w:r>
      <w:r>
        <w:t>Corbin pleaded a two-year statute-of-limitations defense and may contend Ridgeline should have discovered the alleged falsity before the fraud claim was filed.</w:t>
      </w:r>
    </w:p>
    <w:p>
      <w:pPr>
        <w:ind w:left="259" w:firstLine="0"/>
      </w:pPr>
      <w:r>
        <w:rPr>
          <w:b/>
        </w:rPr>
        <w:t xml:space="preserve">Supporting evidence. </w:t>
      </w:r>
      <w:r>
        <w:t>The alleged communications began October 14, 2020; the Complaint was filed March 10, 2023. The SJ Order notes Corbin’s brief asserted untimeliness but did not cite evidence that Ridgeline knew or should have known of falsity earlier or address the discovery rule. (SJ Order §§ IV.C.2, IV.D.)</w:t>
      </w:r>
    </w:p>
    <w:p>
      <w:pPr>
        <w:ind w:left="259" w:firstLine="0"/>
      </w:pPr>
      <w:r>
        <w:rPr>
          <w:b/>
        </w:rPr>
        <w:t xml:space="preserve">Materiality. </w:t>
      </w:r>
      <w:r>
        <w:t>The defense remains unresolved; when Ridgeline knew or should have known is material under the discovery rule. (42 Pa. C.S. § 5524(7); Fine, 582 Pa. at 266–67.)</w:t>
      </w:r>
    </w:p>
    <w:p>
      <w:pPr>
        <w:pStyle w:val="Heading1"/>
        <w:keepNext/>
        <w:pageBreakBefore w:val="0"/>
      </w:pPr>
      <w:r>
        <w:t>SECTION 5. CONTESTED LEGAL ISSUES</w:t>
      </w:r>
    </w:p>
    <w:p>
      <w:pPr>
        <w:spacing w:before="60" w:after="140"/>
        <w:ind w:left="259" w:right="259"/>
      </w:pPr>
      <w:r>
        <w:rPr>
          <w:i/>
          <w:sz w:val="18"/>
        </w:rPr>
        <w:t>Plaintiff’s positions are stated below. Defendant’s positions are summarized from its summary-judgment submissions and expert report where available; counsel must verify that these remain Defendant’s trial positions.</w:t>
      </w:r>
    </w:p>
    <w:p>
      <w:pPr>
        <w:pStyle w:val="Heading3"/>
        <w:keepNext/>
      </w:pPr>
      <w:r>
        <w:t>A. Measure of Count I damages, including MAPC shortfalls and future lost profits</w:t>
      </w:r>
    </w:p>
    <w:p>
      <w:pPr>
        <w:ind w:left="259" w:firstLine="0"/>
      </w:pPr>
      <w:r>
        <w:rPr>
          <w:b/>
        </w:rPr>
        <w:t xml:space="preserve">Question and burden. </w:t>
      </w:r>
      <w:r>
        <w:t>What measure places Ridgeline in the position it would have occupied on performance, and whether the MAPC shortfalls are recoverable at face value or as lost profits after costs; whether Years 3–5 lost profits are reasonably certain. Ridgeline bears the burden to prove damages and amount with reasonable certainty; liability is established and is not for trial.</w:t>
      </w:r>
    </w:p>
    <w:p>
      <w:pPr>
        <w:ind w:left="259" w:firstLine="0"/>
      </w:pPr>
      <w:r>
        <w:rPr>
          <w:b/>
        </w:rPr>
        <w:t xml:space="preserve">Plaintiff’s position. </w:t>
      </w:r>
      <w:r>
        <w:t>The MAPCs are bargained-for minimums and the EDA expressly recognizes direct damages, including lost profits calculated by reference to MAPCs, outside the § 11.1 limitation. Plaintiff will seek the damages the jury finds legally supported by the MAPCs, purchase records, audited historical margins, and the disclosed expert opinions. Corbin’s expert characterizes the Year 1–2 shortfall amounts as revenue rather than profit and proposes a 34%-margin adjustment; the corresponding alternative calculation appears in Prescott’s deposition, not her written report. Plaintiff will not offer any expert opinion beyond those properly disclosed under Rule 26 and the Pretrial Order, and submits that the contractual language and disclosed evidence support the appropriate MAPC-based measure. Plaintiff does not seek duplicate recovery.</w:t>
      </w:r>
    </w:p>
    <w:p>
      <w:pPr>
        <w:ind w:left="259" w:firstLine="0"/>
      </w:pPr>
      <w:r>
        <w:rPr>
          <w:b/>
        </w:rPr>
        <w:t xml:space="preserve">Defendant’s position (as reflected in the record). </w:t>
      </w:r>
      <w:r>
        <w:t>Corbin contends the $4.01 million Year 1–2 shortfalls are revenue, not profit, and argues for a 34% margin adjustment; it further contends the future MAPCs are not reliable forecasts given prior shortfalls and proposes limiting future loss to 12 months ($1.972 million).</w:t>
      </w:r>
    </w:p>
    <w:p>
      <w:pPr>
        <w:ind w:left="259" w:firstLine="0"/>
      </w:pPr>
      <w:r>
        <w:rPr>
          <w:b/>
        </w:rPr>
        <w:t xml:space="preserve">Authority. </w:t>
      </w:r>
      <w:r>
        <w:t>EDA §§ 4.1, 4.3, 11.1; Ware v. Rodale Press, Inc., 322 F.3d 218, 225–26 (3d Cir. 2003); CoreStates Bank, N.A. v. Cutillo, 723 A.2d 1053, 1058 (Pa. Super. Ct. 1999); AM/PM Franchise Ass’n v. Atlantic Richfield Co., 526 Pa. 110, 118–19 (1990); SJ Order § IV.A.3.</w:t>
      </w:r>
    </w:p>
    <w:p>
      <w:pPr>
        <w:pStyle w:val="Heading3"/>
        <w:keepNext/>
      </w:pPr>
      <w:r>
        <w:t>B. Failure to mitigate / replacement-distributor period</w:t>
      </w:r>
    </w:p>
    <w:p>
      <w:pPr>
        <w:ind w:left="259" w:firstLine="0"/>
      </w:pPr>
      <w:r>
        <w:rPr>
          <w:b/>
        </w:rPr>
        <w:t xml:space="preserve">Question and burden. </w:t>
      </w:r>
      <w:r>
        <w:t>Whether Ridgeline acted reasonably in finding and onboarding a replacement distributor and what losses, if any, could reasonably have been avoided. Corbin bears the burden on its affirmative mitigation defense; Ridgeline must prove the amount of its claimed damages.</w:t>
      </w:r>
    </w:p>
    <w:p>
      <w:pPr>
        <w:ind w:left="259" w:firstLine="0"/>
      </w:pPr>
      <w:r>
        <w:rPr>
          <w:b/>
        </w:rPr>
        <w:t xml:space="preserve">Plaintiff’s position. </w:t>
      </w:r>
      <w:r>
        <w:t>Ridgeline’s six-month replacement process was commercially reasonable for a vetted exclusive partner across 12 states, especially after Corbin’s capability claims proved inaccurate. Ridgeline will prove actual search steps, rejected candidates, site visits, diligence, integration, and training. Any credit should be based on the actual reasonable replacement timeline and proven replacement revenue, not a hypothetical 60–90-day period.</w:t>
      </w:r>
    </w:p>
    <w:p>
      <w:pPr>
        <w:ind w:left="259" w:firstLine="0"/>
      </w:pPr>
      <w:r>
        <w:rPr>
          <w:b/>
        </w:rPr>
        <w:t xml:space="preserve">Defendant’s position (as reflected in the record). </w:t>
      </w:r>
      <w:r>
        <w:t>Corbin contends Ridgeline should have begun earlier, secured a substitute in 60–90 days, and should receive a further $272,000 mitigation credit; it also challenges the Allegheny projection.</w:t>
      </w:r>
    </w:p>
    <w:p>
      <w:pPr>
        <w:ind w:left="259" w:firstLine="0"/>
      </w:pPr>
      <w:r>
        <w:rPr>
          <w:b/>
        </w:rPr>
        <w:t xml:space="preserve">Authority. </w:t>
      </w:r>
      <w:r>
        <w:t>Erie Ins. Exch. v. Claypoole, 673 A.2d 348, 354 (Pa. Super. Ct. 1996); SJ Order § IV.A.3; Holt Report §§ VI–VII.C.</w:t>
      </w:r>
    </w:p>
    <w:p>
      <w:pPr>
        <w:pStyle w:val="Heading3"/>
        <w:keepNext/>
      </w:pPr>
      <w:r>
        <w:t>C. Availability and allocation of reliance damages on Count II; no double recovery</w:t>
      </w:r>
    </w:p>
    <w:p>
      <w:pPr>
        <w:ind w:left="259" w:firstLine="0"/>
      </w:pPr>
      <w:r>
        <w:rPr>
          <w:b/>
        </w:rPr>
        <w:t xml:space="preserve">Question and burden. </w:t>
      </w:r>
      <w:r>
        <w:t>Whether and to what extent the Greenville lease and specialized equipment costs are recoverable as fraud reliance damages in addition to distinct contract expectation damages, and what credit is required to avoid overlap. Ridgeline bears the burden to prove fraud damages and causation; the factfinder may not award duplicative damages.</w:t>
      </w:r>
    </w:p>
    <w:p>
      <w:pPr>
        <w:ind w:left="259" w:firstLine="0"/>
      </w:pPr>
      <w:r>
        <w:rPr>
          <w:b/>
        </w:rPr>
        <w:t xml:space="preserve">Plaintiff’s position. </w:t>
      </w:r>
      <w:r>
        <w:t>The fraud claim concerns out-of-pocket commitments induced by the pre-contract representations, while Count I concerns breach of the purchase commitments. They are distinct theories and categories if the evidence establishes separate loss; the verdict should allocate any award and exclude any proven overlap. The full lease and equipment costs are the expert’s quantified expenditures, with the post-termination lease period, actual limited use, and value questions for the jury.</w:t>
      </w:r>
    </w:p>
    <w:p>
      <w:pPr>
        <w:ind w:left="259" w:firstLine="0"/>
      </w:pPr>
      <w:r>
        <w:rPr>
          <w:b/>
        </w:rPr>
        <w:t xml:space="preserve">Defendant’s position (as reflected in the record). </w:t>
      </w:r>
      <w:r>
        <w:t>Corbin argues reliance and expectation damages are alternative remedies and that the lease and equipment were costs of performance or retain value; its expert proposes excluding reliance damages or materially reducing them.</w:t>
      </w:r>
    </w:p>
    <w:p>
      <w:pPr>
        <w:ind w:left="259" w:firstLine="0"/>
      </w:pPr>
      <w:r>
        <w:rPr>
          <w:b/>
        </w:rPr>
        <w:t xml:space="preserve">Authority. </w:t>
      </w:r>
      <w:r>
        <w:t>Restatement (Second) of Contracts § 349 &amp; cmt. a; SJ Order § IV.A.3; Prescott Report §§ IX–X; Holt Report § VII.D.</w:t>
      </w:r>
    </w:p>
    <w:p>
      <w:pPr>
        <w:pStyle w:val="Heading3"/>
        <w:keepNext/>
      </w:pPr>
      <w:r>
        <w:t>D. Elements and proof standard for fraudulent inducement</w:t>
      </w:r>
    </w:p>
    <w:p>
      <w:pPr>
        <w:ind w:left="259" w:firstLine="0"/>
      </w:pPr>
      <w:r>
        <w:rPr>
          <w:b/>
        </w:rPr>
        <w:t xml:space="preserve">Question and burden. </w:t>
      </w:r>
      <w:r>
        <w:t>Whether Ridgeline proves a material false representation, scienter/intent to induce, justifiable reliance, and proximately caused injury. Plaintiff bears the burden by clear and convincing evidence as to scienter and by the applicable civil burden as to the remaining elements.</w:t>
      </w:r>
    </w:p>
    <w:p>
      <w:pPr>
        <w:ind w:left="259" w:firstLine="0"/>
      </w:pPr>
      <w:r>
        <w:rPr>
          <w:b/>
        </w:rPr>
        <w:t xml:space="preserve">Plaintiff’s position. </w:t>
      </w:r>
      <w:r>
        <w:t>Corbin made specific present-tense statements and then executed § 6.2 representations as of the Effective Date. The express representations in § 6.2 and the EDA’s carve-outs for fraud and warranty breaches distinguish this case from reliance on merely informal or superseded statements. Findlay’s memo, the actual records, and Corbin’s awareness create a jury question on scienter; Hausman’s testimony and § 6.2 establish materiality and reliance evidence.</w:t>
      </w:r>
    </w:p>
    <w:p>
      <w:pPr>
        <w:ind w:left="259" w:firstLine="0"/>
      </w:pPr>
      <w:r>
        <w:rPr>
          <w:b/>
        </w:rPr>
        <w:t xml:space="preserve">Defendant’s position (as reflected in the record). </w:t>
      </w:r>
      <w:r>
        <w:t>Corbin contends the statements were aspirational/forward-looking, the network figures included prospects and planned facilities, Corbin III’s awareness of Findlay’s memo is equivocal, and Ridgeline’s reliance was not justifiable without additional verification.</w:t>
      </w:r>
    </w:p>
    <w:p>
      <w:pPr>
        <w:ind w:left="259" w:firstLine="0"/>
      </w:pPr>
      <w:r>
        <w:rPr>
          <w:b/>
        </w:rPr>
        <w:t xml:space="preserve">Authority. </w:t>
      </w:r>
      <w:r>
        <w:t>Gibbs v. Ernst, 647 A.2d 882, 889–90 (Pa. 1994); EDA §§ 6.2, 11.1, 14.2; SJ Order §§ IV.C–D.</w:t>
      </w:r>
    </w:p>
    <w:p>
      <w:pPr>
        <w:pStyle w:val="Heading3"/>
        <w:keepNext/>
      </w:pPr>
      <w:r>
        <w:t>E. Statute of limitations and discovery rule on Count II</w:t>
      </w:r>
    </w:p>
    <w:p>
      <w:pPr>
        <w:ind w:left="259" w:firstLine="0"/>
      </w:pPr>
      <w:r>
        <w:rPr>
          <w:b/>
        </w:rPr>
        <w:t xml:space="preserve">Question and burden. </w:t>
      </w:r>
      <w:r>
        <w:t>Whether the fraud claim is time-barred under Pennsylvania’s two-year period or tolled until Ridgeline knew or reasonably should have known of the alleged fraud. Defendant bears the burden on its limitations affirmative defense; the discovery-rule trigger is a jury issue on this record.</w:t>
      </w:r>
    </w:p>
    <w:p>
      <w:pPr>
        <w:ind w:left="259" w:firstLine="0"/>
      </w:pPr>
      <w:r>
        <w:rPr>
          <w:b/>
        </w:rPr>
        <w:t xml:space="preserve">Plaintiff’s position. </w:t>
      </w:r>
      <w:r>
        <w:t>Ridgeline’s evidence is that a Year 1 shortfall and later declining sales did not disclose the concealed internal figures; the specific falsity evidence was learned from Corbin’s internal discovery productions in late 2023. Corbin has not shown that reasonable diligence would have revealed those facts more than two years before suit.</w:t>
      </w:r>
    </w:p>
    <w:p>
      <w:pPr>
        <w:ind w:left="259" w:firstLine="0"/>
      </w:pPr>
      <w:r>
        <w:rPr>
          <w:b/>
        </w:rPr>
        <w:t xml:space="preserve">Defendant’s position (as reflected in the record). </w:t>
      </w:r>
      <w:r>
        <w:t>Corbin pleaded the defense and asserted that the October 2020–February 2021 statements preceded suit by more than two years; its summary-judgment presentation did not establish earlier actual or constructive knowledge. The Court denied summary judgment and left the issue for trial if pursued.</w:t>
      </w:r>
    </w:p>
    <w:p>
      <w:pPr>
        <w:ind w:left="259" w:firstLine="0"/>
      </w:pPr>
      <w:r>
        <w:rPr>
          <w:b/>
        </w:rPr>
        <w:t xml:space="preserve">Authority. </w:t>
      </w:r>
      <w:r>
        <w:t>42 Pa. C.S. § 5524(7); Fine v. Checcio, 582 Pa. 253, 266–67 (2005); SJ Order §§ IV.C.2, IV.D.</w:t>
      </w:r>
    </w:p>
    <w:p>
      <w:pPr>
        <w:pStyle w:val="Heading3"/>
        <w:keepNext/>
      </w:pPr>
      <w:r>
        <w:t>F. Force majeure under EDA § 12.1</w:t>
      </w:r>
    </w:p>
    <w:p>
      <w:pPr>
        <w:ind w:left="259" w:firstLine="0"/>
      </w:pPr>
      <w:r>
        <w:rPr>
          <w:b/>
        </w:rPr>
        <w:t xml:space="preserve">Question and burden. </w:t>
      </w:r>
      <w:r>
        <w:t>Whether COVID-19 or related disruption qualifies, caused or materially impaired the relevant performance, and whether the 30-day written-notice condition can be excused. Defendant bears the burden on this affirmative defense and must establish the contractual prerequisites or a basis for excuse.</w:t>
      </w:r>
    </w:p>
    <w:p>
      <w:pPr>
        <w:ind w:left="259" w:firstLine="0"/>
      </w:pPr>
      <w:r>
        <w:rPr>
          <w:b/>
        </w:rPr>
        <w:t xml:space="preserve">Plaintiff’s position. </w:t>
      </w:r>
      <w:r>
        <w:t>Written notice within 30 days is an express condition to relief; Corbin’s managing member could identify no notice and Ridgeline’s General Counsel searched and received none. General awareness of pandemic disruption is not the contractually required notice. Plaintiff will seek to preclude an unsupported defense absent competent evidence of compliance or a legally sufficient excuse.</w:t>
      </w:r>
    </w:p>
    <w:p>
      <w:pPr>
        <w:ind w:left="259" w:firstLine="0"/>
      </w:pPr>
      <w:r>
        <w:rPr>
          <w:b/>
        </w:rPr>
        <w:t xml:space="preserve">Defendant’s position (as reflected in the record). </w:t>
      </w:r>
      <w:r>
        <w:t>Corbin asserts COVID-19 and supply-chain/customer disruption. The SJ Order did not finally adjudicate whether the notice condition may be excused and reserved the defense only if Corbin proffers evidence of compliance or argues excuse.</w:t>
      </w:r>
    </w:p>
    <w:p>
      <w:pPr>
        <w:ind w:left="259" w:firstLine="0"/>
      </w:pPr>
      <w:r>
        <w:rPr>
          <w:b/>
        </w:rPr>
        <w:t xml:space="preserve">Authority. </w:t>
      </w:r>
      <w:r>
        <w:t>EDA § 12.1; Corbin III Dep. Tr. 92:1–97:15; Rinaldi Dep. Tr. 78:2–81:14; SJ Order §§ IV.A.2, V.</w:t>
      </w:r>
    </w:p>
    <w:p>
      <w:pPr>
        <w:pStyle w:val="Heading3"/>
        <w:keepNext/>
      </w:pPr>
      <w:r>
        <w:t>G. Expert admissibility and scope</w:t>
      </w:r>
    </w:p>
    <w:p>
      <w:pPr>
        <w:ind w:left="259" w:firstLine="0"/>
      </w:pPr>
      <w:r>
        <w:rPr>
          <w:b/>
        </w:rPr>
        <w:t xml:space="preserve">Question and burden. </w:t>
      </w:r>
      <w:r>
        <w:t>Whether Prescott’s and Holt’s opinions satisfy Federal Rule of Evidence 702 and Daubert, including reliability, fit, and the basis for the challenged assumptions. The proponent of expert testimony bears the Rule 702 burden.</w:t>
      </w:r>
    </w:p>
    <w:p>
      <w:pPr>
        <w:ind w:left="259" w:firstLine="0"/>
      </w:pPr>
      <w:r>
        <w:rPr>
          <w:b/>
        </w:rPr>
        <w:t xml:space="preserve">Plaintiff’s position. </w:t>
      </w:r>
      <w:r>
        <w:t>Prescott’s disclosed opinions use contract MAPCs, audited financial data, a disclosed 34% gross margin, and an express mitigation credit; her opinions are within the disclosed report. Plaintiff anticipates a targeted motion to limit unsupported Holt opinions on transition time and residual value, not a request to preclude proper damages testimony.</w:t>
      </w:r>
    </w:p>
    <w:p>
      <w:pPr>
        <w:ind w:left="259" w:firstLine="0"/>
      </w:pPr>
      <w:r>
        <w:rPr>
          <w:b/>
        </w:rPr>
        <w:t xml:space="preserve">Defendant’s position (as reflected in the record). </w:t>
      </w:r>
      <w:r>
        <w:t>Corbin has challenged Prescott’s future-loss methodology and may seek to exclude or limit her testimony; Holt offers the alternative damages methodology. The Court deferred Daubert issues for pretrial motions or a fuller record.</w:t>
      </w:r>
    </w:p>
    <w:p>
      <w:pPr>
        <w:ind w:left="259" w:firstLine="0"/>
      </w:pPr>
      <w:r>
        <w:rPr>
          <w:b/>
        </w:rPr>
        <w:t xml:space="preserve">Authority. </w:t>
      </w:r>
      <w:r>
        <w:t>Fed. R. Evid. 702; Daubert v. Merrell Dow Pharms., Inc., 509 U.S. 579 (1993); Padillas v. Stork-Gamco, Inc., 186 F.3d 412, 418 (3d Cir. 1999); SJ Order §§ IV.A.3, V.</w:t>
      </w:r>
    </w:p>
    <w:p>
      <w:pPr>
        <w:pStyle w:val="Heading3"/>
        <w:keepNext/>
      </w:pPr>
      <w:r>
        <w:t>H. Contractual exclusion of consequential and incidental damages</w:t>
      </w:r>
    </w:p>
    <w:p>
      <w:pPr>
        <w:ind w:left="259" w:firstLine="0"/>
      </w:pPr>
      <w:r>
        <w:rPr>
          <w:b/>
        </w:rPr>
        <w:t xml:space="preserve">Question and burden. </w:t>
      </w:r>
      <w:r>
        <w:t>Whether EDA § 11.1 bars any category of incidental or consequential damages, and whether the claimed damages fit the agreement’s direct-damages and express carve-out language. Ridgeline bears the burden to prove the nature and amount of each claimed loss.</w:t>
      </w:r>
    </w:p>
    <w:p>
      <w:pPr>
        <w:ind w:left="259" w:firstLine="0"/>
      </w:pPr>
      <w:r>
        <w:rPr>
          <w:b/>
        </w:rPr>
        <w:t xml:space="preserve">Plaintiff’s position. </w:t>
      </w:r>
      <w:r>
        <w:t>Plaintiff seeks direct expectation damages for MAPC shortfalls/lost profits and reliance damages tied to express § 6.2 representations and fraudulent inducement; Plaintiff does not seek a separate award of incidental, consequential, special, exemplary, or punitive damages. Section 11.1 expressly preserves direct lost profits referenced to MAPCs and liability for fraud and breach of the § 6.2 representations.</w:t>
      </w:r>
    </w:p>
    <w:p>
      <w:pPr>
        <w:ind w:left="259" w:firstLine="0"/>
      </w:pPr>
      <w:r>
        <w:rPr>
          <w:b/>
        </w:rPr>
        <w:t xml:space="preserve">Defendant’s position (as reflected in the record). </w:t>
      </w:r>
      <w:r>
        <w:t>No separate developed defense position on consequential or incidental damages is identified in the supplied summary-judgment materials; Defendant should confirm whether it contends § 11.1 bars any particular claimed category.</w:t>
      </w:r>
    </w:p>
    <w:p>
      <w:pPr>
        <w:ind w:left="259" w:firstLine="0"/>
      </w:pPr>
      <w:r>
        <w:rPr>
          <w:b/>
        </w:rPr>
        <w:t xml:space="preserve">Authority. </w:t>
      </w:r>
      <w:r>
        <w:t>EDA §§ 6.2, 11.1; SJ Order § IV.A.3.</w:t>
      </w:r>
    </w:p>
    <w:p>
      <w:pPr>
        <w:pStyle w:val="Heading3"/>
        <w:keepNext/>
      </w:pPr>
      <w:r>
        <w:t>I. Waiver and unclean hands as to Count I</w:t>
      </w:r>
    </w:p>
    <w:p>
      <w:pPr>
        <w:ind w:left="259" w:firstLine="0"/>
      </w:pPr>
      <w:r>
        <w:rPr>
          <w:b/>
        </w:rPr>
        <w:t xml:space="preserve">Question and burden. </w:t>
      </w:r>
      <w:r>
        <w:t>Whether waiver or unclean hands remains a trial defense to Count I liability.</w:t>
      </w:r>
    </w:p>
    <w:p>
      <w:pPr>
        <w:ind w:left="259" w:firstLine="0"/>
      </w:pPr>
      <w:r>
        <w:rPr>
          <w:b/>
        </w:rPr>
        <w:t xml:space="preserve">Plaintiff’s position. </w:t>
      </w:r>
      <w:r>
        <w:t>No. The Court has resolved both issues against Corbin as to Count I liability. They may not be submitted to the jury or used to reopen the established liability finding.</w:t>
      </w:r>
    </w:p>
    <w:p>
      <w:pPr>
        <w:ind w:left="259" w:firstLine="0"/>
      </w:pPr>
      <w:r>
        <w:rPr>
          <w:b/>
        </w:rPr>
        <w:t xml:space="preserve">Defendant’s position (as reflected in the record). </w:t>
      </w:r>
      <w:r>
        <w:t>The SJ Order held the waiver defense foreclosed by EDA § 8.5 and the timely cure notice, and found no evidentiary support for unclean hands. Defendant must identify any position it contends remains open, consistent with the ruling.</w:t>
      </w:r>
    </w:p>
    <w:p>
      <w:pPr>
        <w:ind w:left="259" w:firstLine="0"/>
      </w:pPr>
      <w:r>
        <w:rPr>
          <w:b/>
        </w:rPr>
        <w:t xml:space="preserve">Authority. </w:t>
      </w:r>
      <w:r>
        <w:t>EDA § 8.5; SJ Order §§ IV.A.2, IV.B, V; Pretrial Order § I.</w:t>
      </w:r>
    </w:p>
    <w:p>
      <w:pPr>
        <w:pStyle w:val="Heading1"/>
        <w:keepNext/>
        <w:pageBreakBefore w:val="0"/>
      </w:pPr>
      <w:r>
        <w:t>SECTION 6. PLAINTIFF’S WITNESS LIST</w:t>
      </w:r>
    </w:p>
    <w:p>
      <w:pPr>
        <w:spacing w:before="60" w:after="140"/>
        <w:ind w:left="259" w:right="259"/>
      </w:pPr>
      <w:r>
        <w:rPr>
          <w:i/>
          <w:sz w:val="18"/>
        </w:rPr>
        <w:t>All listed witnesses are expected to testify live unless otherwise stated. Plaintiff reserves deposition designations for impeachment or permitted use; page-and-line designations and counter-designations will be exchanged on the schedule in the Pretrial Order (September 1 and September 8, 2025). Examination times are estimates.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656"/>
            <w:vAlign w:val="top"/>
            <w:tcMar>
              <w:top w:w="70" w:type="dxa"/>
              <w:start w:w="75" w:type="dxa"/>
              <w:bottom w:w="70" w:type="dxa"/>
              <w:end w:w="75" w:type="dxa"/>
            </w:tcMar>
            <w:shd w:fill="D9E2F3"/>
          </w:tcPr>
          <w:p>
            <w:pPr>
              <w:spacing w:after="0" w:line="240" w:lineRule="auto"/>
            </w:pPr>
            <w:r/>
            <w:r>
              <w:rPr>
                <w:rFonts w:ascii="Times New Roman" w:hAnsi="Times New Roman" w:eastAsia="Times New Roman"/>
                <w:b/>
                <w:sz w:val="18"/>
              </w:rPr>
              <w:t>Witness</w:t>
            </w:r>
          </w:p>
        </w:tc>
        <w:tc>
          <w:tcPr>
            <w:tcW w:type="dxa" w:w="2376"/>
            <w:vAlign w:val="top"/>
            <w:tcMar>
              <w:top w:w="70" w:type="dxa"/>
              <w:start w:w="75" w:type="dxa"/>
              <w:bottom w:w="70" w:type="dxa"/>
              <w:end w:w="75" w:type="dxa"/>
            </w:tcMar>
            <w:shd w:fill="D9E2F3"/>
          </w:tcPr>
          <w:p>
            <w:pPr>
              <w:spacing w:after="0" w:line="240" w:lineRule="auto"/>
            </w:pPr>
            <w:r/>
            <w:r>
              <w:rPr>
                <w:rFonts w:ascii="Times New Roman" w:hAnsi="Times New Roman" w:eastAsia="Times New Roman"/>
                <w:b/>
                <w:sz w:val="18"/>
              </w:rPr>
              <w:t>Type / address</w:t>
            </w:r>
          </w:p>
        </w:tc>
        <w:tc>
          <w:tcPr>
            <w:tcW w:type="dxa" w:w="4824"/>
            <w:vAlign w:val="top"/>
            <w:tcMar>
              <w:top w:w="70" w:type="dxa"/>
              <w:start w:w="75" w:type="dxa"/>
              <w:bottom w:w="70" w:type="dxa"/>
              <w:end w:w="75" w:type="dxa"/>
            </w:tcMar>
            <w:shd w:fill="D9E2F3"/>
          </w:tcPr>
          <w:p>
            <w:pPr>
              <w:spacing w:after="0" w:line="240" w:lineRule="auto"/>
            </w:pPr>
            <w:r/>
            <w:r>
              <w:rPr>
                <w:rFonts w:ascii="Times New Roman" w:hAnsi="Times New Roman" w:eastAsia="Times New Roman"/>
                <w:b/>
                <w:sz w:val="18"/>
              </w:rPr>
              <w:t>Expected testimony (one-paragraph summary)</w:t>
            </w:r>
          </w:p>
        </w:tc>
        <w:tc>
          <w:tcPr>
            <w:tcW w:type="dxa" w:w="936"/>
            <w:vAlign w:val="top"/>
            <w:tcMar>
              <w:top w:w="70" w:type="dxa"/>
              <w:start w:w="75" w:type="dxa"/>
              <w:bottom w:w="70" w:type="dxa"/>
              <w:end w:w="75" w:type="dxa"/>
            </w:tcMar>
            <w:shd w:fill="D9E2F3"/>
          </w:tcPr>
          <w:p>
            <w:pPr>
              <w:spacing w:after="0" w:line="240" w:lineRule="auto"/>
            </w:pPr>
            <w:r/>
            <w:r>
              <w:rPr>
                <w:rFonts w:ascii="Times New Roman" w:hAnsi="Times New Roman" w:eastAsia="Times New Roman"/>
                <w:b/>
                <w:sz w:val="18"/>
              </w:rPr>
              <w:t>Direct</w:t>
            </w:r>
          </w:p>
        </w:tc>
      </w:tr>
      <w:tr>
        <w:trPr>
          <w:cantSplit/>
        </w:trPr>
        <w:tc>
          <w:tcPr>
            <w:tcW w:type="dxa" w:w="165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1. Margaret “Peggy” Hausman</w:t>
            </w:r>
          </w:p>
        </w:tc>
        <w:tc>
          <w:tcPr>
            <w:tcW w:type="dxa" w:w="237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Fact witness; live. Employer/business address: Ridgeline Manufacturing, Inc., 4500 Whitestown Road, Butler, PA 16001.</w:t>
            </w:r>
          </w:p>
        </w:tc>
        <w:tc>
          <w:tcPr>
            <w:tcW w:type="dxa" w:w="4824"/>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Ridgeline’s business, negotiations, Corbin’s representations, MAPC formation, decision to enter the EDA, reliance and capital expenditures, Corbin’s performance and termination, discovery of the actual capabilities, and mitigation/search for Allegheny. Relevant testimony includes Hausman Dep. Tr. 18:4–38:22, 42:6–58:19, 62:1–74:16, 78:4–94:17, 142:8–150:12.</w:t>
            </w:r>
          </w:p>
        </w:tc>
        <w:tc>
          <w:tcPr>
            <w:tcW w:type="dxa" w:w="93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2–3 hours</w:t>
            </w:r>
          </w:p>
        </w:tc>
      </w:tr>
      <w:tr>
        <w:trPr>
          <w:cantSplit/>
        </w:trPr>
        <w:tc>
          <w:tcPr>
            <w:tcW w:type="dxa" w:w="165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2. Theodore “Ted” Corbin III</w:t>
            </w:r>
          </w:p>
        </w:tc>
        <w:tc>
          <w:tcPr>
            <w:tcW w:type="dxa" w:w="237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Fact/adverse witness; live, called by Plaintiff under Fed. R. Evid. 611(c). Employer/business address: Corbin Supply Group, LLC, 1200 Tryon Tower, Suite 800, Charlotte, NC 28202.</w:t>
            </w:r>
          </w:p>
        </w:tc>
        <w:tc>
          <w:tcPr>
            <w:tcW w:type="dxa" w:w="4824"/>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Corbin’s negotiations and authorship of the October 14 email and December 3 letter; the November presentation; actual service-center, warehouse, and sales-force figures; receipt/knowledge of the Findlay memo; performance, cure, COVID/force-majeure position, and purchase shortfalls. Deposition testimony at Corbin III Dep. Tr. 45:3–68:14, 72:8–86:19, 92:1–108:22.</w:t>
            </w:r>
          </w:p>
        </w:tc>
        <w:tc>
          <w:tcPr>
            <w:tcW w:type="dxa" w:w="93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2–3 hours</w:t>
            </w:r>
          </w:p>
        </w:tc>
      </w:tr>
      <w:tr>
        <w:trPr>
          <w:cantSplit/>
        </w:trPr>
        <w:tc>
          <w:tcPr>
            <w:tcW w:type="dxa" w:w="165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3. Marcus Findlay</w:t>
            </w:r>
          </w:p>
        </w:tc>
        <w:tc>
          <w:tcPr>
            <w:tcW w:type="dxa" w:w="237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Fact/adverse witness; live, called by Plaintiff under Fed. R. Evid. 611(c). Employer/business address: Corbin Supply Group, LLC, 1200 Tryon Tower, Suite 800, Charlotte, NC 28202.</w:t>
            </w:r>
          </w:p>
        </w:tc>
        <w:tc>
          <w:tcPr>
            <w:tcW w:type="dxa" w:w="4824"/>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Authorship, contents, distribution, and discussion of the January 15, 2021 memo; actual operating capabilities; the 23-person hydraulic sales force and seven operational warehouses; his pre-signing conversation with Corbin; and Corbin’s performance/shortfall outlook. Findlay Dep. Tr. 22:3–44:18, 48:7–64:21, 71:3–78:15.</w:t>
            </w:r>
          </w:p>
        </w:tc>
        <w:tc>
          <w:tcPr>
            <w:tcW w:type="dxa" w:w="93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1.5–2 hours</w:t>
            </w:r>
          </w:p>
        </w:tc>
      </w:tr>
      <w:tr>
        <w:trPr>
          <w:cantSplit/>
        </w:trPr>
        <w:tc>
          <w:tcPr>
            <w:tcW w:type="dxa" w:w="165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4. David Rinaldi</w:t>
            </w:r>
          </w:p>
        </w:tc>
        <w:tc>
          <w:tcPr>
            <w:tcW w:type="dxa" w:w="237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Fact witness; live. Employer/business address: Ridgeline Manufacturing, Inc., 4500 Whitestown Road, Butler, PA 16001.</w:t>
            </w:r>
          </w:p>
        </w:tc>
        <w:tc>
          <w:tcPr>
            <w:tcW w:type="dxa" w:w="4824"/>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EDA negotiations and MAPC derivation; cure notice and failure to receive a formal remediation plan; termination; mitigation search and diligence; force-majeure notice search; Greenville lease, early-termination economics, sublease efforts, and limited post-termination facility use. Rinaldi Dep. Tr. 10:8–27:15, 32:7–52:22, 56:3–81:14, 84:7–98:19.</w:t>
            </w:r>
          </w:p>
        </w:tc>
        <w:tc>
          <w:tcPr>
            <w:tcW w:type="dxa" w:w="93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1.5–2 hours</w:t>
            </w:r>
          </w:p>
        </w:tc>
      </w:tr>
      <w:tr>
        <w:trPr>
          <w:cantSplit/>
        </w:trPr>
        <w:tc>
          <w:tcPr>
            <w:tcW w:type="dxa" w:w="165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5. Dr. Elaine Prescott</w:t>
            </w:r>
          </w:p>
        </w:tc>
        <w:tc>
          <w:tcPr>
            <w:tcW w:type="dxa" w:w="237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Expert witness; live. Business address listed in report: 220 Allegheny Center, Suite 410, Pittsburgh, PA 15212.</w:t>
            </w:r>
          </w:p>
        </w:tc>
        <w:tc>
          <w:tcPr>
            <w:tcW w:type="dxa" w:w="4824"/>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Ph.D. in Economics (Carnegie Mellon University); more than 20 years of forensic economics and commercial damages experience, with testifying experience in federal and state matters. Opinions limited to her May 15, 2024 report and July 5, 2024 rebuttal: $4.01 million Year 1–2 MAPC shortfalls; $7.99 million net future lost profits using Years 3–5 MAPCs and an Allegheny mitigation credit; and $2.325 million quantified reliance expenditures, subject to legal allocation and nonduplication. Any further opinion will be limited to what was properly disclosed under Rule 26 and the Pretrial Order. Prescott Report §§ III–XII; Prescott Dep. Tr. 18:4–30:22, 34:8–72:14, 76:2–108:14.</w:t>
            </w:r>
          </w:p>
        </w:tc>
        <w:tc>
          <w:tcPr>
            <w:tcW w:type="dxa" w:w="93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2–3 hours</w:t>
            </w:r>
          </w:p>
        </w:tc>
      </w:tr>
      <w:tr>
        <w:trPr>
          <w:cantSplit/>
        </w:trPr>
        <w:tc>
          <w:tcPr>
            <w:tcW w:type="dxa" w:w="165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6. Warren Holt, CPA/ABV</w:t>
            </w:r>
          </w:p>
        </w:tc>
        <w:tc>
          <w:tcPr>
            <w:tcW w:type="dxa" w:w="237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Defense damages expert; may call live as an adverse witness under Fed. R. Evid. 611(c), or use deposition designations. Employer/business address: Grantham Valuation Advisors, 4100 Sharon Road, Suite 700, Charlotte, NC 28211.</w:t>
            </w:r>
          </w:p>
        </w:tc>
        <w:tc>
          <w:tcPr>
            <w:tcW w:type="dxa" w:w="4824"/>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CPA/ABV and forensic accounting/business valuation expert retained by Corbin. Plaintiff may examine him concerning his challenge to Prescott’s calculations, his $1.972 million future-loss alternative, claimed 12-month period and $272,000 mitigation credit, alleged equipment salvage value, and admissions that contractual minimums are not inherently speculative and that his timeline opinions lack empirical studies and operations expertise. Holt Report (June 14, 2024) §§ VI–X; Holt Dep. Tr. 18:3–38:22, 42:7–58:14, 62:3–84:9.</w:t>
            </w:r>
          </w:p>
        </w:tc>
        <w:tc>
          <w:tcPr>
            <w:tcW w:type="dxa" w:w="936"/>
            <w:vAlign w:val="top"/>
            <w:tcMar>
              <w:top w:w="70" w:type="dxa"/>
              <w:start w:w="75" w:type="dxa"/>
              <w:bottom w:w="70" w:type="dxa"/>
              <w:end w:w="75" w:type="dxa"/>
            </w:tcMar>
          </w:tcPr>
          <w:p>
            <w:pPr>
              <w:spacing w:after="0" w:line="240" w:lineRule="auto"/>
            </w:pPr>
            <w:r/>
            <w:r>
              <w:rPr>
                <w:rFonts w:ascii="Times New Roman" w:hAnsi="Times New Roman" w:eastAsia="Times New Roman"/>
                <w:b w:val="0"/>
                <w:sz w:val="17"/>
              </w:rPr>
              <w:t>1.5–2 hours if called</w:t>
            </w:r>
          </w:p>
        </w:tc>
      </w:tr>
    </w:tbl>
    <w:p>
      <w:pPr>
        <w:pStyle w:val="Heading1"/>
        <w:keepNext/>
        <w:pageBreakBefore w:val="0"/>
      </w:pPr>
      <w:r>
        <w:t>SECTION 7. DEFENDANT’S WITNESS LIST</w:t>
      </w:r>
    </w:p>
    <w:p>
      <w:pPr>
        <w:spacing w:before="60" w:after="140"/>
        <w:ind w:left="259" w:right="259"/>
      </w:pPr>
      <w:r>
        <w:rPr>
          <w:i/>
          <w:sz w:val="18"/>
        </w:rPr>
        <w:t>DEFENDANT TO COMPLETE. No defense witness list was included in the supplied materials. Defendant must identify each witness it may call, business address, live or deposition presentation, one-paragraph subject summary, and estimated direct-examination time. Plaintiff reserves objections and counter-designations under the Court’s schedule.</w:t>
      </w:r>
    </w:p>
    <w:p>
      <w:pPr>
        <w:pStyle w:val="Heading1"/>
        <w:keepNext/>
        <w:pageBreakBefore w:val="0"/>
      </w:pPr>
      <w:r>
        <w:t>SECTION 8. PLAINTIFF’S EXHIBIT LIST</w:t>
      </w:r>
    </w:p>
    <w:p>
      <w:pPr>
        <w:spacing w:before="60" w:after="140"/>
        <w:ind w:left="259" w:right="259"/>
      </w:pPr>
      <w:r>
        <w:rPr>
          <w:i/>
          <w:sz w:val="18"/>
        </w:rPr>
        <w:t>PX numbers are sequential. “Will offer” denotes intended case-in-chief exhibits; “may offer” denotes rebuttal, impeachment, or use if necessitated by the defense. Bates information is stated only where supplied in the record materials; counsel should verify final Bates ranges, production status, authenticity stipulations, and exhibit objections. Deposition designations are due September 1, 2025; objections are due September 1, 2025.</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835"/>
            <w:vAlign w:val="top"/>
            <w:tcMar>
              <w:top w:w="70" w:type="dxa"/>
              <w:start w:w="75" w:type="dxa"/>
              <w:bottom w:w="70" w:type="dxa"/>
              <w:end w:w="75" w:type="dxa"/>
            </w:tcMar>
            <w:shd w:fill="D9E2F3"/>
          </w:tcPr>
          <w:p>
            <w:pPr>
              <w:spacing w:after="0" w:line="240" w:lineRule="auto"/>
            </w:pPr>
            <w:r/>
            <w:r>
              <w:rPr>
                <w:rFonts w:ascii="Times New Roman" w:hAnsi="Times New Roman" w:eastAsia="Times New Roman"/>
                <w:b/>
                <w:sz w:val="17"/>
              </w:rPr>
              <w:t>No.</w:t>
            </w:r>
          </w:p>
        </w:tc>
        <w:tc>
          <w:tcPr>
            <w:tcW w:type="dxa" w:w="5256"/>
            <w:vAlign w:val="top"/>
            <w:tcMar>
              <w:top w:w="70" w:type="dxa"/>
              <w:start w:w="75" w:type="dxa"/>
              <w:bottom w:w="70" w:type="dxa"/>
              <w:end w:w="75" w:type="dxa"/>
            </w:tcMar>
            <w:shd w:fill="D9E2F3"/>
          </w:tcPr>
          <w:p>
            <w:pPr>
              <w:spacing w:after="0" w:line="240" w:lineRule="auto"/>
            </w:pPr>
            <w:r/>
            <w:r>
              <w:rPr>
                <w:rFonts w:ascii="Times New Roman" w:hAnsi="Times New Roman" w:eastAsia="Times New Roman"/>
                <w:b/>
                <w:sz w:val="17"/>
              </w:rPr>
              <w:t>Description</w:t>
            </w:r>
          </w:p>
        </w:tc>
        <w:tc>
          <w:tcPr>
            <w:tcW w:type="dxa" w:w="1440"/>
            <w:vAlign w:val="top"/>
            <w:tcMar>
              <w:top w:w="70" w:type="dxa"/>
              <w:start w:w="75" w:type="dxa"/>
              <w:bottom w:w="70" w:type="dxa"/>
              <w:end w:w="75" w:type="dxa"/>
            </w:tcMar>
            <w:shd w:fill="D9E2F3"/>
          </w:tcPr>
          <w:p>
            <w:pPr>
              <w:spacing w:after="0" w:line="240" w:lineRule="auto"/>
            </w:pPr>
            <w:r/>
            <w:r>
              <w:rPr>
                <w:rFonts w:ascii="Times New Roman" w:hAnsi="Times New Roman" w:eastAsia="Times New Roman"/>
                <w:b/>
                <w:sz w:val="17"/>
              </w:rPr>
              <w:t>Bates / ID</w:t>
            </w:r>
          </w:p>
        </w:tc>
        <w:tc>
          <w:tcPr>
            <w:tcW w:type="dxa" w:w="2261"/>
            <w:vAlign w:val="top"/>
            <w:tcMar>
              <w:top w:w="70" w:type="dxa"/>
              <w:start w:w="75" w:type="dxa"/>
              <w:bottom w:w="70" w:type="dxa"/>
              <w:end w:w="75" w:type="dxa"/>
            </w:tcMar>
            <w:shd w:fill="D9E2F3"/>
          </w:tcPr>
          <w:p>
            <w:pPr>
              <w:spacing w:after="0" w:line="240" w:lineRule="auto"/>
            </w:pPr>
            <w:r/>
            <w:r>
              <w:rPr>
                <w:rFonts w:ascii="Times New Roman" w:hAnsi="Times New Roman" w:eastAsia="Times New Roman"/>
                <w:b/>
                <w:sz w:val="17"/>
              </w:rPr>
              <w:t>Use / status</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PX-001</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Executed Exclusive Distribution Agreement, Contract No. CSG-RM-2021-0301, dated March 1, 2021, with all schedules and exhibits.</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RM 000001–000047</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PX-002</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Schedule B / Minimum Annual Purchase Commitment schedule (Years 1–5; total $45 million).</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Within PX-001</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PX-003</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Territory map/list for the EDA’s exclusive twelve-state Territory (AL, AR, FL, GA, KY, LA, MS, NC, SC, TN, VA, WV); verify separate exhibit label and whether included in PX-001.</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Within PX-001 / verify</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PX-004</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October 14, 2020 email from Ted Corbin III to Peggy Hausman representing “firm relationships with over 300” OEM service centers.</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CSG-001204–001207</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PX-005</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Corbin Supply presentation delivered November 9, 2020; particularly slides 4–6 (warehouses), 7–8 (sales force), and 11 (service centers).</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Bates not stated</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PX-006</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December 3, 2020 letter from Ted Corbin III to Hausman regarding warehouse, service-center, and 42-person dedicated sales-force capabilities.</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CSG-001210–001215</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PX-007</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January 15, 2021 Findlay internal strategy memo to Senior Leadership, including MAPC/cross-selling assessment and actual capability figures.</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CSG-00004721</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PX-008</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Corbin Supply CRM/service-center database printout reflecting 187 active OEM service-center relationships in the Territory.</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CSG-004217–004231</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PX-009</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Corbin Supply warehouse status report as of March 1, 2021 (7 operational; 2 under negotiation; 2 shared-space without climate control).</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CSG-005102–005108</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PX-010</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Corbin Supply hydraulic sales-force roster as of March 1, 2021 (23 dedicated/primary hydraulic representatives).</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CSG-005440–005447</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PX-011</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Corbin Supply Year 1 purchase-order/invoice summary (March 1, 2021–February 28, 2022), total $5.12 million.</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Bates not stated</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PX-012</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Corbin Supply Year 2 purchase-order/invoice summary (March 1, 2022–February 28, 2023), total $4.37 million.</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Bates not stated</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PX-013</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Ridgeline’s March 15, 2022 written cure notice under EDA § 8.2.</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RM 000288–000290</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PX-014</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Corbin’s March 28, 2022 acknowledgment/response to cure notice, if produced, together with evidence that no formal remediation plan was submitted; Plaintiff does not contend no response letter existed.</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Bates not stated</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May offer — substantive / impeachment</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PX-015</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Ridgeline’s March 10, 2023 termination notice under EDA § 8.4.</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RM 000291–000294</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PX-016</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Hargrove Logistics lease dated June 1, 2021, for 2280 Industrial Parkway, Greenville, SC; 36 months, $51,388.89/month, stated total $1,850,000, early termination option.</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RM 000295–000328</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PX-017</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Invoices and payment records for $475,000 specialized packaging equipment.</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RM 000413–000429</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PX-018</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Ridgeline internal approval memorandum for the Greenville hub lease and equipment procurement, referencing Corbin distribution capabilities; offer only if produced and cleared for privilege/admissibility.</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Bates not stated</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May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PX-019</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Distribution Agreement between Ridgeline and Allegheny Industrial Partners, effective September 1, 2023.</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RM 000329–000356 (verify)</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PX-020</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Ridgeline correspondence and due-diligence file regarding replacement-distributor search and onboarding, March–August 2023.</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Bates not stated</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PX-021</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Allegheny Industrial Partners projected annual purchase volume of approximately $3.2 million.</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Bates not stated</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PX-022</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Ridgeline audited financial statements, FY 2019–2023, prepared by Stonebridge Accounting Group LLP.</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RM 000090–000287</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PX-023</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Ridgeline distributor-channel gross-margin analysis, 2019–2023, prepared by Dr. Prescott from audited financials.</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Bates not stated</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PX-024</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Ridgeline 2023 revenue summary (approximately $47.3 million).</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Bates not stated</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May offer — substantive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PX-025</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Expert Report of Dr. Elaine Prescott dated May 15, 2024, including disclosed damages analyses and appendices.</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ECF No. 62-1 / report pages</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May offer — substantive, subject to Evidence Rules</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PX-026</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Dr. Elaine Prescott rebuttal report dated July 5, 2024.</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Bates not stated</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May offer — substantive, subject to Evidence Rules</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PX-027</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Curriculum vitae of Dr. Elaine Prescott, served with her expert report.</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Report Appendix A</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May offer — qualifications</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PX-028</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Designated excerpts from deposition transcript of Theodore “Ted” Corbin III, January 22, 2024; specific page-line designations to be exchanged.</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Transcript pages; designations pending</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May offer — substantive / impeachment</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PX-029</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Designated excerpts from deposition transcript of Marcus Findlay, February 8, 2024; specific page-line designations to be exchanged.</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Transcript pages; designations pending</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May offer — substantive / impeachment</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PX-030</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Designated excerpts from deposition transcript of Warren Holt, CPA/ABV, May 2, 2024; specific page-line designations to be exchanged.</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Transcript pages; designations pending</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May offer — substantive / impeachment</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PX-031</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November 15, 2024 Memorandum Opinion and Order on cross-motions for summary judgment; proposed only for Court/limited procedural use, not as substantive jury evidence absent Court direction.</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Docket filing; ECF number to verify</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May offer — Court only</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PX-032</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Corbin Supply Answer and Affirmative Defenses, filed September 15, 2023; proposed only for judicial notice/impeachment as appropriate, not as substantive jury evidence.</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ECF No. 22</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May offer — limited purpose</w:t>
            </w:r>
          </w:p>
        </w:tc>
      </w:tr>
      <w:tr>
        <w:trPr>
          <w:cantSplit/>
        </w:trPr>
        <w:tc>
          <w:tcPr>
            <w:tcW w:type="dxa" w:w="835"/>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PX-033</w:t>
            </w:r>
          </w:p>
        </w:tc>
        <w:tc>
          <w:tcPr>
            <w:tcW w:type="dxa" w:w="5256"/>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February 12, 2021 email from Ted Corbin III to Hausman reaffirming 300-plus centers, 42-person dedicated sales team, and ability to exceed MAPCs.</w:t>
            </w:r>
          </w:p>
        </w:tc>
        <w:tc>
          <w:tcPr>
            <w:tcW w:type="dxa" w:w="1440"/>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CSG-001230–001234</w:t>
            </w:r>
          </w:p>
        </w:tc>
        <w:tc>
          <w:tcPr>
            <w:tcW w:type="dxa" w:w="2261"/>
            <w:vAlign w:val="top"/>
            <w:tcMar>
              <w:top w:w="70" w:type="dxa"/>
              <w:start w:w="75" w:type="dxa"/>
              <w:bottom w:w="70" w:type="dxa"/>
              <w:end w:w="75" w:type="dxa"/>
            </w:tcMar>
          </w:tcPr>
          <w:p>
            <w:pPr>
              <w:spacing w:after="0" w:line="240" w:lineRule="auto"/>
            </w:pPr>
            <w:r/>
            <w:r>
              <w:rPr>
                <w:rFonts w:ascii="Times New Roman" w:hAnsi="Times New Roman" w:eastAsia="Times New Roman"/>
                <w:b w:val="0"/>
                <w:sz w:val="16"/>
              </w:rPr>
              <w:t>Will offer — substantive</w:t>
            </w:r>
          </w:p>
        </w:tc>
      </w:tr>
    </w:tbl>
    <w:p>
      <w:pPr>
        <w:pStyle w:val="Heading1"/>
        <w:keepNext/>
        <w:pageBreakBefore w:val="0"/>
      </w:pPr>
      <w:r>
        <w:t>SECTION 9. DEFENDANT’S EXHIBIT LIST</w:t>
      </w:r>
    </w:p>
    <w:p>
      <w:pPr>
        <w:spacing w:before="60" w:after="140"/>
        <w:ind w:left="259" w:right="259"/>
      </w:pPr>
      <w:r>
        <w:rPr>
          <w:i/>
          <w:sz w:val="18"/>
        </w:rPr>
        <w:t>DEFENDANT TO COMPLETE. No Defendant exhibit list was supplied. Defendant must use sequential DX-001 numbering and identify each exhibit, Bates range if applicable, substantive/impeachment use, and “will offer” or “may offer” designation. Plaintiff’s objections will be served/filed by September 1, 2025 under the Pretrial Order.</w:t>
      </w:r>
    </w:p>
    <w:p>
      <w:pPr>
        <w:pStyle w:val="Heading1"/>
        <w:keepNext/>
        <w:pageBreakBefore w:val="0"/>
      </w:pPr>
      <w:r>
        <w:t>SECTION 10. MOTIONS IN LIMINE</w:t>
      </w:r>
    </w:p>
    <w:p>
      <w:r>
        <w:rPr>
          <w:i w:val="0"/>
        </w:rPr>
        <w:t>Plaintiff anticipates filing the following separate motions in limine by August 25, 2025. Plaintiff’s positions on any opposing motions are unknown because no Defendant motions were provided; Plaintiff will state support/opposition in the filed joint statement or subsequent required response after receiving Defendant’s list.</w:t>
      </w:r>
    </w:p>
    <w:p>
      <w:pPr>
        <w:pStyle w:val="Heading3"/>
        <w:keepNext/>
      </w:pPr>
      <w:r>
        <w:t>A. Preclude relitigation of Count I liability and resolved defenses</w:t>
      </w:r>
    </w:p>
    <w:p>
      <w:pPr>
        <w:spacing w:after="60"/>
      </w:pPr>
      <w:r>
        <w:t>Plaintiff anticipates moving to preclude evidence or argument inviting the jury to reconsider Corbin’s MAPC-breach liability, waiver, or unclean hands. The Court conclusively decided Count I liability for Ridgeline and held waiver and unclean hands do not defeat liability; only damages remain. Authority: SJ Order §§ IV.A.2, IV.B, V; Fed. R. Civ. P. 56.</w:t>
      </w:r>
    </w:p>
    <w:p>
      <w:pPr>
        <w:spacing w:after="120"/>
        <w:ind w:left="259"/>
      </w:pPr>
      <w:r>
        <w:rPr>
          <w:b/>
        </w:rPr>
        <w:t xml:space="preserve">Plaintiff’s position: </w:t>
      </w:r>
      <w:r>
        <w:t>preclude such evidence and argument and request an instruction that liability is established. Defendant’s position is not supplied and should be completed after conferral.</w:t>
      </w:r>
    </w:p>
    <w:p>
      <w:pPr>
        <w:pStyle w:val="Heading3"/>
        <w:keepNext/>
      </w:pPr>
      <w:r>
        <w:t>B. Limit Holt’s opinions on distributor-transition timing and mitigation</w:t>
      </w:r>
    </w:p>
    <w:p>
      <w:pPr>
        <w:spacing w:after="60"/>
      </w:pPr>
      <w:r>
        <w:t>Plaintiff anticipates a targeted Rule 702 motion concerning Holt’s 60–90-day replacement-distributor standard and quantified avoidable loss. Holt admitted he is not a distribution-operations expert, has never operationally replaced a multi-state exclusive distributor, and has no empirical study for the 12-month/60–90-day standard; he also acknowledged that the search duration, once underway, was within a reasonable range. Authority: Fed. R. Evid. 702; Daubert v. Merrell Dow Pharms., Inc., 509 U.S. 579 (1993); Holt Dep. Tr. 42:7–58:14; Holt Report §§ VII.C, X.</w:t>
      </w:r>
    </w:p>
    <w:p>
      <w:pPr>
        <w:spacing w:after="120"/>
        <w:ind w:left="259"/>
      </w:pPr>
      <w:r>
        <w:rPr>
          <w:b/>
        </w:rPr>
        <w:t xml:space="preserve">Plaintiff’s position: </w:t>
      </w:r>
      <w:r>
        <w:t>exclude or limit unsupported assertions of an industry standard while permitting properly supported financial analysis. Defendant’s position is not supplied and should be completed after conferral.</w:t>
      </w:r>
    </w:p>
    <w:p>
      <w:pPr>
        <w:pStyle w:val="Heading3"/>
        <w:keepNext/>
      </w:pPr>
      <w:r>
        <w:t>C. Exclude or limit Holt’s generalized equipment residual-value opinion</w:t>
      </w:r>
    </w:p>
    <w:p>
      <w:pPr>
        <w:spacing w:after="60"/>
      </w:pPr>
      <w:r>
        <w:t>Plaintiff anticipates seeking to exclude or limit Holt’s opinion that custom-configured packaging equipment retained 40–60% of acquisition cost absent a case-specific appraisal, market evidence, or reliable evaluation of its configuration and re-use. Hausman testified that the equipment was incompatible with Ridgeline’s other lines and was written off. Authority: Fed. R. Evid. 702; Daubert, 509 U.S. 579; Holt Report § VII.D.3; Hausman Dep. Tr. 42:6–58:19.</w:t>
      </w:r>
    </w:p>
    <w:p>
      <w:pPr>
        <w:spacing w:after="120"/>
        <w:ind w:left="259"/>
      </w:pPr>
      <w:r>
        <w:rPr>
          <w:b/>
        </w:rPr>
        <w:t xml:space="preserve">Plaintiff’s position: </w:t>
      </w:r>
      <w:r>
        <w:t>exclude or limit the unsupported residual/salvage opinion. Defendant’s position is not supplied and should be completed after conferral.</w:t>
      </w:r>
    </w:p>
    <w:p>
      <w:pPr>
        <w:pStyle w:val="Heading3"/>
        <w:keepNext/>
      </w:pPr>
      <w:r>
        <w:t>D. Limit Holt from giving legal conclusions on duplicative damages</w:t>
      </w:r>
    </w:p>
    <w:p>
      <w:pPr>
        <w:spacing w:after="60"/>
      </w:pPr>
      <w:r>
        <w:t>Plaintiff anticipates moving to bar an accounting expert from instructing the jury that expectation and reliance damages are legally mutually exclusive or resolving the EDA’s legal effect. Holt acknowledged the legal permissibility of recovery on separate claims is for the Court and identified only a theoretical double-counting risk, without a cost-allocation analysis identifying a specific duplicate line item. Authority: Fed. R. Evid. 702; Holt Dep. Tr. 62:3–78:19; Restatement (Second) of Contracts § 349 cmt. a.</w:t>
      </w:r>
    </w:p>
    <w:p>
      <w:pPr>
        <w:spacing w:after="120"/>
        <w:ind w:left="259"/>
      </w:pPr>
      <w:r>
        <w:rPr>
          <w:b/>
        </w:rPr>
        <w:t xml:space="preserve">Plaintiff’s position: </w:t>
      </w:r>
      <w:r>
        <w:t>bar legal conclusions while permitting properly supported economic analysis. Defendant’s position is not supplied and should be completed after conferral.</w:t>
      </w:r>
    </w:p>
    <w:p>
      <w:pPr>
        <w:pStyle w:val="Heading3"/>
        <w:keepNext/>
      </w:pPr>
      <w:r>
        <w:t>E. Preclude unsupported force-majeure defense absent notice or proof of excuse</w:t>
      </w:r>
    </w:p>
    <w:p>
      <w:pPr>
        <w:spacing w:after="60"/>
      </w:pPr>
      <w:r>
        <w:t>Plaintiff anticipates moving to preclude Corbin from presenting force majeure absent competent evidence of compliance with EDA § 12.1(b) or a legally sufficient basis to excuse its notice condition. Corbin III could identify no notice and Rinaldi’s records search found none; general pandemic conditions alone do not establish contractual notice or causation of the MAPC shortfalls. Authority: EDA § 12.1; Corbin III Dep. Tr. 92:1–97:15; Rinaldi Dep. Tr. 78:2–81:14; SJ Order §§ IV.A.2, V.</w:t>
      </w:r>
    </w:p>
    <w:p>
      <w:pPr>
        <w:spacing w:after="120"/>
        <w:ind w:left="259"/>
      </w:pPr>
      <w:r>
        <w:rPr>
          <w:b/>
        </w:rPr>
        <w:t xml:space="preserve">Plaintiff’s position: </w:t>
      </w:r>
      <w:r>
        <w:t>preclude the defense absent a proffer addressing the Court’s stated reservation. Defendant’s position is not supplied and should be completed after conferral.</w:t>
      </w:r>
    </w:p>
    <w:p>
      <w:pPr>
        <w:pStyle w:val="Heading1"/>
        <w:keepNext/>
        <w:pageBreakBefore w:val="0"/>
      </w:pPr>
      <w:r>
        <w:t>SECTION 11. ESTIMATED TRIAL TIME</w:t>
      </w:r>
    </w:p>
    <w:p>
      <w:r>
        <w:rPr>
          <w:i w:val="0"/>
        </w:rPr>
        <w:t>Plaintiff’s good-faith estimate for its case-in-chief is approximately three (3) trial days, including direct examination and expected cross-examination of its witnesses, presentation of documentary evidence, and any necessary adverse-witness examinations. This estimate assumes approximately 2–3 hours for Hausman, 2–3 hours for Corbin III, 1.5–2 hours for Findlay, 1.5–2 hours for Rinaldi, and 2–3 hours for Prescott, plus examination of Holt if Plaintiff calls him. Plaintiff does not request additional time beyond the seven days already allotted.</w:t>
      </w:r>
    </w:p>
    <w:p>
      <w:r>
        <w:rPr>
          <w:i w:val="0"/>
        </w:rPr>
        <w:t>The Court has estimated seven (7) trial days total. Plaintiff’s proposed planning estimate is seven days inclusive of jury selection, openings, the parties’ cases, any rebuttal, closings, jury instructions, and deliberations; the final allocation should be completed jointly after Defendant provides its estimate. Defendant’s case-in-chief estimate: [to be supplied by Defendant]. The Court presently intends jury selection on the morning of September 15, 2025, and openings that afternoon. (Pretrial Order §§ I, III.K.)</w:t>
      </w:r>
    </w:p>
    <w:p>
      <w:pPr>
        <w:pStyle w:val="Heading1"/>
        <w:keepNext/>
        <w:pageBreakBefore w:val="0"/>
      </w:pPr>
      <w:r>
        <w:t>SECTION 12. SETTLEMENT STATUS</w:t>
      </w:r>
    </w:p>
    <w:p>
      <w:pPr>
        <w:spacing w:before="60" w:after="140"/>
        <w:ind w:left="259" w:right="259"/>
      </w:pPr>
      <w:r>
        <w:rPr>
          <w:i/>
          <w:sz w:val="18"/>
        </w:rPr>
        <w:t>COUNSEL COMPLETION REQUIRED. The supplied materials do not disclose whether settlement discussions have occurred, whether further discussions would be productive, or whether Plaintiff consents to a magistrate judge/private mediator settlement referral. Do not file this section with the bracketed selections unresolved.</w:t>
      </w:r>
    </w:p>
    <w:p>
      <w:r>
        <w:rPr>
          <w:i w:val="0"/>
        </w:rPr>
        <w:t>Plaintiff’s statement (to be completed in good faith by lead counsel): settlement discussions have [occurred / not occurred]. Plaintiff believes further settlement discussions would be [productive / not productive / uncertain]. Plaintiff [consents / does not consent / has no position] on referral to a magistrate judge or private mediator for a settlement conference. Defendant’s corresponding statement and the parties’ joint referral position: [to be supplied after conferral]. No specific offers or demands are included.</w:t>
      </w:r>
    </w:p>
    <w:p>
      <w:pPr>
        <w:spacing w:before="320"/>
      </w:pPr>
      <w:r>
        <w:rPr>
          <w:b/>
        </w:rPr>
        <w:t>Respectfully submitted,</w:t>
      </w:r>
    </w:p>
    <w:p>
      <w:pPr>
        <w:spacing w:before="100"/>
      </w:pPr>
      <w:r>
        <w:rPr>
          <w:sz w:val="20"/>
        </w:rPr>
        <w:t>HALDANE &amp; FITCH LLP</w:t>
        <w:br/>
        <w:br/>
        <w:t>By: ____________________________________</w:t>
        <w:br/>
        <w:t>Victoria Szabo, Esquire (PA Bar No. 78342)</w:t>
        <w:br/>
        <w:t>Brian Colavito, Esquire (PA Bar No. 112908)</w:t>
        <w:br/>
        <w:t>600 Grant Street, Suite 3100</w:t>
        <w:br/>
        <w:t>Pittsburgh, Pennsylvania 15219</w:t>
        <w:br/>
        <w:t>Counsel for Plaintiff Ridgeline Manufacturing, Inc.</w:t>
      </w:r>
    </w:p>
    <w:sectPr w:rsidR="00FC693F" w:rsidRPr="0006063C" w:rsidSect="00034616">
      <w:headerReference w:type="default" r:id="rId9"/>
      <w:footerReference w:type="default" r:id="rId10"/>
      <w:pgSz w:w="12240" w:h="15840"/>
      <w:pgMar w:top="1037" w:right="1181" w:bottom="1037"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PLAINTIFF’S PROPOSED PRETRIAL STATEMENT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6"/>
      </w:rPr>
      <w:t>RIDGELINE MANUFACTURING, INC. v. CORBIN SUPPLY GROUP, LLC  |  No. 2:23-cv-00417-KMG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Plaintiff Ridgeline Manufacturing, Inc.’s Pretrial Statement</dc:title>
  <dc:subject>Plaintiff’s proposed contribution to Joint Pretrial Statement</dc:subject>
  <dc:creator>Haldane &amp; Fitch LLP</dc:creator>
  <cp:keywords>Ridgeline; Corbin Supply; pretrial statement</cp:keywords>
  <dc:description>generated by python-docx</dc:description>
  <cp:lastModifiedBy/>
  <cp:revision>1</cp:revision>
  <dcterms:created xsi:type="dcterms:W3CDTF">2013-12-23T23:15:00Z</dcterms:created>
  <dcterms:modified xsi:type="dcterms:W3CDTF">2013-12-23T23:15:00Z</dcterms:modified>
  <cp:category/>
</cp:coreProperties>
</file>