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60"/>
      </w:pPr>
      <w:r>
        <w:rPr>
          <w:rFonts w:ascii="Arial" w:hAnsi="Arial"/>
          <w:b/>
          <w:color w:val="0F6B78"/>
          <w:sz w:val="24"/>
        </w:rPr>
        <w:t>TRIAL WITNESS EXAMINATION OUTLINE</w:t>
      </w:r>
    </w:p>
    <w:p>
      <w:pPr>
        <w:pStyle w:val="Title"/>
      </w:pPr>
      <w:r>
        <w:t>Marcus Elliston</w:t>
      </w:r>
    </w:p>
    <w:p>
      <w:pPr>
        <w:pStyle w:val="Subtitle"/>
      </w:pPr>
      <w:r>
        <w:t>Plaintiff’s fact witness  |  Direct examination, anticipated cross-examination &amp; redirect</w:t>
      </w:r>
    </w:p>
    <w:p>
      <w:pPr>
        <w:spacing w:before="100" w:after="280"/>
        <w:pBdr>
          <w:bottom w:val="single" w:sz="16" w:color="0F6B78"/>
        </w:pBdr>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320"/>
            <w:vAlign w:val="center"/>
            <w:shd w:fill="17365D"/>
          </w:tcPr>
          <w:p>
            <w:pPr>
              <w:pStyle w:val="TableText"/>
            </w:pPr>
            <w:r/>
            <w:r>
              <w:rPr>
                <w:b/>
                <w:color w:val="FFFFFF"/>
                <w:sz w:val="18"/>
              </w:rPr>
              <w:t>CASE</w:t>
            </w:r>
          </w:p>
        </w:tc>
        <w:tc>
          <w:tcPr>
            <w:tcW w:type="dxa" w:w="3888"/>
            <w:vAlign w:val="center"/>
            <w:shd w:fill="17365D"/>
          </w:tcPr>
          <w:p>
            <w:pPr>
              <w:pStyle w:val="TableText"/>
            </w:pPr>
            <w:r/>
            <w:r>
              <w:rPr>
                <w:b/>
                <w:color w:val="FFFFFF"/>
                <w:sz w:val="18"/>
              </w:rPr>
              <w:t>COURT / TRIAL</w:t>
            </w:r>
          </w:p>
        </w:tc>
        <w:tc>
          <w:tcPr>
            <w:tcW w:type="dxa" w:w="3600"/>
            <w:vAlign w:val="center"/>
            <w:shd w:fill="17365D"/>
          </w:tcPr>
          <w:p>
            <w:pPr>
              <w:pStyle w:val="TableText"/>
            </w:pPr>
            <w:r/>
            <w:r>
              <w:rPr>
                <w:b/>
                <w:color w:val="FFFFFF"/>
                <w:sz w:val="18"/>
              </w:rPr>
              <w:t>WITNESS</w:t>
            </w:r>
          </w:p>
        </w:tc>
      </w:tr>
      <w:tr>
        <w:tc>
          <w:tcPr>
            <w:tcW w:type="dxa" w:w="4320"/>
            <w:vAlign w:val="center"/>
            <w:shd w:fill="F3F6F9"/>
          </w:tcPr>
          <w:p>
            <w:pPr>
              <w:pStyle w:val="TableText"/>
            </w:pPr>
            <w:r/>
            <w:r>
              <w:rPr>
                <w:b w:val="0"/>
                <w:sz w:val="18"/>
              </w:rPr>
              <w:t>Ridgeline Manufacturing, Inc. v. Cascade Supply Group, LLC</w:t>
              <w:br/>
              <w:t>No. 2:24-cv-01847-PDR</w:t>
            </w:r>
          </w:p>
        </w:tc>
        <w:tc>
          <w:tcPr>
            <w:tcW w:type="dxa" w:w="3888"/>
            <w:vAlign w:val="center"/>
            <w:shd w:fill="F3F6F9"/>
          </w:tcPr>
          <w:p>
            <w:pPr>
              <w:pStyle w:val="TableText"/>
            </w:pPr>
            <w:r/>
            <w:r>
              <w:rPr>
                <w:b w:val="0"/>
                <w:sz w:val="18"/>
              </w:rPr>
              <w:t>U.S. District Court</w:t>
              <w:br/>
              <w:t>Western District of Pennsylvania</w:t>
              <w:br/>
              <w:t>Trial: October 14, 2025</w:t>
            </w:r>
          </w:p>
        </w:tc>
        <w:tc>
          <w:tcPr>
            <w:tcW w:type="dxa" w:w="3600"/>
            <w:vAlign w:val="center"/>
            <w:shd w:fill="F3F6F9"/>
          </w:tcPr>
          <w:p>
            <w:pPr>
              <w:pStyle w:val="TableText"/>
            </w:pPr>
            <w:r/>
            <w:r>
              <w:rPr>
                <w:b w:val="0"/>
                <w:sz w:val="18"/>
              </w:rPr>
              <w:t>Marcus Elliston</w:t>
              <w:br/>
              <w:t>Former VP, Sales Operations, Cascade</w:t>
              <w:br/>
              <w:t>Voluntary non-party witness</w:t>
            </w:r>
          </w:p>
        </w:tc>
      </w:tr>
    </w:tbl>
    <w:p>
      <w:pPr>
        <w:spacing w:after="0"/>
      </w:pPr>
    </w:p>
    <w:p>
      <w:pPr>
        <w:spacing w:after="280"/>
      </w:pPr>
      <w:r>
        <w:rPr>
          <w:i/>
          <w:color w:val="555555"/>
        </w:rPr>
        <w:t>Prepared from the pretrial evidentiary order, deposition excerpts, email chain, Q3 2023 spreadsheet, Exclusive Distribution Agreement, severance agreement, forensic accounting summary, and Cascade’s trial brief excerpt.</w:t>
      </w:r>
    </w:p>
    <w:tbl>
      <w:tblPr>
        <w:tblStyle w:val="TableGrid"/>
        <w:tblW w:type="auto" w:w="0"/>
        <w:tblLook w:firstColumn="1" w:firstRow="1" w:lastColumn="0" w:lastRow="0" w:noHBand="0" w:noVBand="1" w:val="04A0"/>
      </w:tblPr>
      <w:tblGrid>
        <w:gridCol w:w="10166"/>
      </w:tblGrid>
      <w:tr>
        <w:tc>
          <w:tcPr>
            <w:tcW w:type="dxa" w:w="10166"/>
            <w:shd w:fill="FCECC9"/>
          </w:tcPr>
          <w:p>
            <w:pPr>
              <w:pStyle w:val="TableText"/>
            </w:pPr>
            <w:r/>
            <w:r>
              <w:rPr>
                <w:b/>
                <w:color w:val="9C0006"/>
              </w:rPr>
              <w:t xml:space="preserve">COUNSEL NOTE: </w:t>
            </w:r>
            <w:r>
              <w:t>Counsel working outline—not a verbatim script. Confirm the witness’s current recollection and the final exhibit set. Questions are designed to remain within the Court’s rulings and should be adapted to the testimony actually given.</w:t>
            </w:r>
          </w:p>
        </w:tc>
      </w:tr>
    </w:tbl>
    <w:p>
      <w:pPr>
        <w:spacing w:after="0"/>
      </w:pPr>
    </w:p>
    <w:p>
      <w:pPr>
        <w:pStyle w:val="Heading1"/>
        <w:keepNext/>
      </w:pPr>
      <w:r>
        <w:t>Examination goals</w:t>
      </w:r>
    </w:p>
    <w:p>
      <w:pPr>
        <w:pStyle w:val="ListBullet"/>
        <w:spacing w:after="40"/>
        <w:ind w:left="317" w:hanging="187"/>
      </w:pPr>
      <w:r>
        <w:t>Establish Elliston’s firsthand operational role and how he identified the Q3 2023 shipment/sales mismatch while doing routine sales-operations work.</w:t>
      </w:r>
    </w:p>
    <w:p>
      <w:pPr>
        <w:pStyle w:val="ListBullet"/>
        <w:spacing w:after="40"/>
        <w:ind w:left="317" w:hanging="187"/>
      </w:pPr>
      <w:r>
        <w:t>Authenticate his contemporaneous spreadsheet and establish only what he personally saw in SAP: MidAmerican POs, ship-to destinations, account fields, and the SAP user ID recorded for account creation.</w:t>
      </w:r>
    </w:p>
    <w:p>
      <w:pPr>
        <w:pStyle w:val="ListBullet"/>
        <w:spacing w:after="40"/>
        <w:ind w:left="317" w:hanging="187"/>
      </w:pPr>
      <w:r>
        <w:t>Show that he reported concerns up Cascade’s chain of command, received the full responsive communications, and was told by General Counsel to stop inquiries.</w:t>
      </w:r>
    </w:p>
    <w:p>
      <w:pPr>
        <w:pStyle w:val="ListBullet"/>
        <w:spacing w:after="40"/>
        <w:ind w:left="317" w:hanging="187"/>
      </w:pPr>
      <w:r>
        <w:t>Present the termination circumstances for the limited purposes of consciousness of guilt and credibility—not as an independent wrongful-termination or retaliation claim.</w:t>
      </w:r>
    </w:p>
    <w:p>
      <w:pPr>
        <w:pStyle w:val="ListBullet"/>
        <w:spacing w:after="40"/>
        <w:ind w:left="317" w:hanging="187"/>
      </w:pPr>
      <w:r>
        <w:t>Confront foreseeable credibility points candidly; preserve the line between lay observations and Kowalski’s expert financial analysis.</w:t>
      </w:r>
    </w:p>
    <w:p>
      <w:pPr>
        <w:pStyle w:val="Heading1"/>
        <w:keepNext/>
      </w:pPr>
      <w:r>
        <w:t>1. Governing pretrial rulings and hard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shd w:fill="17365D"/>
          </w:tcPr>
          <w:p>
            <w:pPr>
              <w:pStyle w:val="TableText"/>
            </w:pPr>
            <w:r/>
            <w:r>
              <w:rPr>
                <w:b/>
                <w:color w:val="FFFFFF"/>
                <w:sz w:val="16"/>
              </w:rPr>
              <w:t>Topic</w:t>
            </w:r>
          </w:p>
        </w:tc>
        <w:tc>
          <w:tcPr>
            <w:tcW w:type="dxa" w:w="5112"/>
            <w:vAlign w:val="center"/>
            <w:shd w:fill="17365D"/>
          </w:tcPr>
          <w:p>
            <w:pPr>
              <w:pStyle w:val="TableText"/>
            </w:pPr>
            <w:r/>
            <w:r>
              <w:rPr>
                <w:b/>
                <w:color w:val="FFFFFF"/>
                <w:sz w:val="16"/>
              </w:rPr>
              <w:t>What may be elicited / admitted</w:t>
            </w:r>
          </w:p>
        </w:tc>
        <w:tc>
          <w:tcPr>
            <w:tcW w:type="dxa" w:w="5040"/>
            <w:vAlign w:val="center"/>
            <w:shd w:fill="17365D"/>
          </w:tcPr>
          <w:p>
            <w:pPr>
              <w:pStyle w:val="TableText"/>
            </w:pPr>
            <w:r/>
            <w:r>
              <w:rPr>
                <w:b/>
                <w:color w:val="FFFFFF"/>
                <w:sz w:val="16"/>
              </w:rPr>
              <w:t>Limit / trial action</w:t>
            </w:r>
          </w:p>
        </w:tc>
      </w:tr>
      <w:tr>
        <w:tc>
          <w:tcPr>
            <w:tcW w:type="dxa" w:w="1656"/>
            <w:vAlign w:val="center"/>
            <w:shd w:fill="F3F6F9"/>
          </w:tcPr>
          <w:p>
            <w:pPr>
              <w:pStyle w:val="TableText"/>
            </w:pPr>
            <w:r/>
            <w:r>
              <w:rPr>
                <w:b w:val="0"/>
                <w:sz w:val="16"/>
              </w:rPr>
              <w:t>Email chains</w:t>
            </w:r>
          </w:p>
        </w:tc>
        <w:tc>
          <w:tcPr>
            <w:tcW w:type="dxa" w:w="5112"/>
            <w:vAlign w:val="center"/>
            <w:shd w:fill="F3F6F9"/>
          </w:tcPr>
          <w:p>
            <w:pPr>
              <w:pStyle w:val="TableText"/>
            </w:pPr>
            <w:r/>
            <w:r>
              <w:rPr>
                <w:b w:val="0"/>
                <w:sz w:val="16"/>
              </w:rPr>
              <w:t>All three Elliston email chains and responsive Voss, Trimble, and Greer communications are admissible under FRE 801(d)(2); complete context is required under FRE 106.</w:t>
            </w:r>
          </w:p>
        </w:tc>
        <w:tc>
          <w:tcPr>
            <w:tcW w:type="dxa" w:w="5040"/>
            <w:vAlign w:val="center"/>
            <w:shd w:fill="F3F6F9"/>
          </w:tcPr>
          <w:p>
            <w:pPr>
              <w:pStyle w:val="TableText"/>
            </w:pPr>
            <w:r/>
            <w:r>
              <w:rPr>
                <w:b w:val="0"/>
                <w:sz w:val="16"/>
              </w:rPr>
              <w:t>If any portion is introduced, offer the entire chain at the same time. Do not publish isolated quotes or excerpts.</w:t>
            </w:r>
          </w:p>
        </w:tc>
      </w:tr>
      <w:tr>
        <w:tc>
          <w:tcPr>
            <w:tcW w:type="dxa" w:w="1656"/>
            <w:vAlign w:val="center"/>
          </w:tcPr>
          <w:p>
            <w:pPr>
              <w:pStyle w:val="TableText"/>
            </w:pPr>
            <w:r/>
            <w:r>
              <w:rPr>
                <w:b w:val="0"/>
                <w:sz w:val="16"/>
              </w:rPr>
              <w:t>Termination statement</w:t>
            </w:r>
          </w:p>
        </w:tc>
        <w:tc>
          <w:tcPr>
            <w:tcW w:type="dxa" w:w="5112"/>
            <w:vAlign w:val="center"/>
          </w:tcPr>
          <w:p>
            <w:pPr>
              <w:pStyle w:val="TableText"/>
            </w:pPr>
            <w:r/>
            <w:r>
              <w:rPr>
                <w:b w:val="0"/>
                <w:sz w:val="16"/>
              </w:rPr>
              <w:t>After foundation (date, attendees, purpose, Voss’s role), Elliston may recount Voss’s statement: “Marcus, this is a business decision, nothing personal.”</w:t>
            </w:r>
          </w:p>
        </w:tc>
        <w:tc>
          <w:tcPr>
            <w:tcW w:type="dxa" w:w="5040"/>
            <w:vAlign w:val="center"/>
          </w:tcPr>
          <w:p>
            <w:pPr>
              <w:pStyle w:val="TableText"/>
            </w:pPr>
            <w:r/>
            <w:r>
              <w:rPr>
                <w:b w:val="0"/>
                <w:sz w:val="16"/>
              </w:rPr>
              <w:t>No independent retaliation/wrongful-termination argument. Purpose is consciousness of guilt / credibility.</w:t>
            </w:r>
          </w:p>
        </w:tc>
      </w:tr>
      <w:tr>
        <w:tc>
          <w:tcPr>
            <w:tcW w:type="dxa" w:w="1656"/>
            <w:vAlign w:val="center"/>
            <w:shd w:fill="F3F6F9"/>
          </w:tcPr>
          <w:p>
            <w:pPr>
              <w:pStyle w:val="TableText"/>
            </w:pPr>
            <w:r/>
            <w:r>
              <w:rPr>
                <w:b w:val="0"/>
                <w:sz w:val="16"/>
              </w:rPr>
              <w:t>Spreadsheet</w:t>
            </w:r>
          </w:p>
        </w:tc>
        <w:tc>
          <w:tcPr>
            <w:tcW w:type="dxa" w:w="5112"/>
            <w:vAlign w:val="center"/>
            <w:shd w:fill="F3F6F9"/>
          </w:tcPr>
          <w:p>
            <w:pPr>
              <w:pStyle w:val="TableText"/>
            </w:pPr>
            <w:r/>
            <w:r>
              <w:rPr>
                <w:b w:val="0"/>
                <w:sz w:val="16"/>
              </w:rPr>
              <w:t>Admissible if Elliston authenticates it under FRE 901(a): creator, SAP source, recognition, and substantially same condition.</w:t>
            </w:r>
          </w:p>
        </w:tc>
        <w:tc>
          <w:tcPr>
            <w:tcW w:type="dxa" w:w="5040"/>
            <w:vAlign w:val="center"/>
            <w:shd w:fill="F3F6F9"/>
          </w:tcPr>
          <w:p>
            <w:pPr>
              <w:pStyle w:val="TableText"/>
            </w:pPr>
            <w:r/>
            <w:r>
              <w:rPr>
                <w:b w:val="0"/>
                <w:sz w:val="16"/>
              </w:rPr>
              <w:t>Lay foundation before publishing. Cascade may renew objection if authentication is inadequate.</w:t>
            </w:r>
          </w:p>
        </w:tc>
      </w:tr>
      <w:tr>
        <w:tc>
          <w:tcPr>
            <w:tcW w:type="dxa" w:w="1656"/>
            <w:vAlign w:val="center"/>
          </w:tcPr>
          <w:p>
            <w:pPr>
              <w:pStyle w:val="TableText"/>
            </w:pPr>
            <w:r/>
            <w:r>
              <w:rPr>
                <w:b w:val="0"/>
                <w:sz w:val="16"/>
              </w:rPr>
              <w:t>Severance</w:t>
            </w:r>
          </w:p>
        </w:tc>
        <w:tc>
          <w:tcPr>
            <w:tcW w:type="dxa" w:w="5112"/>
            <w:vAlign w:val="center"/>
          </w:tcPr>
          <w:p>
            <w:pPr>
              <w:pStyle w:val="TableText"/>
            </w:pPr>
            <w:r/>
            <w:r>
              <w:rPr>
                <w:b w:val="0"/>
                <w:sz w:val="16"/>
              </w:rPr>
              <w:t>Admissible only to show timeline and circumstances of Elliston’s departure; limiting instruction required.</w:t>
            </w:r>
          </w:p>
        </w:tc>
        <w:tc>
          <w:tcPr>
            <w:tcW w:type="dxa" w:w="5040"/>
            <w:vAlign w:val="center"/>
          </w:tcPr>
          <w:p>
            <w:pPr>
              <w:pStyle w:val="TableText"/>
            </w:pPr>
            <w:r/>
            <w:r>
              <w:rPr>
                <w:b w:val="0"/>
                <w:sz w:val="16"/>
              </w:rPr>
              <w:t>Do not use existence/payment/release as proof any claim is or is not established. Court says testimony carve-out permits this voluntary testimony.</w:t>
            </w:r>
          </w:p>
        </w:tc>
      </w:tr>
      <w:tr>
        <w:tc>
          <w:tcPr>
            <w:tcW w:type="dxa" w:w="1656"/>
            <w:vAlign w:val="center"/>
            <w:shd w:fill="F3F6F9"/>
          </w:tcPr>
          <w:p>
            <w:pPr>
              <w:pStyle w:val="TableText"/>
            </w:pPr>
            <w:r/>
            <w:r>
              <w:rPr>
                <w:b w:val="0"/>
                <w:sz w:val="16"/>
              </w:rPr>
              <w:t>Lay testimony / damages</w:t>
            </w:r>
          </w:p>
        </w:tc>
        <w:tc>
          <w:tcPr>
            <w:tcW w:type="dxa" w:w="5112"/>
            <w:vAlign w:val="center"/>
            <w:shd w:fill="F3F6F9"/>
          </w:tcPr>
          <w:p>
            <w:pPr>
              <w:pStyle w:val="TableText"/>
            </w:pPr>
            <w:r/>
            <w:r>
              <w:rPr>
                <w:b w:val="0"/>
                <w:sz w:val="16"/>
              </w:rPr>
              <w:t>May describe personal observations: Q3 4,217 shipped / 3,104 reported / 1,113 gap; MidAmerican POs; recorded “DVOSS01”; his SAP ID knowledge; no returns/warranty/inventory adjustments explaining the gap; approximate $1,271.34 unit resale price from his pricing work.</w:t>
            </w:r>
          </w:p>
        </w:tc>
        <w:tc>
          <w:tcPr>
            <w:tcW w:type="dxa" w:w="5040"/>
            <w:vAlign w:val="center"/>
            <w:shd w:fill="F3F6F9"/>
          </w:tcPr>
          <w:p>
            <w:pPr>
              <w:pStyle w:val="TableText"/>
            </w:pPr>
            <w:r/>
            <w:r>
              <w:rPr>
                <w:b w:val="0"/>
                <w:sz w:val="16"/>
              </w:rPr>
              <w:t>No aggregate diverted revenue, unpaid royalties, total damages, overall business impact, or MidAmerican bank-record characterization. Leave forensic calculations to Lisa Kowalski.</w:t>
            </w:r>
          </w:p>
        </w:tc>
      </w:tr>
      <w:tr>
        <w:tc>
          <w:tcPr>
            <w:tcW w:type="dxa" w:w="1656"/>
            <w:vAlign w:val="center"/>
          </w:tcPr>
          <w:p>
            <w:pPr>
              <w:pStyle w:val="TableText"/>
            </w:pPr>
            <w:r/>
            <w:r>
              <w:rPr>
                <w:b w:val="0"/>
                <w:sz w:val="16"/>
              </w:rPr>
              <w:t>USB / bias</w:t>
            </w:r>
          </w:p>
        </w:tc>
        <w:tc>
          <w:tcPr>
            <w:tcW w:type="dxa" w:w="5112"/>
            <w:vAlign w:val="center"/>
          </w:tcPr>
          <w:p>
            <w:pPr>
              <w:pStyle w:val="TableText"/>
            </w:pPr>
            <w:r/>
            <w:r>
              <w:rPr>
                <w:b w:val="0"/>
                <w:sz w:val="16"/>
              </w:rPr>
              <w:t>Both sides may address November 20 USB copying; commission dispute may be addressed on direct or redirect.</w:t>
            </w:r>
          </w:p>
        </w:tc>
        <w:tc>
          <w:tcPr>
            <w:tcW w:type="dxa" w:w="5040"/>
            <w:vAlign w:val="center"/>
          </w:tcPr>
          <w:p>
            <w:pPr>
              <w:pStyle w:val="TableText"/>
            </w:pPr>
            <w:r/>
            <w:r>
              <w:rPr>
                <w:b w:val="0"/>
                <w:sz w:val="16"/>
              </w:rPr>
              <w:t>Keep USB questions focused on relevant facts; avoid collateral IT-policy litigation. Do not try to preempt or litigate every impeachment point.</w:t>
            </w:r>
          </w:p>
        </w:tc>
      </w:tr>
      <w:tr>
        <w:tc>
          <w:tcPr>
            <w:tcW w:type="dxa" w:w="1656"/>
            <w:vAlign w:val="center"/>
            <w:shd w:fill="F3F6F9"/>
          </w:tcPr>
          <w:p>
            <w:pPr>
              <w:pStyle w:val="TableText"/>
            </w:pPr>
            <w:r/>
            <w:r>
              <w:rPr>
                <w:b w:val="0"/>
                <w:sz w:val="16"/>
              </w:rPr>
              <w:t>Deposition impeachment</w:t>
            </w:r>
          </w:p>
        </w:tc>
        <w:tc>
          <w:tcPr>
            <w:tcW w:type="dxa" w:w="5112"/>
            <w:vAlign w:val="center"/>
            <w:shd w:fill="F3F6F9"/>
          </w:tcPr>
          <w:p>
            <w:pPr>
              <w:pStyle w:val="TableText"/>
            </w:pPr>
            <w:r/>
            <w:r>
              <w:rPr>
                <w:b w:val="0"/>
                <w:sz w:val="16"/>
              </w:rPr>
              <w:t>Prior inconsistent deposition statements may be used for impeachment with page-and-line foundation.</w:t>
            </w:r>
          </w:p>
        </w:tc>
        <w:tc>
          <w:tcPr>
            <w:tcW w:type="dxa" w:w="5040"/>
            <w:vAlign w:val="center"/>
            <w:shd w:fill="F3F6F9"/>
          </w:tcPr>
          <w:p>
            <w:pPr>
              <w:pStyle w:val="TableText"/>
            </w:pPr>
            <w:r/>
            <w:r>
              <w:rPr>
                <w:b w:val="0"/>
                <w:sz w:val="16"/>
              </w:rPr>
              <w:t>Use specific page and line; address the actual statement and allow explanation. Do not misstate approximation as a different exact figure.</w:t>
            </w:r>
          </w:p>
        </w:tc>
      </w:tr>
    </w:tbl>
    <w:p>
      <w:pPr>
        <w:spacing w:after="0"/>
      </w:pPr>
    </w:p>
    <w:p>
      <w:pPr>
        <w:pStyle w:val="Heading1"/>
        <w:keepNext/>
      </w:pPr>
      <w:r>
        <w:t>2. Exhibit and foundation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shd w:fill="17365D"/>
          </w:tcPr>
          <w:p>
            <w:pPr>
              <w:pStyle w:val="TableText"/>
            </w:pPr>
            <w:r/>
            <w:r>
              <w:rPr>
                <w:b/>
                <w:color w:val="FFFFFF"/>
                <w:sz w:val="15"/>
              </w:rPr>
              <w:t>Proposed exhibit / record</w:t>
            </w:r>
          </w:p>
        </w:tc>
        <w:tc>
          <w:tcPr>
            <w:tcW w:type="dxa" w:w="4536"/>
            <w:vAlign w:val="center"/>
            <w:shd w:fill="17365D"/>
          </w:tcPr>
          <w:p>
            <w:pPr>
              <w:pStyle w:val="TableText"/>
            </w:pPr>
            <w:r/>
            <w:r>
              <w:rPr>
                <w:b/>
                <w:color w:val="FFFFFF"/>
                <w:sz w:val="15"/>
              </w:rPr>
              <w:t>Foundation through Elliston</w:t>
            </w:r>
          </w:p>
        </w:tc>
        <w:tc>
          <w:tcPr>
            <w:tcW w:type="dxa" w:w="4824"/>
            <w:vAlign w:val="center"/>
            <w:shd w:fill="17365D"/>
          </w:tcPr>
          <w:p>
            <w:pPr>
              <w:pStyle w:val="TableText"/>
            </w:pPr>
            <w:r/>
            <w:r>
              <w:rPr>
                <w:b/>
                <w:color w:val="FFFFFF"/>
                <w:sz w:val="15"/>
              </w:rPr>
              <w:t>Admissibility / caution</w:t>
            </w:r>
          </w:p>
        </w:tc>
      </w:tr>
      <w:tr>
        <w:tc>
          <w:tcPr>
            <w:tcW w:type="dxa" w:w="2448"/>
            <w:vAlign w:val="center"/>
            <w:shd w:fill="F3F6F9"/>
          </w:tcPr>
          <w:p>
            <w:pPr>
              <w:pStyle w:val="TableText"/>
            </w:pPr>
            <w:r/>
            <w:r>
              <w:rPr>
                <w:b w:val="0"/>
                <w:sz w:val="15"/>
              </w:rPr>
              <w:t>EDA (March 15, 2019)</w:t>
            </w:r>
          </w:p>
        </w:tc>
        <w:tc>
          <w:tcPr>
            <w:tcW w:type="dxa" w:w="4536"/>
            <w:vAlign w:val="center"/>
            <w:shd w:fill="F3F6F9"/>
          </w:tcPr>
          <w:p>
            <w:pPr>
              <w:pStyle w:val="TableText"/>
            </w:pPr>
            <w:r/>
            <w:r>
              <w:rPr>
                <w:b w:val="0"/>
                <w:sz w:val="15"/>
              </w:rPr>
              <w:t>Recognizes agreement; participated in administration; explain operational responsibility for sales/royalty reporting and authorized sub-distributor list.</w:t>
            </w:r>
          </w:p>
        </w:tc>
        <w:tc>
          <w:tcPr>
            <w:tcW w:type="dxa" w:w="4824"/>
            <w:vAlign w:val="center"/>
            <w:shd w:fill="F3F6F9"/>
          </w:tcPr>
          <w:p>
            <w:pPr>
              <w:pStyle w:val="TableText"/>
            </w:pPr>
            <w:r/>
            <w:r>
              <w:rPr>
                <w:b w:val="0"/>
                <w:sz w:val="15"/>
              </w:rPr>
              <w:t>Use for context, not a request for legal interpretation. Focus on Section 5 reporting/4.5% and Section 7.3 approval process only as needed.</w:t>
            </w:r>
          </w:p>
        </w:tc>
      </w:tr>
      <w:tr>
        <w:tc>
          <w:tcPr>
            <w:tcW w:type="dxa" w:w="2448"/>
            <w:vAlign w:val="center"/>
          </w:tcPr>
          <w:p>
            <w:pPr>
              <w:pStyle w:val="TableText"/>
            </w:pPr>
            <w:r/>
            <w:r>
              <w:rPr>
                <w:b w:val="0"/>
                <w:sz w:val="15"/>
              </w:rPr>
              <w:t>Q3 2023 Unit Discrepancy Analysis spreadsheet</w:t>
            </w:r>
          </w:p>
        </w:tc>
        <w:tc>
          <w:tcPr>
            <w:tcW w:type="dxa" w:w="4536"/>
            <w:vAlign w:val="center"/>
          </w:tcPr>
          <w:p>
            <w:pPr>
              <w:pStyle w:val="TableText"/>
            </w:pPr>
            <w:r/>
            <w:r>
              <w:rPr>
                <w:b w:val="0"/>
                <w:sz w:val="15"/>
              </w:rPr>
              <w:t>Creator; made late Sept. 2023; SAP shipment &amp; sales data exported to Excel; tabs and what they show; attached to Sept. 28 email; recognizes it; copy is substantially the same as created/emailed version.</w:t>
            </w:r>
          </w:p>
        </w:tc>
        <w:tc>
          <w:tcPr>
            <w:tcW w:type="dxa" w:w="4824"/>
            <w:vAlign w:val="center"/>
          </w:tcPr>
          <w:p>
            <w:pPr>
              <w:pStyle w:val="TableText"/>
            </w:pPr>
            <w:r/>
            <w:r>
              <w:rPr>
                <w:b w:val="0"/>
                <w:sz w:val="15"/>
              </w:rPr>
              <w:t>FRE 901 foundation first. Deal directly with Sep. 22 metadata and “last week” chronology. Do not elicit spreadsheet’s damages/royalty calculations.</w:t>
            </w:r>
          </w:p>
        </w:tc>
      </w:tr>
      <w:tr>
        <w:tc>
          <w:tcPr>
            <w:tcW w:type="dxa" w:w="2448"/>
            <w:vAlign w:val="center"/>
            <w:shd w:fill="F3F6F9"/>
          </w:tcPr>
          <w:p>
            <w:pPr>
              <w:pStyle w:val="TableText"/>
            </w:pPr>
            <w:r/>
            <w:r>
              <w:rPr>
                <w:b w:val="0"/>
                <w:sz w:val="15"/>
              </w:rPr>
              <w:t>Complete compiled email chain (CASCADE_EMAIL_003847–003859)</w:t>
            </w:r>
          </w:p>
        </w:tc>
        <w:tc>
          <w:tcPr>
            <w:tcW w:type="dxa" w:w="4536"/>
            <w:vAlign w:val="center"/>
            <w:shd w:fill="F3F6F9"/>
          </w:tcPr>
          <w:p>
            <w:pPr>
              <w:pStyle w:val="TableText"/>
            </w:pPr>
            <w:r/>
            <w:r>
              <w:rPr>
                <w:b w:val="0"/>
                <w:sz w:val="15"/>
              </w:rPr>
              <w:t>Recognize own sent emails, recipients, dates, and received responses; establish Voss/Trimble/Greer roles and contexts.</w:t>
            </w:r>
          </w:p>
        </w:tc>
        <w:tc>
          <w:tcPr>
            <w:tcW w:type="dxa" w:w="4824"/>
            <w:vAlign w:val="center"/>
            <w:shd w:fill="F3F6F9"/>
          </w:tcPr>
          <w:p>
            <w:pPr>
              <w:pStyle w:val="TableText"/>
            </w:pPr>
            <w:r/>
            <w:r>
              <w:rPr>
                <w:b w:val="0"/>
                <w:sz w:val="15"/>
              </w:rPr>
              <w:t>Offer the entire compiled chain, with every response and Greer memo; the produced compilation is reverse chronological. Completeness order applies to both sides.</w:t>
            </w:r>
          </w:p>
        </w:tc>
      </w:tr>
      <w:tr>
        <w:tc>
          <w:tcPr>
            <w:tcW w:type="dxa" w:w="2448"/>
            <w:vAlign w:val="center"/>
          </w:tcPr>
          <w:p>
            <w:pPr>
              <w:pStyle w:val="TableText"/>
            </w:pPr>
            <w:r/>
            <w:r>
              <w:rPr>
                <w:b w:val="0"/>
                <w:sz w:val="15"/>
              </w:rPr>
              <w:t>MidAmerican SAP/customer/PO records, if separately offered</w:t>
            </w:r>
          </w:p>
        </w:tc>
        <w:tc>
          <w:tcPr>
            <w:tcW w:type="dxa" w:w="4536"/>
            <w:vAlign w:val="center"/>
          </w:tcPr>
          <w:p>
            <w:pPr>
              <w:pStyle w:val="TableText"/>
            </w:pPr>
            <w:r/>
            <w:r>
              <w:rPr>
                <w:b w:val="0"/>
                <w:sz w:val="15"/>
              </w:rPr>
              <w:t>Identify system, his daily use, fields he personally inspected, customer account, creation date, user ID, PO bill-to/ship-to fields, destinations, approved-list comparison.</w:t>
            </w:r>
          </w:p>
        </w:tc>
        <w:tc>
          <w:tcPr>
            <w:tcW w:type="dxa" w:w="4824"/>
            <w:vAlign w:val="center"/>
          </w:tcPr>
          <w:p>
            <w:pPr>
              <w:pStyle w:val="TableText"/>
            </w:pPr>
            <w:r/>
            <w:r>
              <w:rPr>
                <w:b w:val="0"/>
                <w:sz w:val="15"/>
              </w:rPr>
              <w:t>Distinguish his observations from forensic extraction/report conclusions. Do not claim the login proves the physical person at the keyboard or testify to bank records.</w:t>
            </w:r>
          </w:p>
        </w:tc>
      </w:tr>
      <w:tr>
        <w:tc>
          <w:tcPr>
            <w:tcW w:type="dxa" w:w="2448"/>
            <w:vAlign w:val="center"/>
            <w:shd w:fill="F3F6F9"/>
          </w:tcPr>
          <w:p>
            <w:pPr>
              <w:pStyle w:val="TableText"/>
            </w:pPr>
            <w:r/>
            <w:r>
              <w:rPr>
                <w:b w:val="0"/>
                <w:sz w:val="15"/>
              </w:rPr>
              <w:t>Severance agreement (Jan. 19, 2024)</w:t>
            </w:r>
          </w:p>
        </w:tc>
        <w:tc>
          <w:tcPr>
            <w:tcW w:type="dxa" w:w="4536"/>
            <w:vAlign w:val="center"/>
            <w:shd w:fill="F3F6F9"/>
          </w:tcPr>
          <w:p>
            <w:pPr>
              <w:pStyle w:val="TableText"/>
            </w:pPr>
            <w:r/>
            <w:r>
              <w:rPr>
                <w:b w:val="0"/>
                <w:sz w:val="15"/>
              </w:rPr>
              <w:t>Identify date, signature, separation date and severance terms only as relevant to departure sequence.</w:t>
            </w:r>
          </w:p>
        </w:tc>
        <w:tc>
          <w:tcPr>
            <w:tcW w:type="dxa" w:w="4824"/>
            <w:vAlign w:val="center"/>
            <w:shd w:fill="F3F6F9"/>
          </w:tcPr>
          <w:p>
            <w:pPr>
              <w:pStyle w:val="TableText"/>
            </w:pPr>
            <w:r/>
            <w:r>
              <w:rPr>
                <w:b w:val="0"/>
                <w:sz w:val="15"/>
              </w:rPr>
              <w:t>Offer with the Court’s limiting instruction. Avoid using general-release language as evidence of acceptance of Cascade’s explanation.</w:t>
            </w:r>
          </w:p>
        </w:tc>
      </w:tr>
      <w:tr>
        <w:tc>
          <w:tcPr>
            <w:tcW w:type="dxa" w:w="2448"/>
            <w:vAlign w:val="center"/>
          </w:tcPr>
          <w:p>
            <w:pPr>
              <w:pStyle w:val="TableText"/>
            </w:pPr>
            <w:r/>
            <w:r>
              <w:rPr>
                <w:b w:val="0"/>
                <w:sz w:val="15"/>
              </w:rPr>
              <w:t>Keyworth Savings Bank records</w:t>
            </w:r>
          </w:p>
        </w:tc>
        <w:tc>
          <w:tcPr>
            <w:tcW w:type="dxa" w:w="4536"/>
            <w:vAlign w:val="center"/>
          </w:tcPr>
          <w:p>
            <w:pPr>
              <w:pStyle w:val="TableText"/>
            </w:pPr>
            <w:r/>
            <w:r>
              <w:rPr>
                <w:b w:val="0"/>
                <w:sz w:val="15"/>
              </w:rPr>
              <w:t>No Elliston foundation.</w:t>
            </w:r>
          </w:p>
        </w:tc>
        <w:tc>
          <w:tcPr>
            <w:tcW w:type="dxa" w:w="4824"/>
            <w:vAlign w:val="center"/>
          </w:tcPr>
          <w:p>
            <w:pPr>
              <w:pStyle w:val="TableText"/>
            </w:pPr>
            <w:r/>
            <w:r>
              <w:rPr>
                <w:b w:val="0"/>
                <w:sz w:val="15"/>
              </w:rPr>
              <w:t>Use Rule 902(11) custodian certification or live bank-custodian testimony; Kowalski may analyze. Elliston did not personally review these records.</w:t>
            </w:r>
          </w:p>
        </w:tc>
      </w:tr>
    </w:tbl>
    <w:p>
      <w:pPr>
        <w:spacing w:after="0"/>
      </w:pPr>
    </w:p>
    <w:p>
      <w:pPr>
        <w:pStyle w:val="Heading1"/>
        <w:keepNext/>
      </w:pPr>
      <w:r>
        <w:t>3. Plaintiff’s direct examination</w:t>
      </w:r>
    </w:p>
    <w:p>
      <w:pPr>
        <w:spacing w:after="60"/>
      </w:pPr>
      <w:r>
        <w:rPr>
          <w:i/>
          <w:color w:val="555555"/>
        </w:rPr>
        <w:t>Suggested sequence follows the factual chronology. Bracketed notes are counsel cues, not questions for the jury.</w:t>
      </w:r>
    </w:p>
    <w:p>
      <w:pPr>
        <w:pStyle w:val="Heading2"/>
        <w:keepNext/>
      </w:pPr>
      <w:r>
        <w:t>A. Identity, employment, and role</w:t>
      </w:r>
    </w:p>
    <w:p>
      <w:pPr>
        <w:spacing w:after="80"/>
      </w:pPr>
      <w:r>
        <w:rPr>
          <w:b/>
          <w:color w:val="0F6B78"/>
        </w:rPr>
        <w:t xml:space="preserve">Purpose: </w:t>
      </w:r>
      <w:r>
        <w:t>Make clear why this witness routinely accessed the relevant sales, shipment, customer, and royalty-reporting information.</w:t>
      </w:r>
    </w:p>
    <w:p>
      <w:pPr>
        <w:spacing w:after="40"/>
        <w:ind w:left="230" w:hanging="230"/>
      </w:pPr>
      <w:r>
        <w:rPr>
          <w:b/>
          <w:color w:val="1F4E79"/>
        </w:rPr>
        <w:t xml:space="preserve">Q. </w:t>
      </w:r>
      <w:r>
        <w:t>Please state your name and current position.</w:t>
      </w:r>
    </w:p>
    <w:p>
      <w:pPr>
        <w:spacing w:after="40"/>
        <w:ind w:left="230" w:hanging="230"/>
      </w:pPr>
      <w:r>
        <w:rPr>
          <w:b/>
          <w:color w:val="1F4E79"/>
        </w:rPr>
        <w:t xml:space="preserve">Q. </w:t>
      </w:r>
      <w:r>
        <w:t>Where are you employed, and what is your role there?</w:t>
      </w:r>
    </w:p>
    <w:p>
      <w:pPr>
        <w:spacing w:after="40"/>
        <w:ind w:left="230" w:hanging="230"/>
      </w:pPr>
      <w:r>
        <w:rPr>
          <w:b/>
          <w:color w:val="1F4E79"/>
        </w:rPr>
        <w:t xml:space="preserve">Q. </w:t>
      </w:r>
      <w:r>
        <w:t>Were you employed by Cascade Supply Group? When did you work there?</w:t>
      </w:r>
    </w:p>
    <w:p>
      <w:pPr>
        <w:spacing w:after="40"/>
        <w:ind w:left="230" w:hanging="230"/>
      </w:pPr>
      <w:r>
        <w:rPr>
          <w:b/>
          <w:color w:val="1F4E79"/>
        </w:rPr>
        <w:t xml:space="preserve">Q. </w:t>
      </w:r>
      <w:r>
        <w:t>What was your title, and to whom did you report?</w:t>
      </w:r>
    </w:p>
    <w:p>
      <w:pPr>
        <w:spacing w:after="40"/>
        <w:ind w:left="230" w:hanging="230"/>
      </w:pPr>
      <w:r>
        <w:rPr>
          <w:b/>
          <w:color w:val="1F4E79"/>
        </w:rPr>
        <w:t xml:space="preserve">Q. </w:t>
      </w:r>
      <w:r>
        <w:t>What were your responsibilities as Vice President of Sales Operations?</w:t>
      </w:r>
    </w:p>
    <w:p>
      <w:pPr>
        <w:spacing w:after="40"/>
        <w:ind w:left="230" w:hanging="230"/>
      </w:pPr>
      <w:r>
        <w:rPr>
          <w:b/>
          <w:color w:val="1F4E79"/>
        </w:rPr>
        <w:t xml:space="preserve">Q. </w:t>
      </w:r>
      <w:r>
        <w:t>How many regional sales managers did you oversee?</w:t>
      </w:r>
    </w:p>
    <w:p>
      <w:pPr>
        <w:spacing w:after="40"/>
        <w:ind w:left="230" w:hanging="230"/>
      </w:pPr>
      <w:r>
        <w:rPr>
          <w:b/>
          <w:color w:val="1F4E79"/>
        </w:rPr>
        <w:t xml:space="preserve">Q. </w:t>
      </w:r>
      <w:r>
        <w:t>What did your responsibilities include regarding sales forecasting, shipment reconciliation, and royalty reporting?</w:t>
      </w:r>
    </w:p>
    <w:p>
      <w:pPr>
        <w:spacing w:after="40"/>
        <w:ind w:left="230" w:hanging="230"/>
      </w:pPr>
      <w:r>
        <w:rPr>
          <w:b/>
          <w:color w:val="1F4E79"/>
        </w:rPr>
        <w:t xml:space="preserve">Q. </w:t>
      </w:r>
      <w:r>
        <w:t>How often did you work with shipment and sales data? For how many years?</w:t>
      </w:r>
    </w:p>
    <w:p>
      <w:pPr>
        <w:spacing w:after="40"/>
        <w:ind w:left="230" w:hanging="230"/>
      </w:pPr>
      <w:r>
        <w:rPr>
          <w:b/>
          <w:color w:val="1F4E79"/>
        </w:rPr>
        <w:t xml:space="preserve">Q. </w:t>
      </w:r>
      <w:r>
        <w:t>What systems and tools did you use in that work? How long had you used SAP?</w:t>
      </w:r>
    </w:p>
    <w:p>
      <w:pPr>
        <w:spacing w:after="60"/>
      </w:pPr>
      <w:r>
        <w:rPr>
          <w:i/>
          <w:color w:val="555555"/>
        </w:rPr>
        <w:t>Expected foundation: Cascade August 2018–January 12, 2024; VP of Sales Operations reporting to CEO Derek Voss; 22 regional sales managers; daily SAP and regular Excel use; routine comparison of warehouse shipments to invoiced sales and preparation of reports later finalized by Finance. Deposition refs: pp. 15–19, 120–21, 215–16.</w:t>
      </w:r>
    </w:p>
    <w:p>
      <w:pPr>
        <w:pStyle w:val="Heading2"/>
        <w:keepNext/>
      </w:pPr>
      <w:r>
        <w:t>B. Ridgeline relationship and reporting workflow</w:t>
      </w:r>
    </w:p>
    <w:p>
      <w:pPr>
        <w:spacing w:after="80"/>
      </w:pPr>
      <w:r>
        <w:rPr>
          <w:b/>
          <w:color w:val="0F6B78"/>
        </w:rPr>
        <w:t xml:space="preserve">Purpose: </w:t>
      </w:r>
      <w:r>
        <w:t>Orient the jury to the account and Elliston’s personal role without turning him into a contract-law witness.</w:t>
      </w:r>
    </w:p>
    <w:p>
      <w:pPr>
        <w:spacing w:after="40"/>
        <w:ind w:left="230" w:hanging="230"/>
      </w:pPr>
      <w:r>
        <w:rPr>
          <w:b/>
          <w:color w:val="1F4E79"/>
        </w:rPr>
        <w:t xml:space="preserve">Q. </w:t>
      </w:r>
      <w:r>
        <w:t>What was your role, if any, in Cascade’s relationship with Ridgeline?</w:t>
      </w:r>
    </w:p>
    <w:p>
      <w:pPr>
        <w:spacing w:after="40"/>
        <w:ind w:left="230" w:hanging="230"/>
      </w:pPr>
      <w:r>
        <w:rPr>
          <w:b/>
          <w:color w:val="1F4E79"/>
        </w:rPr>
        <w:t xml:space="preserve">Q. </w:t>
      </w:r>
      <w:r>
        <w:t>What did you understand your operational responsibilities to be under the Ridgeline distribution relationship?</w:t>
      </w:r>
    </w:p>
    <w:p>
      <w:pPr>
        <w:spacing w:after="40"/>
        <w:ind w:left="230" w:hanging="230"/>
      </w:pPr>
      <w:r>
        <w:rPr>
          <w:b/>
          <w:color w:val="1F4E79"/>
        </w:rPr>
        <w:t xml:space="preserve">Q. </w:t>
      </w:r>
      <w:r>
        <w:t>What information did Cascade report quarterly to Ridgeline, and who in the company certified the reports?</w:t>
      </w:r>
    </w:p>
    <w:p>
      <w:pPr>
        <w:spacing w:after="40"/>
        <w:ind w:left="230" w:hanging="230"/>
      </w:pPr>
      <w:r>
        <w:rPr>
          <w:b/>
          <w:color w:val="1F4E79"/>
        </w:rPr>
        <w:t xml:space="preserve">Q. </w:t>
      </w:r>
      <w:r>
        <w:t>What was your role in reconciling shipment data and sales records before Finance finalized a report?</w:t>
      </w:r>
    </w:p>
    <w:p>
      <w:pPr>
        <w:spacing w:after="40"/>
        <w:ind w:left="230" w:hanging="230"/>
      </w:pPr>
      <w:r>
        <w:rPr>
          <w:b/>
          <w:color w:val="1F4E79"/>
        </w:rPr>
        <w:t xml:space="preserve">Q. </w:t>
      </w:r>
      <w:r>
        <w:t>As part of your work, did you maintain or use a list of authorized sub-distributors? How?</w:t>
      </w:r>
    </w:p>
    <w:p>
      <w:pPr>
        <w:spacing w:after="40"/>
        <w:ind w:left="230" w:hanging="230"/>
      </w:pPr>
      <w:r>
        <w:rPr>
          <w:b/>
          <w:color w:val="1F4E79"/>
        </w:rPr>
        <w:t xml:space="preserve">Q. </w:t>
      </w:r>
      <w:r>
        <w:t>What did your ordinary process require before a proposed sub-distributor could be treated as approved?</w:t>
      </w:r>
    </w:p>
    <w:p>
      <w:pPr>
        <w:spacing w:after="60"/>
      </w:pPr>
      <w:r>
        <w:rPr>
          <w:i/>
          <w:color w:val="555555"/>
        </w:rPr>
        <w:t>If the EDA is used: mark/identify it; ask whether he recognizes the agreement and how he worked with it. Keep any reference to the 4.5% rate or prior written approval tied to his routine administration and the written document. Do not ask for a legal conclusion that Cascade “breached” the EDA.</w:t>
      </w:r>
    </w:p>
    <w:p>
      <w:pPr>
        <w:pStyle w:val="Heading2"/>
        <w:keepNext/>
      </w:pPr>
      <w:r>
        <w:t>C. Routine Q3 reconciliation and what he found</w:t>
      </w:r>
    </w:p>
    <w:p>
      <w:pPr>
        <w:spacing w:after="80"/>
      </w:pPr>
      <w:r>
        <w:rPr>
          <w:b/>
          <w:color w:val="0F6B78"/>
        </w:rPr>
        <w:t xml:space="preserve">Purpose: </w:t>
      </w:r>
      <w:r>
        <w:t>Present a simple, perception-based comparison and show that ordinary adjustments did not explain it.</w:t>
      </w:r>
    </w:p>
    <w:p>
      <w:pPr>
        <w:spacing w:after="40"/>
        <w:ind w:left="230" w:hanging="230"/>
      </w:pPr>
      <w:r>
        <w:rPr>
          <w:b/>
          <w:color w:val="1F4E79"/>
        </w:rPr>
        <w:t xml:space="preserve">Q. </w:t>
      </w:r>
      <w:r>
        <w:t>What work were you doing in September 2023?</w:t>
      </w:r>
    </w:p>
    <w:p>
      <w:pPr>
        <w:spacing w:after="40"/>
        <w:ind w:left="230" w:hanging="230"/>
      </w:pPr>
      <w:r>
        <w:rPr>
          <w:b/>
          <w:color w:val="1F4E79"/>
        </w:rPr>
        <w:t xml:space="preserve">Q. </w:t>
      </w:r>
      <w:r>
        <w:t>How did you prepare the Q3 sales forecast and reconciliation?</w:t>
      </w:r>
    </w:p>
    <w:p>
      <w:pPr>
        <w:spacing w:after="40"/>
        <w:ind w:left="230" w:hanging="230"/>
      </w:pPr>
      <w:r>
        <w:rPr>
          <w:b/>
          <w:color w:val="1F4E79"/>
        </w:rPr>
        <w:t xml:space="preserve">Q. </w:t>
      </w:r>
      <w:r>
        <w:t>Which Cascade system records did you compare?</w:t>
      </w:r>
    </w:p>
    <w:p>
      <w:pPr>
        <w:spacing w:after="40"/>
        <w:ind w:left="230" w:hanging="230"/>
      </w:pPr>
      <w:r>
        <w:rPr>
          <w:b/>
          <w:color w:val="1F4E79"/>
        </w:rPr>
        <w:t xml:space="preserve">Q. </w:t>
      </w:r>
      <w:r>
        <w:t>What did the warehouse shipment records show for Series 700 gate valves in Q3 2023?</w:t>
      </w:r>
    </w:p>
    <w:p>
      <w:pPr>
        <w:spacing w:after="40"/>
        <w:ind w:left="230" w:hanging="230"/>
      </w:pPr>
      <w:r>
        <w:rPr>
          <w:b/>
          <w:color w:val="1F4E79"/>
        </w:rPr>
        <w:t xml:space="preserve">Q. </w:t>
      </w:r>
      <w:r>
        <w:t>What did the sales-reporting data show for sales to authorized customers in that quarter?</w:t>
      </w:r>
    </w:p>
    <w:p>
      <w:pPr>
        <w:spacing w:after="40"/>
        <w:ind w:left="230" w:hanging="230"/>
      </w:pPr>
      <w:r>
        <w:rPr>
          <w:b/>
          <w:color w:val="1F4E79"/>
        </w:rPr>
        <w:t xml:space="preserve">Q. </w:t>
      </w:r>
      <w:r>
        <w:t>What difference did you observe between those two figures?</w:t>
      </w:r>
    </w:p>
    <w:p>
      <w:pPr>
        <w:spacing w:after="40"/>
        <w:ind w:left="230" w:hanging="230"/>
      </w:pPr>
      <w:r>
        <w:rPr>
          <w:b/>
          <w:color w:val="1F4E79"/>
        </w:rPr>
        <w:t xml:space="preserve">Q. </w:t>
      </w:r>
      <w:r>
        <w:t>What did you do to check whether ordinary adjustments accounted for the difference?</w:t>
      </w:r>
    </w:p>
    <w:p>
      <w:pPr>
        <w:spacing w:after="40"/>
        <w:ind w:left="230" w:hanging="230"/>
      </w:pPr>
      <w:r>
        <w:rPr>
          <w:b/>
          <w:color w:val="1F4E79"/>
        </w:rPr>
        <w:t xml:space="preserve">Q. </w:t>
      </w:r>
      <w:r>
        <w:t>What did you find regarding returns, warranty replacements, damaged goods, and inventory adjustments?</w:t>
      </w:r>
    </w:p>
    <w:p>
      <w:pPr>
        <w:spacing w:after="40"/>
        <w:ind w:left="230" w:hanging="230"/>
      </w:pPr>
      <w:r>
        <w:rPr>
          <w:b/>
          <w:color w:val="1F4E79"/>
        </w:rPr>
        <w:t xml:space="preserve">Q. </w:t>
      </w:r>
      <w:r>
        <w:t>Based on your work, could you account for the unit gap through those categories?</w:t>
      </w:r>
    </w:p>
    <w:p>
      <w:pPr>
        <w:spacing w:after="40"/>
        <w:ind w:left="230" w:hanging="230"/>
      </w:pPr>
      <w:r>
        <w:rPr>
          <w:b/>
          <w:color w:val="1F4E79"/>
        </w:rPr>
        <w:t xml:space="preserve">Q. </w:t>
      </w:r>
      <w:r>
        <w:t>What was the approximate per-unit resale price you knew for Series 700 valves, and how did you know it?</w:t>
      </w:r>
    </w:p>
    <w:p>
      <w:pPr>
        <w:spacing w:after="40"/>
        <w:ind w:left="230" w:hanging="230"/>
      </w:pPr>
      <w:r>
        <w:rPr>
          <w:b/>
          <w:color w:val="1F4E79"/>
        </w:rPr>
        <w:t xml:space="preserve">Q. </w:t>
      </w:r>
      <w:r>
        <w:t>Did your work at that point tell you the total financial loss or total unpaid royalties?</w:t>
      </w:r>
    </w:p>
    <w:p>
      <w:pPr>
        <w:spacing w:after="60"/>
      </w:pPr>
      <w:r>
        <w:rPr>
          <w:i/>
          <w:color w:val="555555"/>
        </w:rPr>
        <w:t>Permitted factual figures: 4,217 shipped; 3,104 reported sold to authorized customers; 1,113-unit gap; no returns, warranty replacements, or inventory adjustments accounting for it; approximate unit resale price $1,271.34 from his sales-pricing/forecasting role. Do not ask him to multiply units by price or apply the royalty rate.</w:t>
      </w:r>
    </w:p>
    <w:p>
      <w:pPr>
        <w:pStyle w:val="Heading2"/>
        <w:keepNext/>
      </w:pPr>
      <w:r>
        <w:t>D. Q3 spreadsheet: authentication and chronology</w:t>
      </w:r>
    </w:p>
    <w:p>
      <w:pPr>
        <w:spacing w:after="80"/>
      </w:pPr>
      <w:r>
        <w:rPr>
          <w:b/>
          <w:color w:val="0F6B78"/>
        </w:rPr>
        <w:t xml:space="preserve">Purpose: </w:t>
      </w:r>
      <w:r>
        <w:t>Lay the full Rule 901(a) foundation before publication; establish the file as his contemporaneous factual compilation.</w:t>
      </w:r>
    </w:p>
    <w:p>
      <w:pPr>
        <w:spacing w:after="40"/>
        <w:ind w:left="230" w:hanging="230"/>
      </w:pPr>
      <w:r>
        <w:rPr>
          <w:b/>
          <w:color w:val="1F4E79"/>
        </w:rPr>
        <w:t xml:space="preserve">Q. </w:t>
      </w:r>
      <w:r>
        <w:t>Did you create a spreadsheet relating to the Q3 2023 unit discrepancy?</w:t>
      </w:r>
    </w:p>
    <w:p>
      <w:pPr>
        <w:spacing w:after="40"/>
        <w:ind w:left="230" w:hanging="230"/>
      </w:pPr>
      <w:r>
        <w:rPr>
          <w:b/>
          <w:color w:val="1F4E79"/>
        </w:rPr>
        <w:t xml:space="preserve">Q. </w:t>
      </w:r>
      <w:r>
        <w:t>What software did you use, and when did you start and finish the work?</w:t>
      </w:r>
    </w:p>
    <w:p>
      <w:pPr>
        <w:spacing w:after="40"/>
        <w:ind w:left="230" w:hanging="230"/>
      </w:pPr>
      <w:r>
        <w:rPr>
          <w:b/>
          <w:color w:val="1F4E79"/>
        </w:rPr>
        <w:t xml:space="preserve">Q. </w:t>
      </w:r>
      <w:r>
        <w:t>What source records did you use to make it?</w:t>
      </w:r>
    </w:p>
    <w:p>
      <w:pPr>
        <w:spacing w:after="40"/>
        <w:ind w:left="230" w:hanging="230"/>
      </w:pPr>
      <w:r>
        <w:rPr>
          <w:b/>
          <w:color w:val="1F4E79"/>
        </w:rPr>
        <w:t xml:space="preserve">Q. </w:t>
      </w:r>
      <w:r>
        <w:t>How did you obtain the data from SAP and bring it into Excel?</w:t>
      </w:r>
    </w:p>
    <w:p>
      <w:pPr>
        <w:spacing w:after="40"/>
        <w:ind w:left="230" w:hanging="230"/>
      </w:pPr>
      <w:r>
        <w:rPr>
          <w:b/>
          <w:color w:val="1F4E79"/>
        </w:rPr>
        <w:t xml:space="preserve">Q. </w:t>
      </w:r>
      <w:r>
        <w:t>What does the Summary tab show?</w:t>
      </w:r>
    </w:p>
    <w:p>
      <w:pPr>
        <w:spacing w:after="40"/>
        <w:ind w:left="230" w:hanging="230"/>
      </w:pPr>
      <w:r>
        <w:rPr>
          <w:b/>
          <w:color w:val="1F4E79"/>
        </w:rPr>
        <w:t xml:space="preserve">Q. </w:t>
      </w:r>
      <w:r>
        <w:t>What information appears on the Shipment Detail and Sales Comparison tabs?</w:t>
      </w:r>
    </w:p>
    <w:p>
      <w:pPr>
        <w:spacing w:after="40"/>
        <w:ind w:left="230" w:hanging="230"/>
      </w:pPr>
      <w:r>
        <w:rPr>
          <w:b/>
          <w:color w:val="1F4E79"/>
        </w:rPr>
        <w:t xml:space="preserve">Q. </w:t>
      </w:r>
      <w:r>
        <w:t>How did the comparison identify the shipments associated with MidAmerican?</w:t>
      </w:r>
    </w:p>
    <w:p>
      <w:pPr>
        <w:spacing w:after="40"/>
        <w:ind w:left="230" w:hanging="230"/>
      </w:pPr>
      <w:r>
        <w:rPr>
          <w:b/>
          <w:color w:val="1F4E79"/>
        </w:rPr>
        <w:t xml:space="preserve">Q. </w:t>
      </w:r>
      <w:r>
        <w:t>Do you recognize the exhibit marked [PX __] as the spreadsheet you created?</w:t>
      </w:r>
    </w:p>
    <w:p>
      <w:pPr>
        <w:spacing w:after="40"/>
        <w:ind w:left="230" w:hanging="230"/>
      </w:pPr>
      <w:r>
        <w:rPr>
          <w:b/>
          <w:color w:val="1F4E79"/>
        </w:rPr>
        <w:t xml:space="preserve">Q. </w:t>
      </w:r>
      <w:r>
        <w:t>Is it the same spreadsheet you attached to your September 28 email to Mr. Voss?</w:t>
      </w:r>
    </w:p>
    <w:p>
      <w:pPr>
        <w:spacing w:after="40"/>
        <w:ind w:left="230" w:hanging="230"/>
      </w:pPr>
      <w:r>
        <w:rPr>
          <w:b/>
          <w:color w:val="1F4E79"/>
        </w:rPr>
        <w:t xml:space="preserve">Q. </w:t>
      </w:r>
      <w:r>
        <w:t>Is the exhibit a fair and accurate copy of the spreadsheet you created and sent?</w:t>
      </w:r>
    </w:p>
    <w:p>
      <w:pPr>
        <w:spacing w:after="40"/>
        <w:ind w:left="230" w:hanging="230"/>
      </w:pPr>
      <w:r>
        <w:rPr>
          <w:b/>
          <w:color w:val="1F4E79"/>
        </w:rPr>
        <w:t xml:space="preserve">Q. </w:t>
      </w:r>
      <w:r>
        <w:t>Has it been altered by you since you created it? Is it in substantially the same condition as when you created it?</w:t>
      </w:r>
    </w:p>
    <w:p>
      <w:pPr>
        <w:spacing w:after="40"/>
        <w:ind w:left="230" w:hanging="230"/>
      </w:pPr>
      <w:r>
        <w:rPr>
          <w:b/>
          <w:color w:val="1F4E79"/>
        </w:rPr>
        <w:t xml:space="preserve">Q. </w:t>
      </w:r>
      <w:r>
        <w:t>Where did you save it during your employment, and what copy did you later provide to counsel?</w:t>
      </w:r>
    </w:p>
    <w:tbl>
      <w:tblPr>
        <w:tblStyle w:val="TableGrid"/>
        <w:tblW w:type="auto" w:w="0"/>
        <w:tblLook w:firstColumn="1" w:firstRow="1" w:lastColumn="0" w:lastRow="0" w:noHBand="0" w:noVBand="1" w:val="04A0"/>
      </w:tblPr>
      <w:tblGrid>
        <w:gridCol w:w="10166"/>
      </w:tblGrid>
      <w:tr>
        <w:tc>
          <w:tcPr>
            <w:tcW w:type="dxa" w:w="10166"/>
            <w:shd w:fill="FCECC9"/>
          </w:tcPr>
          <w:p>
            <w:pPr>
              <w:pStyle w:val="TableText"/>
            </w:pPr>
            <w:r/>
            <w:r>
              <w:rPr>
                <w:b/>
                <w:color w:val="9C0006"/>
              </w:rPr>
              <w:t xml:space="preserve">COUNSEL NOTE: </w:t>
            </w:r>
            <w:r>
              <w:t>Chronology must be handled accurately. The workbook metadata shows September 22; Elliston testified “around September 25” when first identifying the discrepancy, and the September 28 email says “identified last week.” Elicit that he worked over multiple days, began the spreadsheet around September 22, may first have noticed something earlier and confirmed it later, and cannot give one exact first-discovery date. Do not force false precision.</w:t>
            </w:r>
          </w:p>
        </w:tc>
      </w:tr>
    </w:tbl>
    <w:p>
      <w:pPr>
        <w:spacing w:after="0"/>
      </w:pPr>
    </w:p>
    <w:p>
      <w:pPr>
        <w:spacing w:after="40"/>
        <w:ind w:left="230" w:hanging="230"/>
      </w:pPr>
      <w:r>
        <w:rPr>
          <w:b/>
          <w:color w:val="1F4E79"/>
        </w:rPr>
        <w:t xml:space="preserve">Q. </w:t>
      </w:r>
      <w:r>
        <w:t>When you said in your deposition that you believed it was around September 25, were you claiming to remember an exact date?</w:t>
      </w:r>
    </w:p>
    <w:p>
      <w:pPr>
        <w:spacing w:after="40"/>
        <w:ind w:left="230" w:hanging="230"/>
      </w:pPr>
      <w:r>
        <w:rPr>
          <w:b/>
          <w:color w:val="1F4E79"/>
        </w:rPr>
        <w:t xml:space="preserve">Q. </w:t>
      </w:r>
      <w:r>
        <w:t>What do you mean by the phrase “identified last week” in the September 28 email?</w:t>
      </w:r>
    </w:p>
    <w:p>
      <w:pPr>
        <w:spacing w:after="40"/>
        <w:ind w:left="230" w:hanging="230"/>
      </w:pPr>
      <w:r>
        <w:rPr>
          <w:b/>
          <w:color w:val="1F4E79"/>
        </w:rPr>
        <w:t xml:space="preserve">Q. </w:t>
      </w:r>
      <w:r>
        <w:t>How does the September 22 creation date relate to your work on the spreadsheet over several days?</w:t>
      </w:r>
    </w:p>
    <w:p>
      <w:pPr>
        <w:spacing w:after="40"/>
        <w:ind w:left="230" w:hanging="230"/>
      </w:pPr>
      <w:r>
        <w:rPr>
          <w:b/>
          <w:color w:val="1F4E79"/>
        </w:rPr>
        <w:t xml:space="preserve">Q. </w:t>
      </w:r>
      <w:r>
        <w:t>At trial, can you give the jury a precise date for the first moment you noticed the issue?</w:t>
      </w:r>
    </w:p>
    <w:p>
      <w:pPr>
        <w:spacing w:after="60"/>
      </w:pPr>
      <w:r>
        <w:rPr>
          <w:i/>
          <w:color w:val="555555"/>
        </w:rPr>
        <w:t>Impeachment preparation: deposition pp. 72–74 (around Sep. 25; “last week”; no precise date), p. 83 (spreadsheet started on/about Sep. 22); spreadsheet metadata; September 28 email. Be candid and distinguish first noticed, confirmed, and spreadsheet creation.</w:t>
      </w:r>
    </w:p>
    <w:p>
      <w:pPr>
        <w:pStyle w:val="Heading2"/>
        <w:keepNext/>
      </w:pPr>
      <w:r>
        <w:t>E. MidAmerican POs, destinations, account information, and user ID</w:t>
      </w:r>
    </w:p>
    <w:p>
      <w:pPr>
        <w:spacing w:after="80"/>
      </w:pPr>
      <w:r>
        <w:rPr>
          <w:b/>
          <w:color w:val="0F6B78"/>
        </w:rPr>
        <w:t xml:space="preserve">Purpose: </w:t>
      </w:r>
      <w:r>
        <w:t>Confine testimony to records he personally inspected and what he knew from ordinary SAP use.</w:t>
      </w:r>
    </w:p>
    <w:p>
      <w:pPr>
        <w:spacing w:after="40"/>
        <w:ind w:left="230" w:hanging="230"/>
      </w:pPr>
      <w:r>
        <w:rPr>
          <w:b/>
          <w:color w:val="1F4E79"/>
        </w:rPr>
        <w:t xml:space="preserve">Q. </w:t>
      </w:r>
      <w:r>
        <w:t>After noticing the Q3 gap, what did you do to look for the shipments that did not match reported authorized sales?</w:t>
      </w:r>
    </w:p>
    <w:p>
      <w:pPr>
        <w:spacing w:after="40"/>
        <w:ind w:left="230" w:hanging="230"/>
      </w:pPr>
      <w:r>
        <w:rPr>
          <w:b/>
          <w:color w:val="1F4E79"/>
        </w:rPr>
        <w:t xml:space="preserve">Q. </w:t>
      </w:r>
      <w:r>
        <w:t>What did the purchase-order number on a shipment allow you to locate in SAP?</w:t>
      </w:r>
    </w:p>
    <w:p>
      <w:pPr>
        <w:spacing w:after="40"/>
        <w:ind w:left="230" w:hanging="230"/>
      </w:pPr>
      <w:r>
        <w:rPr>
          <w:b/>
          <w:color w:val="1F4E79"/>
        </w:rPr>
        <w:t xml:space="preserve">Q. </w:t>
      </w:r>
      <w:r>
        <w:t>What account name appeared on the POs you found?</w:t>
      </w:r>
    </w:p>
    <w:p>
      <w:pPr>
        <w:spacing w:after="40"/>
        <w:ind w:left="230" w:hanging="230"/>
      </w:pPr>
      <w:r>
        <w:rPr>
          <w:b/>
          <w:color w:val="1F4E79"/>
        </w:rPr>
        <w:t xml:space="preserve">Q. </w:t>
      </w:r>
      <w:r>
        <w:t>What did you observe in the POs’ “bill to” and “ship to” fields?</w:t>
      </w:r>
    </w:p>
    <w:p>
      <w:pPr>
        <w:spacing w:after="40"/>
        <w:ind w:left="230" w:hanging="230"/>
      </w:pPr>
      <w:r>
        <w:rPr>
          <w:b/>
          <w:color w:val="1F4E79"/>
        </w:rPr>
        <w:t xml:space="preserve">Q. </w:t>
      </w:r>
      <w:r>
        <w:t>Which destinations appeared in those fields?</w:t>
      </w:r>
    </w:p>
    <w:p>
      <w:pPr>
        <w:spacing w:after="40"/>
        <w:ind w:left="230" w:hanging="230"/>
      </w:pPr>
      <w:r>
        <w:rPr>
          <w:b/>
          <w:color w:val="1F4E79"/>
        </w:rPr>
        <w:t xml:space="preserve">Q. </w:t>
      </w:r>
      <w:r>
        <w:t>Before this review, had you dealt with MidAmerican, Great Lakes, or Summit in your Ridgeline sales-operations work?</w:t>
      </w:r>
    </w:p>
    <w:p>
      <w:pPr>
        <w:spacing w:after="40"/>
        <w:ind w:left="230" w:hanging="230"/>
      </w:pPr>
      <w:r>
        <w:rPr>
          <w:b/>
          <w:color w:val="1F4E79"/>
        </w:rPr>
        <w:t xml:space="preserve">Q. </w:t>
      </w:r>
      <w:r>
        <w:t>What was your responsibility concerning Cascade’s authorized sub-distributor list?</w:t>
      </w:r>
    </w:p>
    <w:p>
      <w:pPr>
        <w:spacing w:after="40"/>
        <w:ind w:left="230" w:hanging="230"/>
      </w:pPr>
      <w:r>
        <w:rPr>
          <w:b/>
          <w:color w:val="1F4E79"/>
        </w:rPr>
        <w:t xml:space="preserve">Q. </w:t>
      </w:r>
      <w:r>
        <w:t>Did you find Great Lakes or Summit on the list? Did you find written approval for either in the records you maintained or reviewed?</w:t>
      </w:r>
    </w:p>
    <w:p>
      <w:pPr>
        <w:spacing w:after="40"/>
        <w:ind w:left="230" w:hanging="230"/>
      </w:pPr>
      <w:r>
        <w:rPr>
          <w:b/>
          <w:color w:val="1F4E79"/>
        </w:rPr>
        <w:t xml:space="preserve">Q. </w:t>
      </w:r>
      <w:r>
        <w:t>What did you personally observe in SAP about when the MidAmerican customer account was created and the “created by” field?</w:t>
      </w:r>
    </w:p>
    <w:p>
      <w:pPr>
        <w:spacing w:after="40"/>
        <w:ind w:left="230" w:hanging="230"/>
      </w:pPr>
      <w:r>
        <w:rPr>
          <w:b/>
          <w:color w:val="1F4E79"/>
        </w:rPr>
        <w:t xml:space="preserve">Q. </w:t>
      </w:r>
      <w:r>
        <w:t>What did “DVOSS01” signify to you based on your own SAP experience at Cascade?</w:t>
      </w:r>
    </w:p>
    <w:p>
      <w:pPr>
        <w:spacing w:after="40"/>
        <w:ind w:left="230" w:hanging="230"/>
      </w:pPr>
      <w:r>
        <w:rPr>
          <w:b/>
          <w:color w:val="1F4E79"/>
        </w:rPr>
        <w:t xml:space="preserve">Q. </w:t>
      </w:r>
      <w:r>
        <w:t>How were SAP user IDs assigned and used at Cascade? Were they intended to be individual and unique?</w:t>
      </w:r>
    </w:p>
    <w:p>
      <w:pPr>
        <w:spacing w:after="40"/>
        <w:ind w:left="230" w:hanging="230"/>
      </w:pPr>
      <w:r>
        <w:rPr>
          <w:b/>
          <w:color w:val="1F4E79"/>
        </w:rPr>
        <w:t xml:space="preserve">Q. </w:t>
      </w:r>
      <w:r>
        <w:t>Did you ever personally see someone other than Mr. Voss use his credentials?</w:t>
      </w:r>
    </w:p>
    <w:p>
      <w:pPr>
        <w:spacing w:after="40"/>
        <w:ind w:left="230" w:hanging="230"/>
      </w:pPr>
      <w:r>
        <w:rPr>
          <w:b/>
          <w:color w:val="1F4E79"/>
        </w:rPr>
        <w:t xml:space="preserve">Q. </w:t>
      </w:r>
      <w:r>
        <w:t>Can you testify from personal knowledge who was physically at the keyboard when that account was created?</w:t>
      </w:r>
    </w:p>
    <w:p>
      <w:pPr>
        <w:spacing w:after="40"/>
        <w:ind w:left="230" w:hanging="230"/>
      </w:pPr>
      <w:r>
        <w:rPr>
          <w:b/>
          <w:color w:val="1F4E79"/>
        </w:rPr>
        <w:t xml:space="preserve">Q. </w:t>
      </w:r>
      <w:r>
        <w:t>What else, if anything, did you observe in the MidAmerican account record—such as contact, representative, or credit-application information?</w:t>
      </w:r>
    </w:p>
    <w:p>
      <w:pPr>
        <w:spacing w:after="40"/>
        <w:ind w:left="230" w:hanging="230"/>
      </w:pPr>
      <w:r>
        <w:rPr>
          <w:b/>
          <w:color w:val="1F4E79"/>
        </w:rPr>
        <w:t xml:space="preserve">Q. </w:t>
      </w:r>
      <w:r>
        <w:t>Was that consistent with the ordinary customer-account setup process you knew?</w:t>
      </w:r>
    </w:p>
    <w:p>
      <w:pPr>
        <w:spacing w:after="60"/>
      </w:pPr>
      <w:r>
        <w:rPr>
          <w:i/>
          <w:color w:val="555555"/>
        </w:rPr>
        <w:t>Careful formulation: “The SAP field recorded DVOSS01; from my ordinary use that was Mr. Voss’s assigned user ID.” If asked, acknowledge the audit trail logs the user ID, not the physical person. Do not testify that Voss personally created it as a certainty, that the account was a shell, or to account transfers/bank deposits. Deposition refs: pp. 120–34.</w:t>
      </w:r>
    </w:p>
    <w:p>
      <w:pPr>
        <w:pStyle w:val="Heading2"/>
        <w:keepNext/>
      </w:pPr>
      <w:r>
        <w:t>F. Internal reporting and complete email chains</w:t>
      </w:r>
    </w:p>
    <w:p>
      <w:pPr>
        <w:spacing w:after="80"/>
      </w:pPr>
      <w:r>
        <w:rPr>
          <w:b/>
          <w:color w:val="0F6B78"/>
        </w:rPr>
        <w:t xml:space="preserve">Purpose: </w:t>
      </w:r>
      <w:r>
        <w:t>Establish notice, leadership responses, and Elliston’s escalation through the whole admissible writing—not selective excerpts.</w:t>
      </w:r>
    </w:p>
    <w:p>
      <w:pPr>
        <w:spacing w:after="60"/>
      </w:pPr>
      <w:r>
        <w:rPr>
          <w:i/>
          <w:color w:val="555555"/>
        </w:rPr>
        <w:t>Foundation for the complete compiled chain: identify the full produced exhibit (CASCADE_EMAIL_003847–003859); establish Elliston sent/received the messages; identify Voss as CEO/direct supervisor, Trimble as CFO, and Greer as General Counsel; then offer and publish the complete compilation. Do not offer a single email or response alone. The compilation is reverse chronological as produced; orient the jury to dates.</w:t>
      </w:r>
    </w:p>
    <w:p>
      <w:pPr>
        <w:spacing w:before="60"/>
      </w:pPr>
      <w:r>
        <w:rPr>
          <w:b/>
          <w:color w:val="0F6B78"/>
        </w:rPr>
        <w:t>September 28, 2023 — first report to Voss</w:t>
      </w:r>
    </w:p>
    <w:p>
      <w:pPr>
        <w:spacing w:after="40"/>
        <w:ind w:left="230" w:hanging="230"/>
      </w:pPr>
      <w:r>
        <w:rPr>
          <w:b/>
          <w:color w:val="1F4E79"/>
        </w:rPr>
        <w:t xml:space="preserve">Q. </w:t>
      </w:r>
      <w:r>
        <w:t>Did you send an email to Derek Voss on September 28, 2023? What prompted it?</w:t>
      </w:r>
    </w:p>
    <w:p>
      <w:pPr>
        <w:spacing w:after="40"/>
        <w:ind w:left="230" w:hanging="230"/>
      </w:pPr>
      <w:r>
        <w:rPr>
          <w:b/>
          <w:color w:val="1F4E79"/>
        </w:rPr>
        <w:t xml:space="preserve">Q. </w:t>
      </w:r>
      <w:r>
        <w:t>What did you report about shipments, authorized sales, and the remaining unit gap?</w:t>
      </w:r>
    </w:p>
    <w:p>
      <w:pPr>
        <w:spacing w:after="40"/>
        <w:ind w:left="230" w:hanging="230"/>
      </w:pPr>
      <w:r>
        <w:rPr>
          <w:b/>
          <w:color w:val="1F4E79"/>
        </w:rPr>
        <w:t xml:space="preserve">Q. </w:t>
      </w:r>
      <w:r>
        <w:t>What had you checked by then, and what did you still not know?</w:t>
      </w:r>
    </w:p>
    <w:p>
      <w:pPr>
        <w:spacing w:after="40"/>
        <w:ind w:left="230" w:hanging="230"/>
      </w:pPr>
      <w:r>
        <w:rPr>
          <w:b/>
          <w:color w:val="1F4E79"/>
        </w:rPr>
        <w:t xml:space="preserve">Q. </w:t>
      </w:r>
      <w:r>
        <w:t>Why did you send the email to Mr. Voss?</w:t>
      </w:r>
    </w:p>
    <w:p>
      <w:pPr>
        <w:spacing w:after="40"/>
        <w:ind w:left="230" w:hanging="230"/>
      </w:pPr>
      <w:r>
        <w:rPr>
          <w:b/>
          <w:color w:val="1F4E79"/>
        </w:rPr>
        <w:t xml:space="preserve">Q. </w:t>
      </w:r>
      <w:r>
        <w:t>Did you receive a response? Who sent it, and what did it say?</w:t>
      </w:r>
    </w:p>
    <w:p>
      <w:pPr>
        <w:spacing w:after="40"/>
        <w:ind w:left="230" w:hanging="230"/>
      </w:pPr>
      <w:r>
        <w:rPr>
          <w:b/>
          <w:color w:val="1F4E79"/>
        </w:rPr>
        <w:t xml:space="preserve">Q. </w:t>
      </w:r>
      <w:r>
        <w:t>What did you understand from the response, and what did you do next?</w:t>
      </w:r>
    </w:p>
    <w:p>
      <w:pPr>
        <w:spacing w:after="60"/>
      </w:pPr>
      <w:r>
        <w:rPr>
          <w:i/>
          <w:color w:val="555555"/>
        </w:rPr>
        <w:t>Response in complete chain: “I’ll look into it. Don’t share this with anyone else for now.” Avoid arguing that the words alone prove a crime; let jury assess.</w:t>
      </w:r>
    </w:p>
    <w:p>
      <w:r>
        <w:rPr>
          <w:b/>
          <w:color w:val="0F6B78"/>
        </w:rPr>
        <w:t>October 5–6, 2023 — follow-up to Voss and Trimble</w:t>
      </w:r>
    </w:p>
    <w:p>
      <w:pPr>
        <w:spacing w:after="40"/>
        <w:ind w:left="230" w:hanging="230"/>
      </w:pPr>
      <w:r>
        <w:rPr>
          <w:b/>
          <w:color w:val="1F4E79"/>
        </w:rPr>
        <w:t xml:space="preserve">Q. </w:t>
      </w:r>
      <w:r>
        <w:t>What additional work did you complete after your September 28 message?</w:t>
      </w:r>
    </w:p>
    <w:p>
      <w:pPr>
        <w:spacing w:after="40"/>
        <w:ind w:left="230" w:hanging="230"/>
      </w:pPr>
      <w:r>
        <w:rPr>
          <w:b/>
          <w:color w:val="1F4E79"/>
        </w:rPr>
        <w:t xml:space="preserve">Q. </w:t>
      </w:r>
      <w:r>
        <w:t>What did the MidAmerican PO review show about the bill-to and ship-to information?</w:t>
      </w:r>
    </w:p>
    <w:p>
      <w:pPr>
        <w:spacing w:after="40"/>
        <w:ind w:left="230" w:hanging="230"/>
      </w:pPr>
      <w:r>
        <w:rPr>
          <w:b/>
          <w:color w:val="1F4E79"/>
        </w:rPr>
        <w:t xml:space="preserve">Q. </w:t>
      </w:r>
      <w:r>
        <w:t>Did you send a follow-up email on October 5? Who received it, and what was its subject?</w:t>
      </w:r>
    </w:p>
    <w:p>
      <w:pPr>
        <w:spacing w:after="40"/>
        <w:ind w:left="230" w:hanging="230"/>
      </w:pPr>
      <w:r>
        <w:rPr>
          <w:b/>
          <w:color w:val="1F4E79"/>
        </w:rPr>
        <w:t xml:space="preserve">Q. </w:t>
      </w:r>
      <w:r>
        <w:t>What concerns did you raise about the unauthorized destinations and possible omission from royalty reports?</w:t>
      </w:r>
    </w:p>
    <w:p>
      <w:pPr>
        <w:spacing w:after="40"/>
        <w:ind w:left="230" w:hanging="230"/>
      </w:pPr>
      <w:r>
        <w:rPr>
          <w:b/>
          <w:color w:val="1F4E79"/>
        </w:rPr>
        <w:t xml:space="preserve">Q. </w:t>
      </w:r>
      <w:r>
        <w:t>What did you attach, and what did that attachment contain?</w:t>
      </w:r>
    </w:p>
    <w:p>
      <w:pPr>
        <w:spacing w:after="40"/>
        <w:ind w:left="230" w:hanging="230"/>
      </w:pPr>
      <w:r>
        <w:rPr>
          <w:b/>
          <w:color w:val="1F4E79"/>
        </w:rPr>
        <w:t xml:space="preserve">Q. </w:t>
      </w:r>
      <w:r>
        <w:t>What response did you receive from Ms. Trimble on October 6?</w:t>
      </w:r>
    </w:p>
    <w:p>
      <w:pPr>
        <w:spacing w:after="40"/>
        <w:ind w:left="230" w:hanging="230"/>
      </w:pPr>
      <w:r>
        <w:rPr>
          <w:b/>
          <w:color w:val="1F4E79"/>
        </w:rPr>
        <w:t xml:space="preserve">Q. </w:t>
      </w:r>
      <w:r>
        <w:t>What did you understand “this is a finance matter and is being handled” to mean for your own inquiry?</w:t>
      </w:r>
    </w:p>
    <w:p>
      <w:pPr>
        <w:spacing w:after="60"/>
      </w:pPr>
      <w:r>
        <w:rPr>
          <w:i/>
          <w:color w:val="555555"/>
        </w:rPr>
        <w:t>The complete email wording includes the line directing Elliston to “focus on your sales targets.” Keep his answer to what he received and did; avoid speculation about Trimble’s state of mind.</w:t>
      </w:r>
    </w:p>
    <w:p>
      <w:r>
        <w:rPr>
          <w:b/>
          <w:color w:val="0F6B78"/>
        </w:rPr>
        <w:t>October 2023 report timing — narrow, personal-knowledge lane</w:t>
      </w:r>
    </w:p>
    <w:p>
      <w:pPr>
        <w:spacing w:after="40"/>
        <w:ind w:left="230" w:hanging="230"/>
      </w:pPr>
      <w:r>
        <w:rPr>
          <w:b/>
          <w:color w:val="1F4E79"/>
        </w:rPr>
        <w:t xml:space="preserve">Q. </w:t>
      </w:r>
      <w:r>
        <w:t>What did you personally observe on or about October 10 concerning Mr. Voss and Ms. Trimble?</w:t>
      </w:r>
    </w:p>
    <w:p>
      <w:pPr>
        <w:spacing w:after="40"/>
        <w:ind w:left="230" w:hanging="230"/>
      </w:pPr>
      <w:r>
        <w:rPr>
          <w:b/>
          <w:color w:val="1F4E79"/>
        </w:rPr>
        <w:t xml:space="preserve">Q. </w:t>
      </w:r>
      <w:r>
        <w:t>Did you personally hear what was said in their meeting?</w:t>
      </w:r>
    </w:p>
    <w:p>
      <w:pPr>
        <w:spacing w:after="40"/>
        <w:ind w:left="230" w:hanging="230"/>
      </w:pPr>
      <w:r>
        <w:rPr>
          <w:b/>
          <w:color w:val="1F4E79"/>
        </w:rPr>
        <w:t xml:space="preserve">Q. </w:t>
      </w:r>
      <w:r>
        <w:t>Did you personally hear Ms. Trimble give an instruction to accounting about the royalty report?</w:t>
      </w:r>
    </w:p>
    <w:tbl>
      <w:tblPr>
        <w:tblStyle w:val="TableGrid"/>
        <w:tblW w:type="auto" w:w="0"/>
        <w:tblLook w:firstColumn="1" w:firstRow="1" w:lastColumn="0" w:lastRow="0" w:noHBand="0" w:noVBand="1" w:val="04A0"/>
      </w:tblPr>
      <w:tblGrid>
        <w:gridCol w:w="10166"/>
      </w:tblGrid>
      <w:tr>
        <w:tc>
          <w:tcPr>
            <w:tcW w:type="dxa" w:w="10166"/>
            <w:shd w:fill="FCECC9"/>
          </w:tcPr>
          <w:p>
            <w:pPr>
              <w:pStyle w:val="TableText"/>
            </w:pPr>
            <w:r/>
            <w:r>
              <w:rPr>
                <w:b/>
                <w:color w:val="9C0006"/>
              </w:rPr>
              <w:t xml:space="preserve">COUNSEL NOTE: </w:t>
            </w:r>
            <w:r>
              <w:t>Do not elicit as proof of the truth the out-of-court statement Elliston attributes to Karen Cho about a “hold” instruction; the pretrial order does not resolve that hearsay issue. If needed, use the Q3 report, its filing date, and Kowalski/other competent testimony. Elliston may state what he personally observed, without guessing what was discussed.</w:t>
            </w:r>
          </w:p>
        </w:tc>
      </w:tr>
    </w:tbl>
    <w:p>
      <w:pPr>
        <w:spacing w:after="0"/>
      </w:pPr>
    </w:p>
    <w:p>
      <w:r>
        <w:rPr>
          <w:b/>
          <w:color w:val="0F6B78"/>
        </w:rPr>
        <w:t>November 15–December 8, 2023 — formal escalation and response</w:t>
      </w:r>
    </w:p>
    <w:p>
      <w:pPr>
        <w:spacing w:after="40"/>
        <w:ind w:left="230" w:hanging="230"/>
      </w:pPr>
      <w:r>
        <w:rPr>
          <w:b/>
          <w:color w:val="1F4E79"/>
        </w:rPr>
        <w:t xml:space="preserve">Q. </w:t>
      </w:r>
      <w:r>
        <w:t>Did you send a third email on November 15? To whom, and why did you include General Counsel Nathan Greer?</w:t>
      </w:r>
    </w:p>
    <w:p>
      <w:pPr>
        <w:spacing w:after="40"/>
        <w:ind w:left="230" w:hanging="230"/>
      </w:pPr>
      <w:r>
        <w:rPr>
          <w:b/>
          <w:color w:val="1F4E79"/>
        </w:rPr>
        <w:t xml:space="preserve">Q. </w:t>
      </w:r>
      <w:r>
        <w:t>What did you summarize about the Q3 gap, MidAmerican, and the two ship-to companies?</w:t>
      </w:r>
    </w:p>
    <w:p>
      <w:pPr>
        <w:spacing w:after="40"/>
        <w:ind w:left="230" w:hanging="230"/>
      </w:pPr>
      <w:r>
        <w:rPr>
          <w:b/>
          <w:color w:val="1F4E79"/>
        </w:rPr>
        <w:t xml:space="preserve">Q. </w:t>
      </w:r>
      <w:r>
        <w:t>What action did you ask Cascade to take?</w:t>
      </w:r>
    </w:p>
    <w:p>
      <w:pPr>
        <w:spacing w:after="40"/>
        <w:ind w:left="230" w:hanging="230"/>
      </w:pPr>
      <w:r>
        <w:rPr>
          <w:b/>
          <w:color w:val="1F4E79"/>
        </w:rPr>
        <w:t xml:space="preserve">Q. </w:t>
      </w:r>
      <w:r>
        <w:t>Did you receive a response from any of the recipients immediately?</w:t>
      </w:r>
    </w:p>
    <w:p>
      <w:pPr>
        <w:spacing w:after="40"/>
        <w:ind w:left="230" w:hanging="230"/>
      </w:pPr>
      <w:r>
        <w:rPr>
          <w:b/>
          <w:color w:val="1F4E79"/>
        </w:rPr>
        <w:t xml:space="preserve">Q. </w:t>
      </w:r>
      <w:r>
        <w:t>When and from whom did you later receive a response?</w:t>
      </w:r>
    </w:p>
    <w:p>
      <w:pPr>
        <w:spacing w:after="40"/>
        <w:ind w:left="230" w:hanging="230"/>
      </w:pPr>
      <w:r>
        <w:rPr>
          <w:b/>
          <w:color w:val="1F4E79"/>
        </w:rPr>
        <w:t xml:space="preserve">Q. </w:t>
      </w:r>
      <w:r>
        <w:t>What did Mr. Greer’s December 8 communication say about the review and further inquiries?</w:t>
      </w:r>
    </w:p>
    <w:p>
      <w:pPr>
        <w:spacing w:after="40"/>
        <w:ind w:left="230" w:hanging="230"/>
      </w:pPr>
      <w:r>
        <w:rPr>
          <w:b/>
          <w:color w:val="1F4E79"/>
        </w:rPr>
        <w:t xml:space="preserve">Q. </w:t>
      </w:r>
      <w:r>
        <w:t>Did the memo describe what was reviewed, any corrective action, or notice to Ridgeline?</w:t>
      </w:r>
    </w:p>
    <w:p>
      <w:pPr>
        <w:spacing w:after="40"/>
        <w:ind w:left="230" w:hanging="230"/>
      </w:pPr>
      <w:r>
        <w:rPr>
          <w:b/>
          <w:color w:val="1F4E79"/>
        </w:rPr>
        <w:t xml:space="preserve">Q. </w:t>
      </w:r>
      <w:r>
        <w:t>What did you do after receiving the direction to refrain from further inquiries?</w:t>
      </w:r>
    </w:p>
    <w:p>
      <w:pPr>
        <w:spacing w:after="40"/>
        <w:ind w:left="230" w:hanging="230"/>
      </w:pPr>
      <w:r>
        <w:rPr>
          <w:b/>
          <w:color w:val="1F4E79"/>
        </w:rPr>
        <w:t xml:space="preserve">Q. </w:t>
      </w:r>
      <w:r>
        <w:t>Did anyone tell you that Cascade had corrected the transactions or notified Ridgeline?</w:t>
      </w:r>
    </w:p>
    <w:p>
      <w:pPr>
        <w:spacing w:after="60"/>
      </w:pPr>
      <w:r>
        <w:rPr>
          <w:i/>
          <w:color w:val="555555"/>
        </w:rPr>
        <w:t>Complete chain includes Elliston’s Nov. 15 escalation and Greer’s Dec. 8 memo (“reviewed and resolved”; “refrain from further inquiries”; “matter is now closed”). Let the document speak for itself; avoid inviting legal conclusions about suppression or intent.</w:t>
      </w:r>
    </w:p>
    <w:p>
      <w:pPr>
        <w:pStyle w:val="Heading2"/>
        <w:keepNext/>
      </w:pPr>
      <w:r>
        <w:t>G. November 20 USB copying</w:t>
      </w:r>
    </w:p>
    <w:p>
      <w:pPr>
        <w:spacing w:after="80"/>
      </w:pPr>
      <w:r>
        <w:rPr>
          <w:b/>
          <w:color w:val="0F6B78"/>
        </w:rPr>
        <w:t xml:space="preserve">Purpose: </w:t>
      </w:r>
      <w:r>
        <w:t>Address the permitted topic directly and narrowly, rather than appearing to conceal it.</w:t>
      </w:r>
    </w:p>
    <w:p>
      <w:pPr>
        <w:spacing w:after="40"/>
        <w:ind w:left="230" w:hanging="230"/>
      </w:pPr>
      <w:r>
        <w:rPr>
          <w:b/>
          <w:color w:val="1F4E79"/>
        </w:rPr>
        <w:t xml:space="preserve">Q. </w:t>
      </w:r>
      <w:r>
        <w:t>Did you copy any Cascade materials to a personal USB drive while employed there? When?</w:t>
      </w:r>
    </w:p>
    <w:p>
      <w:pPr>
        <w:spacing w:after="40"/>
        <w:ind w:left="230" w:hanging="230"/>
      </w:pPr>
      <w:r>
        <w:rPr>
          <w:b/>
          <w:color w:val="1F4E79"/>
        </w:rPr>
        <w:t xml:space="preserve">Q. </w:t>
      </w:r>
      <w:r>
        <w:t>What specific categories of documents did you copy?</w:t>
      </w:r>
    </w:p>
    <w:p>
      <w:pPr>
        <w:spacing w:after="40"/>
        <w:ind w:left="230" w:hanging="230"/>
      </w:pPr>
      <w:r>
        <w:rPr>
          <w:b/>
          <w:color w:val="1F4E79"/>
        </w:rPr>
        <w:t xml:space="preserve">Q. </w:t>
      </w:r>
      <w:r>
        <w:t>Did you obtain prior authorization? Were you aware of Cascade’s policy concerning personal storage devices?</w:t>
      </w:r>
    </w:p>
    <w:p>
      <w:pPr>
        <w:spacing w:after="40"/>
        <w:ind w:left="230" w:hanging="230"/>
      </w:pPr>
      <w:r>
        <w:rPr>
          <w:b/>
          <w:color w:val="1F4E79"/>
        </w:rPr>
        <w:t xml:space="preserve">Q. </w:t>
      </w:r>
      <w:r>
        <w:t>Why did you preserve these particular materials?</w:t>
      </w:r>
    </w:p>
    <w:p>
      <w:pPr>
        <w:spacing w:after="40"/>
        <w:ind w:left="230" w:hanging="230"/>
      </w:pPr>
      <w:r>
        <w:rPr>
          <w:b/>
          <w:color w:val="1F4E79"/>
        </w:rPr>
        <w:t xml:space="preserve">Q. </w:t>
      </w:r>
      <w:r>
        <w:t>At that point, had you received a response to the November 15 escalation or learned of corrective action?</w:t>
      </w:r>
    </w:p>
    <w:p>
      <w:pPr>
        <w:spacing w:after="40"/>
        <w:ind w:left="230" w:hanging="230"/>
      </w:pPr>
      <w:r>
        <w:rPr>
          <w:b/>
          <w:color w:val="1F4E79"/>
        </w:rPr>
        <w:t xml:space="preserve">Q. </w:t>
      </w:r>
      <w:r>
        <w:t>Did you copy anything beyond documents relating to the discrepancy you had identified?</w:t>
      </w:r>
    </w:p>
    <w:p>
      <w:pPr>
        <w:spacing w:after="40"/>
        <w:ind w:left="230" w:hanging="230"/>
      </w:pPr>
      <w:r>
        <w:rPr>
          <w:b/>
          <w:color w:val="1F4E79"/>
        </w:rPr>
        <w:t xml:space="preserve">Q. </w:t>
      </w:r>
      <w:r>
        <w:t>Did you provide copies to Ridgeline’s counsel? Did you receive any payment or benefit for doing so?</w:t>
      </w:r>
    </w:p>
    <w:tbl>
      <w:tblPr>
        <w:tblStyle w:val="TableGrid"/>
        <w:tblW w:type="auto" w:w="0"/>
        <w:tblLook w:firstColumn="1" w:firstRow="1" w:lastColumn="0" w:lastRow="0" w:noHBand="0" w:noVBand="1" w:val="04A0"/>
      </w:tblPr>
      <w:tblGrid>
        <w:gridCol w:w="10166"/>
      </w:tblGrid>
      <w:tr>
        <w:tc>
          <w:tcPr>
            <w:tcW w:type="dxa" w:w="10166"/>
            <w:shd w:fill="FCECC9"/>
          </w:tcPr>
          <w:p>
            <w:pPr>
              <w:pStyle w:val="TableText"/>
            </w:pPr>
            <w:r/>
            <w:r>
              <w:rPr>
                <w:b/>
                <w:color w:val="9C0006"/>
              </w:rPr>
              <w:t xml:space="preserve">COUNSEL NOTE: </w:t>
            </w:r>
            <w:r>
              <w:t>Before asking about the later USB device or retained copies, reconcile the facts with Elliston: deposition pp. 145–52 says he copied records without permission on Nov. 20 and provided copies to counsel; the Jan. 19 severance agreement contains a certification about returning USB drives and retaining no company copies. Confirm exactly what device/data was returned, when, and what copy remained. Do not have him adopt a fact not verified. The Court permits inquiry but expects no collateral IT-policy trial.</w:t>
            </w:r>
          </w:p>
        </w:tc>
      </w:tr>
    </w:tbl>
    <w:p>
      <w:pPr>
        <w:spacing w:after="0"/>
      </w:pPr>
    </w:p>
    <w:p>
      <w:pPr>
        <w:pStyle w:val="Heading2"/>
        <w:keepNext/>
      </w:pPr>
      <w:r>
        <w:t>H. Termination meeting and departure</w:t>
      </w:r>
    </w:p>
    <w:p>
      <w:pPr>
        <w:spacing w:after="80"/>
      </w:pPr>
      <w:r>
        <w:rPr>
          <w:b/>
          <w:color w:val="0F6B78"/>
        </w:rPr>
        <w:t xml:space="preserve">Purpose: </w:t>
      </w:r>
      <w:r>
        <w:t>Lay Voss-statement foundation expressly; present the employment facts only for the Court-approved purposes.</w:t>
      </w:r>
    </w:p>
    <w:p>
      <w:pPr>
        <w:spacing w:after="40"/>
        <w:ind w:left="230" w:hanging="230"/>
      </w:pPr>
      <w:r>
        <w:rPr>
          <w:b/>
          <w:color w:val="1F4E79"/>
        </w:rPr>
        <w:t xml:space="preserve">Q. </w:t>
      </w:r>
      <w:r>
        <w:t>What was your employment status on January 12, 2024?</w:t>
      </w:r>
    </w:p>
    <w:p>
      <w:pPr>
        <w:spacing w:after="40"/>
        <w:ind w:left="230" w:hanging="230"/>
      </w:pPr>
      <w:r>
        <w:rPr>
          <w:b/>
          <w:color w:val="1F4E79"/>
        </w:rPr>
        <w:t xml:space="preserve">Q. </w:t>
      </w:r>
      <w:r>
        <w:t>Before that date, had you received a performance improvement plan, warning, or counseling? What was your most recent performance review and rating?</w:t>
      </w:r>
    </w:p>
    <w:p>
      <w:pPr>
        <w:spacing w:after="40"/>
        <w:ind w:left="230" w:hanging="230"/>
      </w:pPr>
      <w:r>
        <w:rPr>
          <w:b/>
          <w:color w:val="1F4E79"/>
        </w:rPr>
        <w:t xml:space="preserve">Q. </w:t>
      </w:r>
      <w:r>
        <w:t>Please describe the meeting on January 12: where and when did it occur, who attended, and what was its purpose?</w:t>
      </w:r>
    </w:p>
    <w:p>
      <w:pPr>
        <w:spacing w:after="40"/>
        <w:ind w:left="230" w:hanging="230"/>
      </w:pPr>
      <w:r>
        <w:rPr>
          <w:b/>
          <w:color w:val="1F4E79"/>
        </w:rPr>
        <w:t xml:space="preserve">Q. </w:t>
      </w:r>
      <w:r>
        <w:t>What position did Mr. Voss hold at Cascade, and what was he doing in that meeting?</w:t>
      </w:r>
    </w:p>
    <w:p>
      <w:pPr>
        <w:spacing w:after="40"/>
        <w:ind w:left="230" w:hanging="230"/>
      </w:pPr>
      <w:r>
        <w:rPr>
          <w:b/>
          <w:color w:val="1F4E79"/>
        </w:rPr>
        <w:t xml:space="preserve">Q. </w:t>
      </w:r>
      <w:r>
        <w:t>What did Mr. Voss say to you?</w:t>
      </w:r>
    </w:p>
    <w:p>
      <w:pPr>
        <w:spacing w:after="40"/>
        <w:ind w:left="230" w:hanging="230"/>
      </w:pPr>
      <w:r>
        <w:rPr>
          <w:b/>
          <w:color w:val="1F4E79"/>
        </w:rPr>
        <w:t xml:space="preserve">Q. </w:t>
      </w:r>
      <w:r>
        <w:t>What, if anything, did he say about your emails, MidAmerican, Ridgeline, or the reporting issue?</w:t>
      </w:r>
    </w:p>
    <w:p>
      <w:pPr>
        <w:spacing w:after="40"/>
        <w:ind w:left="230" w:hanging="230"/>
      </w:pPr>
      <w:r>
        <w:rPr>
          <w:b/>
          <w:color w:val="1F4E79"/>
        </w:rPr>
        <w:t xml:space="preserve">Q. </w:t>
      </w:r>
      <w:r>
        <w:t>What explanation did you receive about the restructuring, and was any written explanation provided to you?</w:t>
      </w:r>
    </w:p>
    <w:p>
      <w:pPr>
        <w:spacing w:after="40"/>
        <w:ind w:left="230" w:hanging="230"/>
      </w:pPr>
      <w:r>
        <w:rPr>
          <w:b/>
          <w:color w:val="1F4E79"/>
        </w:rPr>
        <w:t xml:space="preserve">Q. </w:t>
      </w:r>
      <w:r>
        <w:t>To your knowledge, were other Sales Operations employees terminated at that time?</w:t>
      </w:r>
    </w:p>
    <w:p>
      <w:pPr>
        <w:spacing w:after="40"/>
        <w:ind w:left="230" w:hanging="230"/>
      </w:pPr>
      <w:r>
        <w:rPr>
          <w:b/>
          <w:color w:val="1F4E79"/>
        </w:rPr>
        <w:t xml:space="preserve">Q. </w:t>
      </w:r>
      <w:r>
        <w:t>What, if anything, did you later learn about whether your former position was filled? When did you learn it, and from whom?</w:t>
      </w:r>
    </w:p>
    <w:p>
      <w:pPr>
        <w:spacing w:after="40"/>
        <w:ind w:left="230" w:hanging="230"/>
      </w:pPr>
      <w:r>
        <w:rPr>
          <w:b/>
          <w:color w:val="1F4E79"/>
        </w:rPr>
        <w:t xml:space="preserve">Q. </w:t>
      </w:r>
      <w:r>
        <w:t>When did your employment end? What was your annual base salary?</w:t>
      </w:r>
    </w:p>
    <w:p>
      <w:pPr>
        <w:spacing w:after="40"/>
        <w:ind w:left="230" w:hanging="230"/>
      </w:pPr>
      <w:r>
        <w:rPr>
          <w:b/>
          <w:color w:val="1F4E79"/>
        </w:rPr>
        <w:t xml:space="preserve">Q. </w:t>
      </w:r>
      <w:r>
        <w:t>Did you enter a severance agreement? When did you sign it, and what payment did it provide?</w:t>
      </w:r>
    </w:p>
    <w:p>
      <w:pPr>
        <w:spacing w:after="40"/>
        <w:ind w:left="230" w:hanging="230"/>
      </w:pPr>
      <w:r>
        <w:rPr>
          <w:b/>
          <w:color w:val="1F4E79"/>
        </w:rPr>
        <w:t xml:space="preserve">Q. </w:t>
      </w:r>
      <w:r>
        <w:t>Was the severance payment described as conditional on signing the agreement?</w:t>
      </w:r>
    </w:p>
    <w:p>
      <w:pPr>
        <w:spacing w:after="40"/>
        <w:ind w:left="230" w:hanging="230"/>
      </w:pPr>
      <w:r>
        <w:rPr>
          <w:b/>
          <w:color w:val="1F4E79"/>
        </w:rPr>
        <w:t xml:space="preserve">Q. </w:t>
      </w:r>
      <w:r>
        <w:t>Did the agreement address voluntary testimony in civil litigation? [If raised; the Court has ruled the carve-out permits this testimony.]</w:t>
      </w:r>
    </w:p>
    <w:p>
      <w:pPr>
        <w:spacing w:after="60"/>
      </w:pPr>
      <w:r>
        <w:rPr>
          <w:i/>
          <w:color w:val="555555"/>
        </w:rPr>
        <w:t>Foundation sequence before quote: date / participants / purpose / Voss’s identity and representative role / then exact statement. Establish no prior warnings and July 2023 “exceeds expectations” review if recalled. For Jared Hoffman, Elliston testified he learned from former colleagues and had no official communication (depo pp. 108–10); disclose that basis and do not imply firsthand knowledge. Severance: $87,500, six months’ salary, signed Jan. 19. Keep direct examination to the departure sequence and terms relevant to it; do not ask Elliston to opine that signing did or did not prove the termination was legitimate. The severance instrument is only for departure context; court’s limiting instruction must accompany it.</w:t>
      </w:r>
    </w:p>
    <w:tbl>
      <w:tblPr>
        <w:tblStyle w:val="TableGrid"/>
        <w:tblW w:type="auto" w:w="0"/>
        <w:tblLook w:firstColumn="1" w:firstRow="1" w:lastColumn="0" w:lastRow="0" w:noHBand="0" w:noVBand="1" w:val="04A0"/>
      </w:tblPr>
      <w:tblGrid>
        <w:gridCol w:w="10166"/>
      </w:tblGrid>
      <w:tr>
        <w:tc>
          <w:tcPr>
            <w:tcW w:type="dxa" w:w="10166"/>
            <w:shd w:fill="FCECC9"/>
          </w:tcPr>
          <w:p>
            <w:pPr>
              <w:pStyle w:val="TableText"/>
            </w:pPr>
            <w:r/>
            <w:r>
              <w:rPr>
                <w:b/>
                <w:color w:val="9C0006"/>
              </w:rPr>
              <w:t xml:space="preserve">COUNSEL NOTE: </w:t>
            </w:r>
            <w:r>
              <w:t>Offer the Court’s limiting instruction with any severance exhibit: “Mr. Elliston’s severance agreement is admitted solely for the purpose of showing the circumstances of his departure from Cascade Supply Group. The existence of the severance agreement and release does not bear on the merits of Ridgeline’s claims against Cascade and should not be considered as evidence that any particular claim has or has not been established.”</w:t>
            </w:r>
          </w:p>
        </w:tc>
      </w:tr>
    </w:tbl>
    <w:p>
      <w:pPr>
        <w:spacing w:after="0"/>
      </w:pPr>
    </w:p>
    <w:p>
      <w:pPr>
        <w:pStyle w:val="Heading2"/>
        <w:keepNext/>
      </w:pPr>
      <w:r>
        <w:t>I. Bias, voluntariness, and commission dispute (strategic; brief)</w:t>
      </w:r>
    </w:p>
    <w:p>
      <w:pPr>
        <w:spacing w:after="80"/>
      </w:pPr>
      <w:r>
        <w:rPr>
          <w:b/>
          <w:color w:val="0F6B78"/>
        </w:rPr>
        <w:t xml:space="preserve">Purpose: </w:t>
      </w:r>
      <w:r>
        <w:t>Neutralize expected impeachment accurately. The Court permits commission-dispute evidence on direct or redirect.</w:t>
      </w:r>
    </w:p>
    <w:p>
      <w:pPr>
        <w:spacing w:after="40"/>
        <w:ind w:left="230" w:hanging="230"/>
      </w:pPr>
      <w:r>
        <w:rPr>
          <w:b/>
          <w:color w:val="1F4E79"/>
        </w:rPr>
        <w:t xml:space="preserve">Q. </w:t>
      </w:r>
      <w:r>
        <w:t>Did you have a disagreement with Ms. Trimble about the proposed sales commission structure earlier in 2023?</w:t>
      </w:r>
    </w:p>
    <w:p>
      <w:pPr>
        <w:spacing w:after="40"/>
        <w:ind w:left="230" w:hanging="230"/>
      </w:pPr>
      <w:r>
        <w:rPr>
          <w:b/>
          <w:color w:val="1F4E79"/>
        </w:rPr>
        <w:t xml:space="preserve">Q. </w:t>
      </w:r>
      <w:r>
        <w:t>What was the disagreement and how was it resolved?</w:t>
      </w:r>
    </w:p>
    <w:p>
      <w:pPr>
        <w:spacing w:after="40"/>
        <w:ind w:left="230" w:hanging="230"/>
      </w:pPr>
      <w:r>
        <w:rPr>
          <w:b/>
          <w:color w:val="1F4E79"/>
        </w:rPr>
        <w:t xml:space="preserve">Q. </w:t>
      </w:r>
      <w:r>
        <w:t>How would you describe your feelings about that outcome at the time you raised the shipment issue?</w:t>
      </w:r>
    </w:p>
    <w:p>
      <w:pPr>
        <w:spacing w:after="40"/>
        <w:ind w:left="230" w:hanging="230"/>
      </w:pPr>
      <w:r>
        <w:rPr>
          <w:b/>
          <w:color w:val="1F4E79"/>
        </w:rPr>
        <w:t xml:space="preserve">Q. </w:t>
      </w:r>
      <w:r>
        <w:t>What was your reason for reporting the shipment discrepancy?</w:t>
      </w:r>
    </w:p>
    <w:p>
      <w:pPr>
        <w:spacing w:after="40"/>
        <w:ind w:left="230" w:hanging="230"/>
      </w:pPr>
      <w:r>
        <w:rPr>
          <w:b/>
          <w:color w:val="1F4E79"/>
        </w:rPr>
        <w:t xml:space="preserve">Q. </w:t>
      </w:r>
      <w:r>
        <w:t>Who did you contact first, and why?</w:t>
      </w:r>
    </w:p>
    <w:p>
      <w:pPr>
        <w:spacing w:after="40"/>
        <w:ind w:left="230" w:hanging="230"/>
      </w:pPr>
      <w:r>
        <w:rPr>
          <w:b/>
          <w:color w:val="1F4E79"/>
        </w:rPr>
        <w:t xml:space="preserve">Q. </w:t>
      </w:r>
      <w:r>
        <w:t>Are you receiving compensation, employment, consulting work, or any promised benefit from Ridgeline for your testimony?</w:t>
      </w:r>
    </w:p>
    <w:p>
      <w:pPr>
        <w:spacing w:after="40"/>
        <w:ind w:left="230" w:hanging="230"/>
      </w:pPr>
      <w:r>
        <w:rPr>
          <w:b/>
          <w:color w:val="1F4E79"/>
        </w:rPr>
        <w:t xml:space="preserve">Q. </w:t>
      </w:r>
      <w:r>
        <w:t>Are you appearing voluntarily? Apart from reasonable travel expenses, have you been promised anything?</w:t>
      </w:r>
    </w:p>
    <w:p>
      <w:pPr>
        <w:spacing w:after="60"/>
      </w:pPr>
      <w:r>
        <w:rPr>
          <w:i/>
          <w:color w:val="555555"/>
        </w:rPr>
        <w:t>Use one short, candid treatment on direct if desired; otherwise reserve the commission issue for redirect if Cascade raises it. Deposition pages 189–95: proposal rejected; relationship sometimes tense; he was disappointed but denied a grudge; initial Sep. 28 email went to Voss alone. Deposition pages 236–38: no payment/benefit, reasonable travel reimbursement, current sense he was wronged. Do not imply lack of bias as a fact the jury must accept.</w:t>
      </w:r>
    </w:p>
    <w:p>
      <w:pPr>
        <w:pStyle w:val="Heading1"/>
        <w:keepNext/>
      </w:pPr>
      <w:r>
        <w:t>4. Anticipated Cascade cross-examination and response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shd w:fill="17365D"/>
          </w:tcPr>
          <w:p>
            <w:pPr>
              <w:pStyle w:val="TableText"/>
            </w:pPr>
            <w:r/>
            <w:r>
              <w:rPr>
                <w:b/>
                <w:color w:val="FFFFFF"/>
                <w:sz w:val="15"/>
              </w:rPr>
              <w:t>Likely subject / deposition cite</w:t>
            </w:r>
          </w:p>
        </w:tc>
        <w:tc>
          <w:tcPr>
            <w:tcW w:type="dxa" w:w="5040"/>
            <w:vAlign w:val="center"/>
            <w:shd w:fill="17365D"/>
          </w:tcPr>
          <w:p>
            <w:pPr>
              <w:pStyle w:val="TableText"/>
            </w:pPr>
            <w:r/>
            <w:r>
              <w:rPr>
                <w:b/>
                <w:color w:val="FFFFFF"/>
                <w:sz w:val="15"/>
              </w:rPr>
              <w:t>Fair admissions / answer lane</w:t>
            </w:r>
          </w:p>
        </w:tc>
        <w:tc>
          <w:tcPr>
            <w:tcW w:type="dxa" w:w="4392"/>
            <w:vAlign w:val="center"/>
            <w:shd w:fill="17365D"/>
          </w:tcPr>
          <w:p>
            <w:pPr>
              <w:pStyle w:val="TableText"/>
            </w:pPr>
            <w:r/>
            <w:r>
              <w:rPr>
                <w:b/>
                <w:color w:val="FFFFFF"/>
                <w:sz w:val="15"/>
              </w:rPr>
              <w:t>Redirect objective</w:t>
            </w:r>
          </w:p>
        </w:tc>
      </w:tr>
      <w:tr>
        <w:tc>
          <w:tcPr>
            <w:tcW w:type="dxa" w:w="2376"/>
            <w:vAlign w:val="center"/>
            <w:shd w:fill="F3F6F9"/>
          </w:tcPr>
          <w:p>
            <w:pPr>
              <w:pStyle w:val="TableText"/>
            </w:pPr>
            <w:r/>
            <w:r>
              <w:rPr>
                <w:b w:val="0"/>
                <w:sz w:val="15"/>
              </w:rPr>
              <w:t>Commission dispute &amp; animus</w:t>
              <w:br/>
              <w:t>pp. 189–95</w:t>
            </w:r>
          </w:p>
        </w:tc>
        <w:tc>
          <w:tcPr>
            <w:tcW w:type="dxa" w:w="5040"/>
            <w:vAlign w:val="center"/>
            <w:shd w:fill="F3F6F9"/>
          </w:tcPr>
          <w:p>
            <w:pPr>
              <w:pStyle w:val="TableText"/>
            </w:pPr>
            <w:r/>
            <w:r>
              <w:rPr>
                <w:b w:val="0"/>
                <w:sz w:val="15"/>
              </w:rPr>
              <w:t>Acknowledge early-2023 disagreement; Trimble’s position prevailed; relationship sometimes tense; he was disappointed. Deny that this motivated reporting.</w:t>
            </w:r>
          </w:p>
        </w:tc>
        <w:tc>
          <w:tcPr>
            <w:tcW w:type="dxa" w:w="4392"/>
            <w:vAlign w:val="center"/>
            <w:shd w:fill="F3F6F9"/>
          </w:tcPr>
          <w:p>
            <w:pPr>
              <w:pStyle w:val="TableText"/>
            </w:pPr>
            <w:r/>
            <w:r>
              <w:rPr>
                <w:b w:val="0"/>
                <w:sz w:val="15"/>
              </w:rPr>
              <w:t>Remind jury first Sep. 28 report went to Voss, his direct supervisor, before Trimble was included; separate commission issue from records discrepancy.</w:t>
            </w:r>
          </w:p>
        </w:tc>
      </w:tr>
      <w:tr>
        <w:tc>
          <w:tcPr>
            <w:tcW w:type="dxa" w:w="2376"/>
            <w:vAlign w:val="center"/>
          </w:tcPr>
          <w:p>
            <w:pPr>
              <w:pStyle w:val="TableText"/>
            </w:pPr>
            <w:r/>
            <w:r>
              <w:rPr>
                <w:b w:val="0"/>
                <w:sz w:val="15"/>
              </w:rPr>
              <w:t>USB / Data Policy</w:t>
              <w:br/>
              <w:t>pp. 145–52</w:t>
            </w:r>
          </w:p>
        </w:tc>
        <w:tc>
          <w:tcPr>
            <w:tcW w:type="dxa" w:w="5040"/>
            <w:vAlign w:val="center"/>
          </w:tcPr>
          <w:p>
            <w:pPr>
              <w:pStyle w:val="TableText"/>
            </w:pPr>
            <w:r/>
            <w:r>
              <w:rPr>
                <w:b w:val="0"/>
                <w:sz w:val="15"/>
              </w:rPr>
              <w:t>No authorization; knew policy generally; copied limited discrepancy-related emails, spreadsheet, screenshots on Nov. 20; explain stated concern that evidence might be deleted. Do not deny policy violation.</w:t>
            </w:r>
          </w:p>
        </w:tc>
        <w:tc>
          <w:tcPr>
            <w:tcW w:type="dxa" w:w="4392"/>
            <w:vAlign w:val="center"/>
          </w:tcPr>
          <w:p>
            <w:pPr>
              <w:pStyle w:val="TableText"/>
            </w:pPr>
            <w:r/>
            <w:r>
              <w:rPr>
                <w:b w:val="0"/>
                <w:sz w:val="15"/>
              </w:rPr>
              <w:t>Clarify scope, reason, no broader file sweep, no plans to leave (if accurate), and no benefit from counsel; avoid debating “theft.” Reconcile physical USB and severance certification truthfully.</w:t>
            </w:r>
          </w:p>
        </w:tc>
      </w:tr>
      <w:tr>
        <w:tc>
          <w:tcPr>
            <w:tcW w:type="dxa" w:w="2376"/>
            <w:vAlign w:val="center"/>
            <w:shd w:fill="F3F6F9"/>
          </w:tcPr>
          <w:p>
            <w:pPr>
              <w:pStyle w:val="TableText"/>
            </w:pPr>
            <w:r/>
            <w:r>
              <w:rPr>
                <w:b w:val="0"/>
                <w:sz w:val="15"/>
              </w:rPr>
              <w:t>Date and spreadsheet metadata</w:t>
              <w:br/>
              <w:t>pp. 72–74, 83; email; file metadata</w:t>
            </w:r>
          </w:p>
        </w:tc>
        <w:tc>
          <w:tcPr>
            <w:tcW w:type="dxa" w:w="5040"/>
            <w:vAlign w:val="center"/>
            <w:shd w:fill="F3F6F9"/>
          </w:tcPr>
          <w:p>
            <w:pPr>
              <w:pStyle w:val="TableText"/>
            </w:pPr>
            <w:r/>
            <w:r>
              <w:rPr>
                <w:b w:val="0"/>
                <w:sz w:val="15"/>
              </w:rPr>
              <w:t>Cannot give exact first-noticed date; began workbook around Sep. 22 and worked over several days; email said “last week”; confirmed discrepancy around Sep. 25.</w:t>
            </w:r>
          </w:p>
        </w:tc>
        <w:tc>
          <w:tcPr>
            <w:tcW w:type="dxa" w:w="4392"/>
            <w:vAlign w:val="center"/>
            <w:shd w:fill="F3F6F9"/>
          </w:tcPr>
          <w:p>
            <w:pPr>
              <w:pStyle w:val="TableText"/>
            </w:pPr>
            <w:r/>
            <w:r>
              <w:rPr>
                <w:b w:val="0"/>
                <w:sz w:val="15"/>
              </w:rPr>
              <w:t>Clarify distinct events (first noticed / confirmed / created workbook), not a deliberate shifting of a precise date.</w:t>
            </w:r>
          </w:p>
        </w:tc>
      </w:tr>
      <w:tr>
        <w:tc>
          <w:tcPr>
            <w:tcW w:type="dxa" w:w="2376"/>
            <w:vAlign w:val="center"/>
          </w:tcPr>
          <w:p>
            <w:pPr>
              <w:pStyle w:val="TableText"/>
            </w:pPr>
            <w:r/>
            <w:r>
              <w:rPr>
                <w:b w:val="0"/>
                <w:sz w:val="15"/>
              </w:rPr>
              <w:t>Unit number</w:t>
              <w:br/>
              <w:t>Depo p. 187:4–12; workbook</w:t>
            </w:r>
          </w:p>
        </w:tc>
        <w:tc>
          <w:tcPr>
            <w:tcW w:type="dxa" w:w="5040"/>
            <w:vAlign w:val="center"/>
          </w:tcPr>
          <w:p>
            <w:pPr>
              <w:pStyle w:val="TableText"/>
            </w:pPr>
            <w:r/>
            <w:r>
              <w:rPr>
                <w:b w:val="0"/>
                <w:sz w:val="15"/>
              </w:rPr>
              <w:t>He used “approximately 1,100” as rounded shorthand; exact subtraction on spreadsheet is 1,113.</w:t>
            </w:r>
          </w:p>
        </w:tc>
        <w:tc>
          <w:tcPr>
            <w:tcW w:type="dxa" w:w="4392"/>
            <w:vAlign w:val="center"/>
          </w:tcPr>
          <w:p>
            <w:pPr>
              <w:pStyle w:val="TableText"/>
            </w:pPr>
            <w:r/>
            <w:r>
              <w:rPr>
                <w:b w:val="0"/>
                <w:sz w:val="15"/>
              </w:rPr>
              <w:t>Confirm he is not disputing the spreadsheet arithmetic; explain approximate wording was not an alternative calculation.</w:t>
            </w:r>
          </w:p>
        </w:tc>
      </w:tr>
      <w:tr>
        <w:tc>
          <w:tcPr>
            <w:tcW w:type="dxa" w:w="2376"/>
            <w:vAlign w:val="center"/>
            <w:shd w:fill="F3F6F9"/>
          </w:tcPr>
          <w:p>
            <w:pPr>
              <w:pStyle w:val="TableText"/>
            </w:pPr>
            <w:r/>
            <w:r>
              <w:rPr>
                <w:b w:val="0"/>
                <w:sz w:val="15"/>
              </w:rPr>
              <w:t>Limited accounting / SAP training</w:t>
              <w:br/>
              <w:t>pp. 210–18; 120–34</w:t>
            </w:r>
          </w:p>
        </w:tc>
        <w:tc>
          <w:tcPr>
            <w:tcW w:type="dxa" w:w="5040"/>
            <w:vAlign w:val="center"/>
            <w:shd w:fill="F3F6F9"/>
          </w:tcPr>
          <w:p>
            <w:pPr>
              <w:pStyle w:val="TableText"/>
            </w:pPr>
            <w:r/>
            <w:r>
              <w:rPr>
                <w:b w:val="0"/>
                <w:sz w:val="15"/>
              </w:rPr>
              <w:t>No CPA / forensic accounting qualification; no financial-module or forensic-extraction expertise; he routinely used sales/shipments data.</w:t>
            </w:r>
          </w:p>
        </w:tc>
        <w:tc>
          <w:tcPr>
            <w:tcW w:type="dxa" w:w="4392"/>
            <w:vAlign w:val="center"/>
            <w:shd w:fill="F3F6F9"/>
          </w:tcPr>
          <w:p>
            <w:pPr>
              <w:pStyle w:val="TableText"/>
            </w:pPr>
            <w:r/>
            <w:r>
              <w:rPr>
                <w:b w:val="0"/>
                <w:sz w:val="15"/>
              </w:rPr>
              <w:t>Reaffirm he offers no aggregate damages or royalty opinion; his testimony is about personally observed source records and a straightforward unit comparison.</w:t>
            </w:r>
          </w:p>
        </w:tc>
      </w:tr>
      <w:tr>
        <w:tc>
          <w:tcPr>
            <w:tcW w:type="dxa" w:w="2376"/>
            <w:vAlign w:val="center"/>
          </w:tcPr>
          <w:p>
            <w:pPr>
              <w:pStyle w:val="TableText"/>
            </w:pPr>
            <w:r/>
            <w:r>
              <w:rPr>
                <w:b w:val="0"/>
                <w:sz w:val="15"/>
              </w:rPr>
              <w:t>System ID does not prove user at keyboard</w:t>
              <w:br/>
              <w:t>pp. 131–34</w:t>
            </w:r>
          </w:p>
        </w:tc>
        <w:tc>
          <w:tcPr>
            <w:tcW w:type="dxa" w:w="5040"/>
            <w:vAlign w:val="center"/>
          </w:tcPr>
          <w:p>
            <w:pPr>
              <w:pStyle w:val="TableText"/>
            </w:pPr>
            <w:r/>
            <w:r>
              <w:rPr>
                <w:b w:val="0"/>
                <w:sz w:val="15"/>
              </w:rPr>
              <w:t>System records DVOSS01; credentials intended to be unique; he never saw another person use the ID; cannot rule out unauthorized use.</w:t>
            </w:r>
          </w:p>
        </w:tc>
        <w:tc>
          <w:tcPr>
            <w:tcW w:type="dxa" w:w="4392"/>
            <w:vAlign w:val="center"/>
          </w:tcPr>
          <w:p>
            <w:pPr>
              <w:pStyle w:val="TableText"/>
            </w:pPr>
            <w:r/>
            <w:r>
              <w:rPr>
                <w:b w:val="0"/>
                <w:sz w:val="15"/>
              </w:rPr>
              <w:t>Keep conclusion calibrated: the recorded ID and his familiarity with its assignment—not eyewitness identification of account creation.</w:t>
            </w:r>
          </w:p>
        </w:tc>
      </w:tr>
      <w:tr>
        <w:tc>
          <w:tcPr>
            <w:tcW w:type="dxa" w:w="2376"/>
            <w:vAlign w:val="center"/>
            <w:shd w:fill="F3F6F9"/>
          </w:tcPr>
          <w:p>
            <w:pPr>
              <w:pStyle w:val="TableText"/>
            </w:pPr>
            <w:r/>
            <w:r>
              <w:rPr>
                <w:b w:val="0"/>
                <w:sz w:val="15"/>
              </w:rPr>
              <w:t>Alternative explanations / verification</w:t>
              <w:br/>
              <w:t>pp. 89–90, 212–18</w:t>
            </w:r>
          </w:p>
        </w:tc>
        <w:tc>
          <w:tcPr>
            <w:tcW w:type="dxa" w:w="5040"/>
            <w:vAlign w:val="center"/>
            <w:shd w:fill="F3F6F9"/>
          </w:tcPr>
          <w:p>
            <w:pPr>
              <w:pStyle w:val="TableText"/>
            </w:pPr>
            <w:r/>
            <w:r>
              <w:rPr>
                <w:b w:val="0"/>
                <w:sz w:val="15"/>
              </w:rPr>
              <w:t>Relied on Cascade system data; no independent verification at the time; forensic expert is better positioned for broader work.</w:t>
            </w:r>
          </w:p>
        </w:tc>
        <w:tc>
          <w:tcPr>
            <w:tcW w:type="dxa" w:w="4392"/>
            <w:vAlign w:val="center"/>
            <w:shd w:fill="F3F6F9"/>
          </w:tcPr>
          <w:p>
            <w:pPr>
              <w:pStyle w:val="TableText"/>
            </w:pPr>
            <w:r/>
            <w:r>
              <w:rPr>
                <w:b w:val="0"/>
                <w:sz w:val="15"/>
              </w:rPr>
              <w:t>His duty was routine reconciliation; personally checked identified return, warranty, damaged-goods, and inventory-adjustment categories and none explained the gap.</w:t>
            </w:r>
          </w:p>
        </w:tc>
      </w:tr>
      <w:tr>
        <w:tc>
          <w:tcPr>
            <w:tcW w:type="dxa" w:w="2376"/>
            <w:vAlign w:val="center"/>
          </w:tcPr>
          <w:p>
            <w:pPr>
              <w:pStyle w:val="TableText"/>
            </w:pPr>
            <w:r/>
            <w:r>
              <w:rPr>
                <w:b w:val="0"/>
                <w:sz w:val="15"/>
              </w:rPr>
              <w:t>No direct knowledge of bank records / total scheme</w:t>
            </w:r>
          </w:p>
        </w:tc>
        <w:tc>
          <w:tcPr>
            <w:tcW w:type="dxa" w:w="5040"/>
            <w:vAlign w:val="center"/>
          </w:tcPr>
          <w:p>
            <w:pPr>
              <w:pStyle w:val="TableText"/>
            </w:pPr>
            <w:r/>
            <w:r>
              <w:rPr>
                <w:b w:val="0"/>
                <w:sz w:val="15"/>
              </w:rPr>
              <w:t>He did not review MidAmerican bank records during employment; not a forensic accountant; cannot quantify seven quarters or total royalties.</w:t>
            </w:r>
          </w:p>
        </w:tc>
        <w:tc>
          <w:tcPr>
            <w:tcW w:type="dxa" w:w="4392"/>
            <w:vAlign w:val="center"/>
          </w:tcPr>
          <w:p>
            <w:pPr>
              <w:pStyle w:val="TableText"/>
            </w:pPr>
            <w:r/>
            <w:r>
              <w:rPr>
                <w:b w:val="0"/>
                <w:sz w:val="15"/>
              </w:rPr>
              <w:t>No rehabilitation needed beyond clear limits. Leave revenue and unpaid-royalty totals to Kowalski and bank custodian.</w:t>
            </w:r>
          </w:p>
        </w:tc>
      </w:tr>
      <w:tr>
        <w:tc>
          <w:tcPr>
            <w:tcW w:type="dxa" w:w="2376"/>
            <w:vAlign w:val="center"/>
            <w:shd w:fill="F3F6F9"/>
          </w:tcPr>
          <w:p>
            <w:pPr>
              <w:pStyle w:val="TableText"/>
            </w:pPr>
            <w:r/>
            <w:r>
              <w:rPr>
                <w:b w:val="0"/>
                <w:sz w:val="15"/>
              </w:rPr>
              <w:t>Termination / motive / severance</w:t>
              <w:br/>
              <w:t>pp. 105–12, 225–38</w:t>
            </w:r>
          </w:p>
        </w:tc>
        <w:tc>
          <w:tcPr>
            <w:tcW w:type="dxa" w:w="5040"/>
            <w:vAlign w:val="center"/>
            <w:shd w:fill="F3F6F9"/>
          </w:tcPr>
          <w:p>
            <w:pPr>
              <w:pStyle w:val="TableText"/>
            </w:pPr>
            <w:r/>
            <w:r>
              <w:rPr>
                <w:b w:val="0"/>
                <w:sz w:val="15"/>
              </w:rPr>
              <w:t>Voss did not expressly mention the issue; Elliston does not know management deliberations; signed release to receive needed income; did not retain separate counsel then; no standalone retaliation claim.</w:t>
            </w:r>
          </w:p>
        </w:tc>
        <w:tc>
          <w:tcPr>
            <w:tcW w:type="dxa" w:w="4392"/>
            <w:vAlign w:val="center"/>
            <w:shd w:fill="F3F6F9"/>
          </w:tcPr>
          <w:p>
            <w:pPr>
              <w:pStyle w:val="TableText"/>
            </w:pPr>
            <w:r/>
            <w:r>
              <w:rPr>
                <w:b w:val="0"/>
                <w:sz w:val="15"/>
              </w:rPr>
              <w:t>Return to the objective sequence only: report, response, no prior warnings / strong review, statement by CEO, departure context. Do not argue wrongful termination.</w:t>
            </w:r>
          </w:p>
        </w:tc>
      </w:tr>
      <w:tr>
        <w:tc>
          <w:tcPr>
            <w:tcW w:type="dxa" w:w="2376"/>
            <w:vAlign w:val="center"/>
          </w:tcPr>
          <w:p>
            <w:pPr>
              <w:pStyle w:val="TableText"/>
            </w:pPr>
            <w:r/>
            <w:r>
              <w:rPr>
                <w:b w:val="0"/>
                <w:sz w:val="15"/>
              </w:rPr>
              <w:t>Hoffman appointment</w:t>
              <w:br/>
              <w:t>pp. 108–10</w:t>
            </w:r>
          </w:p>
        </w:tc>
        <w:tc>
          <w:tcPr>
            <w:tcW w:type="dxa" w:w="5040"/>
            <w:vAlign w:val="center"/>
          </w:tcPr>
          <w:p>
            <w:pPr>
              <w:pStyle w:val="TableText"/>
            </w:pPr>
            <w:r/>
            <w:r>
              <w:rPr>
                <w:b w:val="0"/>
                <w:sz w:val="15"/>
              </w:rPr>
              <w:t>He learned from former colleagues; no official communication; no knowledge of internal business rationale.</w:t>
            </w:r>
          </w:p>
        </w:tc>
        <w:tc>
          <w:tcPr>
            <w:tcW w:type="dxa" w:w="4392"/>
            <w:vAlign w:val="center"/>
          </w:tcPr>
          <w:p>
            <w:pPr>
              <w:pStyle w:val="TableText"/>
            </w:pPr>
            <w:r/>
            <w:r>
              <w:rPr>
                <w:b w:val="0"/>
                <w:sz w:val="15"/>
              </w:rPr>
              <w:t>Do not overstate. If disputed, use competent records/other witness for appointment rather than asking Elliston to speculate.</w:t>
            </w:r>
          </w:p>
        </w:tc>
      </w:tr>
    </w:tbl>
    <w:p>
      <w:pPr>
        <w:spacing w:after="0"/>
      </w:pPr>
    </w:p>
    <w:p>
      <w:pPr>
        <w:pStyle w:val="Heading1"/>
        <w:keepNext/>
      </w:pPr>
      <w:r>
        <w:t>5. Focused redirect (only if opened on cross)</w:t>
      </w:r>
    </w:p>
    <w:p>
      <w:pPr>
        <w:spacing w:after="60"/>
      </w:pPr>
      <w:r>
        <w:rPr>
          <w:i/>
          <w:color w:val="555555"/>
        </w:rPr>
        <w:t>Redirect should answer the point raised, not repeat direct. Use the deposition transcript by page and line for any impeachment foundation as required by the Court.</w:t>
      </w:r>
    </w:p>
    <w:p>
      <w:pPr>
        <w:spacing w:after="40"/>
        <w:ind w:left="230" w:hanging="230"/>
      </w:pPr>
      <w:r>
        <w:rPr>
          <w:b/>
          <w:color w:val="1F4E79"/>
        </w:rPr>
        <w:t xml:space="preserve">Q. </w:t>
      </w:r>
      <w:r>
        <w:t>You were asked about the commission proposal. What was your first communication about the shipment discrepancy, who received it, and what was your relationship to that person?</w:t>
      </w:r>
    </w:p>
    <w:p>
      <w:pPr>
        <w:spacing w:after="40"/>
        <w:ind w:left="230" w:hanging="230"/>
      </w:pPr>
      <w:r>
        <w:rPr>
          <w:b/>
          <w:color w:val="1F4E79"/>
        </w:rPr>
        <w:t xml:space="preserve">Q. </w:t>
      </w:r>
      <w:r>
        <w:t>You were asked about the date. What did you mean by “around September 25,” and what does the September 22 metadata record—the start of the spreadsheet or an exact moment of discovery?</w:t>
      </w:r>
    </w:p>
    <w:p>
      <w:pPr>
        <w:spacing w:after="40"/>
        <w:ind w:left="230" w:hanging="230"/>
      </w:pPr>
      <w:r>
        <w:rPr>
          <w:b/>
          <w:color w:val="1F4E79"/>
        </w:rPr>
        <w:t xml:space="preserve">Q. </w:t>
      </w:r>
      <w:r>
        <w:t>You were asked about “approximately 1,100.” Was that an estimate or rounded expression? What exact unit gap did your spreadsheet list?</w:t>
      </w:r>
    </w:p>
    <w:p>
      <w:pPr>
        <w:spacing w:after="40"/>
        <w:ind w:left="230" w:hanging="230"/>
      </w:pPr>
      <w:r>
        <w:rPr>
          <w:b/>
          <w:color w:val="1F4E79"/>
        </w:rPr>
        <w:t xml:space="preserve">Q. </w:t>
      </w:r>
      <w:r>
        <w:t>You were asked about your qualifications. What is the limited factual comparison you personally made, and what conclusions are you leaving to the forensic accountant?</w:t>
      </w:r>
    </w:p>
    <w:p>
      <w:pPr>
        <w:spacing w:after="40"/>
        <w:ind w:left="230" w:hanging="230"/>
      </w:pPr>
      <w:r>
        <w:rPr>
          <w:b/>
          <w:color w:val="1F4E79"/>
        </w:rPr>
        <w:t xml:space="preserve">Q. </w:t>
      </w:r>
      <w:r>
        <w:t>You were asked about the SAP ID. What does the system record show, and what can you not say about the physical person at the keyboard?</w:t>
      </w:r>
    </w:p>
    <w:p>
      <w:pPr>
        <w:spacing w:after="40"/>
        <w:ind w:left="230" w:hanging="230"/>
      </w:pPr>
      <w:r>
        <w:rPr>
          <w:b/>
          <w:color w:val="1F4E79"/>
        </w:rPr>
        <w:t xml:space="preserve">Q. </w:t>
      </w:r>
      <w:r>
        <w:t>You were asked about the USB. What files did you copy, why, and what benefit—if any—did you receive?</w:t>
      </w:r>
    </w:p>
    <w:p>
      <w:pPr>
        <w:spacing w:after="40"/>
        <w:ind w:left="230" w:hanging="230"/>
      </w:pPr>
      <w:r>
        <w:rPr>
          <w:b/>
          <w:color w:val="1F4E79"/>
        </w:rPr>
        <w:t xml:space="preserve">Q. </w:t>
      </w:r>
      <w:r>
        <w:t>If cross relies on the severance as an admission, what was your reason for signing, and did you understand that signing accepted Cascade’s explanation? What does Section 8(b) say about truthful voluntary testimony here?</w:t>
      </w:r>
    </w:p>
    <w:p>
      <w:pPr>
        <w:pStyle w:val="Heading1"/>
        <w:keepNext/>
      </w:pPr>
      <w:r>
        <w:t>6. Deposition impeachment and exhibit checkpoints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shd w:fill="17365D"/>
          </w:tcPr>
          <w:p>
            <w:pPr>
              <w:pStyle w:val="TableText"/>
            </w:pPr>
            <w:r/>
            <w:r>
              <w:rPr>
                <w:b/>
                <w:color w:val="FFFFFF"/>
                <w:sz w:val="16"/>
              </w:rPr>
              <w:t>Potential point</w:t>
            </w:r>
          </w:p>
        </w:tc>
        <w:tc>
          <w:tcPr>
            <w:tcW w:type="dxa" w:w="3816"/>
            <w:vAlign w:val="center"/>
            <w:shd w:fill="17365D"/>
          </w:tcPr>
          <w:p>
            <w:pPr>
              <w:pStyle w:val="TableText"/>
            </w:pPr>
            <w:r/>
            <w:r>
              <w:rPr>
                <w:b/>
                <w:color w:val="FFFFFF"/>
                <w:sz w:val="16"/>
              </w:rPr>
              <w:t>Exact source / foundation</w:t>
            </w:r>
          </w:p>
        </w:tc>
        <w:tc>
          <w:tcPr>
            <w:tcW w:type="dxa" w:w="6120"/>
            <w:vAlign w:val="center"/>
            <w:shd w:fill="17365D"/>
          </w:tcPr>
          <w:p>
            <w:pPr>
              <w:pStyle w:val="TableText"/>
            </w:pPr>
            <w:r/>
            <w:r>
              <w:rPr>
                <w:b/>
                <w:color w:val="FFFFFF"/>
                <w:sz w:val="16"/>
              </w:rPr>
              <w:t>Trial handling</w:t>
            </w:r>
          </w:p>
        </w:tc>
      </w:tr>
      <w:tr>
        <w:tc>
          <w:tcPr>
            <w:tcW w:type="dxa" w:w="1872"/>
            <w:vAlign w:val="center"/>
            <w:shd w:fill="F3F6F9"/>
          </w:tcPr>
          <w:p>
            <w:pPr>
              <w:pStyle w:val="TableText"/>
            </w:pPr>
            <w:r/>
            <w:r>
              <w:rPr>
                <w:b w:val="0"/>
                <w:sz w:val="16"/>
              </w:rPr>
              <w:t>Discovery timing</w:t>
            </w:r>
          </w:p>
        </w:tc>
        <w:tc>
          <w:tcPr>
            <w:tcW w:type="dxa" w:w="3816"/>
            <w:vAlign w:val="center"/>
            <w:shd w:fill="F3F6F9"/>
          </w:tcPr>
          <w:p>
            <w:pPr>
              <w:pStyle w:val="TableText"/>
            </w:pPr>
            <w:r/>
            <w:r>
              <w:rPr>
                <w:b w:val="0"/>
                <w:sz w:val="16"/>
              </w:rPr>
              <w:t>Dec. 3, 2024 dep. pp. 72–74; workbook metadata 9/22/23; Sept. 28 email says “identified last week.”</w:t>
            </w:r>
          </w:p>
        </w:tc>
        <w:tc>
          <w:tcPr>
            <w:tcW w:type="dxa" w:w="6120"/>
            <w:vAlign w:val="center"/>
            <w:shd w:fill="F3F6F9"/>
          </w:tcPr>
          <w:p>
            <w:pPr>
              <w:pStyle w:val="TableText"/>
            </w:pPr>
            <w:r/>
            <w:r>
              <w:rPr>
                <w:b w:val="0"/>
                <w:sz w:val="16"/>
              </w:rPr>
              <w:t>If used to impeach, direct Elliston and jury to specific page/line. Ask whether he made the statement and let him explain; do not characterize as three irreconcilable exact dates.</w:t>
            </w:r>
          </w:p>
        </w:tc>
      </w:tr>
      <w:tr>
        <w:tc>
          <w:tcPr>
            <w:tcW w:type="dxa" w:w="1872"/>
            <w:vAlign w:val="center"/>
          </w:tcPr>
          <w:p>
            <w:pPr>
              <w:pStyle w:val="TableText"/>
            </w:pPr>
            <w:r/>
            <w:r>
              <w:rPr>
                <w:b w:val="0"/>
                <w:sz w:val="16"/>
              </w:rPr>
              <w:t>Rounded unit count</w:t>
            </w:r>
          </w:p>
        </w:tc>
        <w:tc>
          <w:tcPr>
            <w:tcW w:type="dxa" w:w="3816"/>
            <w:vAlign w:val="center"/>
          </w:tcPr>
          <w:p>
            <w:pPr>
              <w:pStyle w:val="TableText"/>
            </w:pPr>
            <w:r/>
            <w:r>
              <w:rPr>
                <w:b w:val="0"/>
                <w:sz w:val="16"/>
              </w:rPr>
              <w:t>Trial brief cites dep. p. 187, lines 4–12 (“approximately 1,100”); spreadsheet says 1,113.</w:t>
            </w:r>
          </w:p>
        </w:tc>
        <w:tc>
          <w:tcPr>
            <w:tcW w:type="dxa" w:w="6120"/>
            <w:vAlign w:val="center"/>
          </w:tcPr>
          <w:p>
            <w:pPr>
              <w:pStyle w:val="TableText"/>
            </w:pPr>
            <w:r/>
            <w:r>
              <w:rPr>
                <w:b w:val="0"/>
                <w:sz w:val="16"/>
              </w:rPr>
              <w:t>Confront as approximate vs exact, not a substantive contradiction in underlying calculation.</w:t>
            </w:r>
          </w:p>
        </w:tc>
      </w:tr>
      <w:tr>
        <w:tc>
          <w:tcPr>
            <w:tcW w:type="dxa" w:w="1872"/>
            <w:vAlign w:val="center"/>
            <w:shd w:fill="F3F6F9"/>
          </w:tcPr>
          <w:p>
            <w:pPr>
              <w:pStyle w:val="TableText"/>
            </w:pPr>
            <w:r/>
            <w:r>
              <w:rPr>
                <w:b w:val="0"/>
                <w:sz w:val="16"/>
              </w:rPr>
              <w:t>Knowledge of SAP ID</w:t>
            </w:r>
          </w:p>
        </w:tc>
        <w:tc>
          <w:tcPr>
            <w:tcW w:type="dxa" w:w="3816"/>
            <w:vAlign w:val="center"/>
            <w:shd w:fill="F3F6F9"/>
          </w:tcPr>
          <w:p>
            <w:pPr>
              <w:pStyle w:val="TableText"/>
            </w:pPr>
            <w:r/>
            <w:r>
              <w:rPr>
                <w:b w:val="0"/>
                <w:sz w:val="16"/>
              </w:rPr>
              <w:t>Dep. pp. 121–23, 125–34.</w:t>
            </w:r>
          </w:p>
        </w:tc>
        <w:tc>
          <w:tcPr>
            <w:tcW w:type="dxa" w:w="6120"/>
            <w:vAlign w:val="center"/>
            <w:shd w:fill="F3F6F9"/>
          </w:tcPr>
          <w:p>
            <w:pPr>
              <w:pStyle w:val="TableText"/>
            </w:pPr>
            <w:r/>
            <w:r>
              <w:rPr>
                <w:b w:val="0"/>
                <w:sz w:val="16"/>
              </w:rPr>
              <w:t>Prove his experience/ordinary understanding; preserve candid caveat that logs record credentials, not physical identity.</w:t>
            </w:r>
          </w:p>
        </w:tc>
      </w:tr>
      <w:tr>
        <w:tc>
          <w:tcPr>
            <w:tcW w:type="dxa" w:w="1872"/>
            <w:vAlign w:val="center"/>
          </w:tcPr>
          <w:p>
            <w:pPr>
              <w:pStyle w:val="TableText"/>
            </w:pPr>
            <w:r/>
            <w:r>
              <w:rPr>
                <w:b w:val="0"/>
                <w:sz w:val="16"/>
              </w:rPr>
              <w:t>USB copy / retained records</w:t>
            </w:r>
          </w:p>
        </w:tc>
        <w:tc>
          <w:tcPr>
            <w:tcW w:type="dxa" w:w="3816"/>
            <w:vAlign w:val="center"/>
          </w:tcPr>
          <w:p>
            <w:pPr>
              <w:pStyle w:val="TableText"/>
            </w:pPr>
            <w:r/>
            <w:r>
              <w:rPr>
                <w:b w:val="0"/>
                <w:sz w:val="16"/>
              </w:rPr>
              <w:t>Dep. pp. 145–52; agreement §§4, 9(c), Ex. A.</w:t>
            </w:r>
          </w:p>
        </w:tc>
        <w:tc>
          <w:tcPr>
            <w:tcW w:type="dxa" w:w="6120"/>
            <w:vAlign w:val="center"/>
          </w:tcPr>
          <w:p>
            <w:pPr>
              <w:pStyle w:val="TableText"/>
            </w:pPr>
            <w:r/>
            <w:r>
              <w:rPr>
                <w:b w:val="0"/>
                <w:sz w:val="16"/>
              </w:rPr>
              <w:t>Confirm facts with witness before testimony; signed certification may be a credibility issue. No denial of unsigned/unknown particulars.</w:t>
            </w:r>
          </w:p>
        </w:tc>
      </w:tr>
      <w:tr>
        <w:tc>
          <w:tcPr>
            <w:tcW w:type="dxa" w:w="1872"/>
            <w:vAlign w:val="center"/>
            <w:shd w:fill="F3F6F9"/>
          </w:tcPr>
          <w:p>
            <w:pPr>
              <w:pStyle w:val="TableText"/>
            </w:pPr>
            <w:r/>
            <w:r>
              <w:rPr>
                <w:b w:val="0"/>
                <w:sz w:val="16"/>
              </w:rPr>
              <w:t>Term/replacement knowledge</w:t>
            </w:r>
          </w:p>
        </w:tc>
        <w:tc>
          <w:tcPr>
            <w:tcW w:type="dxa" w:w="3816"/>
            <w:vAlign w:val="center"/>
            <w:shd w:fill="F3F6F9"/>
          </w:tcPr>
          <w:p>
            <w:pPr>
              <w:pStyle w:val="TableText"/>
            </w:pPr>
            <w:r/>
            <w:r>
              <w:rPr>
                <w:b w:val="0"/>
                <w:sz w:val="16"/>
              </w:rPr>
              <w:t>Dep. pp. 105–10.</w:t>
            </w:r>
          </w:p>
        </w:tc>
        <w:tc>
          <w:tcPr>
            <w:tcW w:type="dxa" w:w="6120"/>
            <w:vAlign w:val="center"/>
            <w:shd w:fill="F3F6F9"/>
          </w:tcPr>
          <w:p>
            <w:pPr>
              <w:pStyle w:val="TableText"/>
            </w:pPr>
            <w:r/>
            <w:r>
              <w:rPr>
                <w:b w:val="0"/>
                <w:sz w:val="16"/>
              </w:rPr>
              <w:t>Direct quote is first-person; replacement evidence is learned secondhand. Separate personal knowledge from information received.</w:t>
            </w:r>
          </w:p>
        </w:tc>
      </w:tr>
      <w:tr>
        <w:tc>
          <w:tcPr>
            <w:tcW w:type="dxa" w:w="1872"/>
            <w:vAlign w:val="center"/>
          </w:tcPr>
          <w:p>
            <w:pPr>
              <w:pStyle w:val="TableText"/>
            </w:pPr>
            <w:r/>
            <w:r>
              <w:rPr>
                <w:b w:val="0"/>
                <w:sz w:val="16"/>
              </w:rPr>
              <w:t>Severance / motivation</w:t>
            </w:r>
          </w:p>
        </w:tc>
        <w:tc>
          <w:tcPr>
            <w:tcW w:type="dxa" w:w="3816"/>
            <w:vAlign w:val="center"/>
          </w:tcPr>
          <w:p>
            <w:pPr>
              <w:pStyle w:val="TableText"/>
            </w:pPr>
            <w:r/>
            <w:r>
              <w:rPr>
                <w:b w:val="0"/>
                <w:sz w:val="16"/>
              </w:rPr>
              <w:t>Agreement dated Jan. 19, 2024; Dep. pp. 111–12, 225–38.</w:t>
            </w:r>
          </w:p>
        </w:tc>
        <w:tc>
          <w:tcPr>
            <w:tcW w:type="dxa" w:w="6120"/>
            <w:vAlign w:val="center"/>
          </w:tcPr>
          <w:p>
            <w:pPr>
              <w:pStyle w:val="TableText"/>
            </w:pPr>
            <w:r/>
            <w:r>
              <w:rPr>
                <w:b w:val="0"/>
                <w:sz w:val="16"/>
              </w:rPr>
              <w:t>Use narrow purpose plus limiting instruction. Accurate on 21-day review, no separate lawyer retained, signed after 7 days; no pressure/physical compulsion as he testified.</w:t>
            </w:r>
          </w:p>
        </w:tc>
      </w:tr>
    </w:tbl>
    <w:p>
      <w:pPr>
        <w:spacing w:after="0"/>
      </w:pPr>
    </w:p>
    <w:p>
      <w:pPr>
        <w:pStyle w:val="Heading2"/>
        <w:keepNext/>
      </w:pPr>
      <w:r>
        <w:t>Core “do not cross” lines</w:t>
      </w:r>
    </w:p>
    <w:p>
      <w:pPr>
        <w:spacing w:after="80"/>
      </w:pPr>
      <w:r>
        <w:rPr>
          <w:b/>
          <w:color w:val="0F6B78"/>
        </w:rPr>
        <w:t xml:space="preserve">Purpose: </w:t>
      </w:r>
      <w:r>
        <w:t>Prevent an otherwise helpful fact witness from straying into expert territory or inadmissible hearsay.</w:t>
      </w:r>
    </w:p>
    <w:p>
      <w:pPr>
        <w:pStyle w:val="ListBullet"/>
        <w:spacing w:after="40"/>
        <w:ind w:left="317" w:hanging="187"/>
      </w:pPr>
      <w:r>
        <w:t>Do not ask total diverted revenue across Q2 2022–Q4 2023, total unpaid royalties ($456,975), or any overall Ridgeline damages/financial-impact opinion.</w:t>
      </w:r>
    </w:p>
    <w:p>
      <w:pPr>
        <w:pStyle w:val="ListBullet"/>
        <w:spacing w:after="40"/>
        <w:ind w:left="317" w:hanging="187"/>
      </w:pPr>
      <w:r>
        <w:t>Do not ask Elliston to compute 1,113 × $1,271.34, apply the 4.5% rate, or characterize bank deposits/transfers. The court expressly reserves those matters for expert testimony.</w:t>
      </w:r>
    </w:p>
    <w:p>
      <w:pPr>
        <w:pStyle w:val="ListBullet"/>
        <w:spacing w:after="40"/>
        <w:ind w:left="317" w:hanging="187"/>
      </w:pPr>
      <w:r>
        <w:t>Do not describe DVOSS01 as conclusive proof that Derek Voss personally acted; state what the field recorded and what his user-ID experience told him.</w:t>
      </w:r>
    </w:p>
    <w:p>
      <w:pPr>
        <w:pStyle w:val="ListBullet"/>
        <w:spacing w:after="40"/>
        <w:ind w:left="317" w:hanging="187"/>
      </w:pPr>
      <w:r>
        <w:t>Do not elicit Karen Cho’s alleged statement that Trimble ordered the Q3 report held unless admissibility is resolved; Elliston did not hear the instruction.</w:t>
      </w:r>
    </w:p>
    <w:p>
      <w:pPr>
        <w:pStyle w:val="ListBullet"/>
        <w:spacing w:after="40"/>
        <w:ind w:left="317" w:hanging="187"/>
      </w:pPr>
      <w:r>
        <w:t>Do not claim Elliston personally knows the reasons for the restructuring or official details of Jared Hoffman’s promotion.</w:t>
      </w:r>
    </w:p>
    <w:p>
      <w:pPr>
        <w:pStyle w:val="ListBullet"/>
        <w:spacing w:after="40"/>
        <w:ind w:left="317" w:hanging="187"/>
      </w:pPr>
      <w:r>
        <w:t>Do not argue that Cascade committed retaliation or wrongful termination; use these facts only for consciousness of guilt and credibility.</w:t>
      </w:r>
    </w:p>
    <w:p>
      <w:pPr>
        <w:pStyle w:val="ListBullet"/>
        <w:spacing w:after="40"/>
        <w:ind w:left="317" w:hanging="187"/>
      </w:pPr>
      <w:r>
        <w:t>Do not introduce excerpts from the emails without the complete chains. Do not use the severance agreement as proof of liability or no liability.</w:t>
      </w:r>
    </w:p>
    <w:p>
      <w:pPr>
        <w:pStyle w:val="Heading1"/>
        <w:keepNext/>
      </w:pPr>
      <w:r>
        <w:t>7. Quick chronology for counsel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17365D"/>
          </w:tcPr>
          <w:p>
            <w:pPr>
              <w:pStyle w:val="TableText"/>
            </w:pPr>
            <w:r/>
            <w:r>
              <w:rPr>
                <w:b/>
                <w:color w:val="FFFFFF"/>
                <w:sz w:val="16"/>
              </w:rPr>
              <w:t>Date</w:t>
            </w:r>
          </w:p>
        </w:tc>
        <w:tc>
          <w:tcPr>
            <w:tcW w:type="dxa" w:w="5256"/>
            <w:vAlign w:val="center"/>
            <w:shd w:fill="17365D"/>
          </w:tcPr>
          <w:p>
            <w:pPr>
              <w:pStyle w:val="TableText"/>
            </w:pPr>
            <w:r/>
            <w:r>
              <w:rPr>
                <w:b/>
                <w:color w:val="FFFFFF"/>
                <w:sz w:val="16"/>
              </w:rPr>
              <w:t>Event / proof source</w:t>
            </w:r>
          </w:p>
        </w:tc>
        <w:tc>
          <w:tcPr>
            <w:tcW w:type="dxa" w:w="4752"/>
            <w:vAlign w:val="center"/>
            <w:shd w:fill="17365D"/>
          </w:tcPr>
          <w:p>
            <w:pPr>
              <w:pStyle w:val="TableText"/>
            </w:pPr>
            <w:r/>
            <w:r>
              <w:rPr>
                <w:b/>
                <w:color w:val="FFFFFF"/>
                <w:sz w:val="16"/>
              </w:rPr>
              <w:t>Examination significance</w:t>
            </w:r>
          </w:p>
        </w:tc>
      </w:tr>
      <w:tr>
        <w:tc>
          <w:tcPr>
            <w:tcW w:type="dxa" w:w="1800"/>
            <w:vAlign w:val="center"/>
            <w:shd w:fill="F3F6F9"/>
          </w:tcPr>
          <w:p>
            <w:pPr>
              <w:pStyle w:val="TableText"/>
            </w:pPr>
            <w:r/>
            <w:r>
              <w:rPr>
                <w:b w:val="0"/>
                <w:sz w:val="16"/>
              </w:rPr>
              <w:t>Mar. 15, 2019</w:t>
            </w:r>
          </w:p>
        </w:tc>
        <w:tc>
          <w:tcPr>
            <w:tcW w:type="dxa" w:w="5256"/>
            <w:vAlign w:val="center"/>
            <w:shd w:fill="F3F6F9"/>
          </w:tcPr>
          <w:p>
            <w:pPr>
              <w:pStyle w:val="TableText"/>
            </w:pPr>
            <w:r/>
            <w:r>
              <w:rPr>
                <w:b w:val="0"/>
                <w:sz w:val="16"/>
              </w:rPr>
              <w:t>EDA executed; five-year term through Mar. 14, 2024.</w:t>
            </w:r>
          </w:p>
        </w:tc>
        <w:tc>
          <w:tcPr>
            <w:tcW w:type="dxa" w:w="4752"/>
            <w:vAlign w:val="center"/>
            <w:shd w:fill="F3F6F9"/>
          </w:tcPr>
          <w:p>
            <w:pPr>
              <w:pStyle w:val="TableText"/>
            </w:pPr>
            <w:r/>
            <w:r>
              <w:rPr>
                <w:b w:val="0"/>
                <w:sz w:val="16"/>
              </w:rPr>
              <w:t>Business context, royalty reporting/authorized channels.</w:t>
            </w:r>
          </w:p>
        </w:tc>
      </w:tr>
      <w:tr>
        <w:tc>
          <w:tcPr>
            <w:tcW w:type="dxa" w:w="1800"/>
            <w:vAlign w:val="center"/>
          </w:tcPr>
          <w:p>
            <w:pPr>
              <w:pStyle w:val="TableText"/>
            </w:pPr>
            <w:r/>
            <w:r>
              <w:rPr>
                <w:b w:val="0"/>
                <w:sz w:val="16"/>
              </w:rPr>
              <w:t>Apr. 3 / 18, 2022</w:t>
            </w:r>
          </w:p>
        </w:tc>
        <w:tc>
          <w:tcPr>
            <w:tcW w:type="dxa" w:w="5256"/>
            <w:vAlign w:val="center"/>
          </w:tcPr>
          <w:p>
            <w:pPr>
              <w:pStyle w:val="TableText"/>
            </w:pPr>
            <w:r/>
            <w:r>
              <w:rPr>
                <w:b w:val="0"/>
                <w:sz w:val="16"/>
              </w:rPr>
              <w:t>MidAmerican Delaware formation (expert materials); SAP account creation Apr. 18, “DVOSS01” per Elliston’s observation.</w:t>
            </w:r>
          </w:p>
        </w:tc>
        <w:tc>
          <w:tcPr>
            <w:tcW w:type="dxa" w:w="4752"/>
            <w:vAlign w:val="center"/>
          </w:tcPr>
          <w:p>
            <w:pPr>
              <w:pStyle w:val="TableText"/>
            </w:pPr>
            <w:r/>
            <w:r>
              <w:rPr>
                <w:b w:val="0"/>
                <w:sz w:val="16"/>
              </w:rPr>
              <w:t>Ask only what he personally observed in SAP; formation/forensic conclusions through other evidence.</w:t>
            </w:r>
          </w:p>
        </w:tc>
      </w:tr>
      <w:tr>
        <w:tc>
          <w:tcPr>
            <w:tcW w:type="dxa" w:w="1800"/>
            <w:vAlign w:val="center"/>
            <w:shd w:fill="F3F6F9"/>
          </w:tcPr>
          <w:p>
            <w:pPr>
              <w:pStyle w:val="TableText"/>
            </w:pPr>
            <w:r/>
            <w:r>
              <w:rPr>
                <w:b w:val="0"/>
                <w:sz w:val="16"/>
              </w:rPr>
              <w:t>Q3 2023; about Sep. 22–28</w:t>
            </w:r>
          </w:p>
        </w:tc>
        <w:tc>
          <w:tcPr>
            <w:tcW w:type="dxa" w:w="5256"/>
            <w:vAlign w:val="center"/>
            <w:shd w:fill="F3F6F9"/>
          </w:tcPr>
          <w:p>
            <w:pPr>
              <w:pStyle w:val="TableText"/>
            </w:pPr>
            <w:r/>
            <w:r>
              <w:rPr>
                <w:b w:val="0"/>
                <w:sz w:val="16"/>
              </w:rPr>
              <w:t>4,217 shipped; 3,104 reported; 1,113 gap; workbook creation metadata Sep. 22; Sep. 28 email to Voss.</w:t>
            </w:r>
          </w:p>
        </w:tc>
        <w:tc>
          <w:tcPr>
            <w:tcW w:type="dxa" w:w="4752"/>
            <w:vAlign w:val="center"/>
            <w:shd w:fill="F3F6F9"/>
          </w:tcPr>
          <w:p>
            <w:pPr>
              <w:pStyle w:val="TableText"/>
            </w:pPr>
            <w:r/>
            <w:r>
              <w:rPr>
                <w:b w:val="0"/>
                <w:sz w:val="16"/>
              </w:rPr>
              <w:t>Core fact comparison, spreadsheet authentication, candid discovery-date explanation.</w:t>
            </w:r>
          </w:p>
        </w:tc>
      </w:tr>
      <w:tr>
        <w:tc>
          <w:tcPr>
            <w:tcW w:type="dxa" w:w="1800"/>
            <w:vAlign w:val="center"/>
          </w:tcPr>
          <w:p>
            <w:pPr>
              <w:pStyle w:val="TableText"/>
            </w:pPr>
            <w:r/>
            <w:r>
              <w:rPr>
                <w:b w:val="0"/>
                <w:sz w:val="16"/>
              </w:rPr>
              <w:t>Oct. 5–6, 2023</w:t>
            </w:r>
          </w:p>
        </w:tc>
        <w:tc>
          <w:tcPr>
            <w:tcW w:type="dxa" w:w="5256"/>
            <w:vAlign w:val="center"/>
          </w:tcPr>
          <w:p>
            <w:pPr>
              <w:pStyle w:val="TableText"/>
            </w:pPr>
            <w:r/>
            <w:r>
              <w:rPr>
                <w:b w:val="0"/>
                <w:sz w:val="16"/>
              </w:rPr>
              <w:t>Follow-up identifying MidAmerican, Great Lakes and Summit; Trimble replies “finance matter…being handled.”</w:t>
            </w:r>
          </w:p>
        </w:tc>
        <w:tc>
          <w:tcPr>
            <w:tcW w:type="dxa" w:w="4752"/>
            <w:vAlign w:val="center"/>
          </w:tcPr>
          <w:p>
            <w:pPr>
              <w:pStyle w:val="TableText"/>
            </w:pPr>
            <w:r/>
            <w:r>
              <w:rPr>
                <w:b w:val="0"/>
                <w:sz w:val="16"/>
              </w:rPr>
              <w:t>Complete chain; notice/response.</w:t>
            </w:r>
          </w:p>
        </w:tc>
      </w:tr>
      <w:tr>
        <w:tc>
          <w:tcPr>
            <w:tcW w:type="dxa" w:w="1800"/>
            <w:vAlign w:val="center"/>
            <w:shd w:fill="F3F6F9"/>
          </w:tcPr>
          <w:p>
            <w:pPr>
              <w:pStyle w:val="TableText"/>
            </w:pPr>
            <w:r/>
            <w:r>
              <w:rPr>
                <w:b w:val="0"/>
                <w:sz w:val="16"/>
              </w:rPr>
              <w:t>Nov. 15, 2023</w:t>
            </w:r>
          </w:p>
        </w:tc>
        <w:tc>
          <w:tcPr>
            <w:tcW w:type="dxa" w:w="5256"/>
            <w:vAlign w:val="center"/>
            <w:shd w:fill="F3F6F9"/>
          </w:tcPr>
          <w:p>
            <w:pPr>
              <w:pStyle w:val="TableText"/>
            </w:pPr>
            <w:r/>
            <w:r>
              <w:rPr>
                <w:b w:val="0"/>
                <w:sz w:val="16"/>
              </w:rPr>
              <w:t>Formal escalation to Voss, Trimble, Greer.</w:t>
            </w:r>
          </w:p>
        </w:tc>
        <w:tc>
          <w:tcPr>
            <w:tcW w:type="dxa" w:w="4752"/>
            <w:vAlign w:val="center"/>
            <w:shd w:fill="F3F6F9"/>
          </w:tcPr>
          <w:p>
            <w:pPr>
              <w:pStyle w:val="TableText"/>
            </w:pPr>
            <w:r/>
            <w:r>
              <w:rPr>
                <w:b w:val="0"/>
                <w:sz w:val="16"/>
              </w:rPr>
              <w:t>Complete chain; requests self-reporting/correction.</w:t>
            </w:r>
          </w:p>
        </w:tc>
      </w:tr>
      <w:tr>
        <w:tc>
          <w:tcPr>
            <w:tcW w:type="dxa" w:w="1800"/>
            <w:vAlign w:val="center"/>
          </w:tcPr>
          <w:p>
            <w:pPr>
              <w:pStyle w:val="TableText"/>
            </w:pPr>
            <w:r/>
            <w:r>
              <w:rPr>
                <w:b w:val="0"/>
                <w:sz w:val="16"/>
              </w:rPr>
              <w:t>Nov. 20, 2023</w:t>
            </w:r>
          </w:p>
        </w:tc>
        <w:tc>
          <w:tcPr>
            <w:tcW w:type="dxa" w:w="5256"/>
            <w:vAlign w:val="center"/>
          </w:tcPr>
          <w:p>
            <w:pPr>
              <w:pStyle w:val="TableText"/>
            </w:pPr>
            <w:r/>
            <w:r>
              <w:rPr>
                <w:b w:val="0"/>
                <w:sz w:val="16"/>
              </w:rPr>
              <w:t>USB copy of related emails, spreadsheet, screenshots.</w:t>
            </w:r>
          </w:p>
        </w:tc>
        <w:tc>
          <w:tcPr>
            <w:tcW w:type="dxa" w:w="4752"/>
            <w:vAlign w:val="center"/>
          </w:tcPr>
          <w:p>
            <w:pPr>
              <w:pStyle w:val="TableText"/>
            </w:pPr>
            <w:r/>
            <w:r>
              <w:rPr>
                <w:b w:val="0"/>
                <w:sz w:val="16"/>
              </w:rPr>
              <w:t>Address openly; verify severance certification facts.</w:t>
            </w:r>
          </w:p>
        </w:tc>
      </w:tr>
      <w:tr>
        <w:tc>
          <w:tcPr>
            <w:tcW w:type="dxa" w:w="1800"/>
            <w:vAlign w:val="center"/>
            <w:shd w:fill="F3F6F9"/>
          </w:tcPr>
          <w:p>
            <w:pPr>
              <w:pStyle w:val="TableText"/>
            </w:pPr>
            <w:r/>
            <w:r>
              <w:rPr>
                <w:b w:val="0"/>
                <w:sz w:val="16"/>
              </w:rPr>
              <w:t>Dec. 8, 2023</w:t>
            </w:r>
          </w:p>
        </w:tc>
        <w:tc>
          <w:tcPr>
            <w:tcW w:type="dxa" w:w="5256"/>
            <w:vAlign w:val="center"/>
            <w:shd w:fill="F3F6F9"/>
          </w:tcPr>
          <w:p>
            <w:pPr>
              <w:pStyle w:val="TableText"/>
            </w:pPr>
            <w:r/>
            <w:r>
              <w:rPr>
                <w:b w:val="0"/>
                <w:sz w:val="16"/>
              </w:rPr>
              <w:t>Greer memo: “reviewed and resolved”; directs no further inquiry.</w:t>
            </w:r>
          </w:p>
        </w:tc>
        <w:tc>
          <w:tcPr>
            <w:tcW w:type="dxa" w:w="4752"/>
            <w:vAlign w:val="center"/>
            <w:shd w:fill="F3F6F9"/>
          </w:tcPr>
          <w:p>
            <w:pPr>
              <w:pStyle w:val="TableText"/>
            </w:pPr>
            <w:r/>
            <w:r>
              <w:rPr>
                <w:b w:val="0"/>
                <w:sz w:val="16"/>
              </w:rPr>
              <w:t>Complete chain; what Elliston did next, no speculation on intent.</w:t>
            </w:r>
          </w:p>
        </w:tc>
      </w:tr>
      <w:tr>
        <w:tc>
          <w:tcPr>
            <w:tcW w:type="dxa" w:w="1800"/>
            <w:vAlign w:val="center"/>
          </w:tcPr>
          <w:p>
            <w:pPr>
              <w:pStyle w:val="TableText"/>
            </w:pPr>
            <w:r/>
            <w:r>
              <w:rPr>
                <w:b w:val="0"/>
                <w:sz w:val="16"/>
              </w:rPr>
              <w:t>Jan. 12 / 19, 2024</w:t>
            </w:r>
          </w:p>
        </w:tc>
        <w:tc>
          <w:tcPr>
            <w:tcW w:type="dxa" w:w="5256"/>
            <w:vAlign w:val="center"/>
          </w:tcPr>
          <w:p>
            <w:pPr>
              <w:pStyle w:val="TableText"/>
            </w:pPr>
            <w:r/>
            <w:r>
              <w:rPr>
                <w:b w:val="0"/>
                <w:sz w:val="16"/>
              </w:rPr>
              <w:t>Termination meeting; Voss statement; severance agreement signed Jan. 19.</w:t>
            </w:r>
          </w:p>
        </w:tc>
        <w:tc>
          <w:tcPr>
            <w:tcW w:type="dxa" w:w="4752"/>
            <w:vAlign w:val="center"/>
          </w:tcPr>
          <w:p>
            <w:pPr>
              <w:pStyle w:val="TableText"/>
            </w:pPr>
            <w:r/>
            <w:r>
              <w:rPr>
                <w:b w:val="0"/>
                <w:sz w:val="16"/>
              </w:rPr>
              <w:t>Foundation for statement; departure context only; limiting instruction.</w:t>
            </w:r>
          </w:p>
        </w:tc>
      </w:tr>
      <w:tr>
        <w:tc>
          <w:tcPr>
            <w:tcW w:type="dxa" w:w="1800"/>
            <w:vAlign w:val="center"/>
            <w:shd w:fill="F3F6F9"/>
          </w:tcPr>
          <w:p>
            <w:pPr>
              <w:pStyle w:val="TableText"/>
            </w:pPr>
            <w:r/>
            <w:r>
              <w:rPr>
                <w:b w:val="0"/>
                <w:sz w:val="16"/>
              </w:rPr>
              <w:t>Dec. 3, 2024</w:t>
            </w:r>
          </w:p>
        </w:tc>
        <w:tc>
          <w:tcPr>
            <w:tcW w:type="dxa" w:w="5256"/>
            <w:vAlign w:val="center"/>
            <w:shd w:fill="F3F6F9"/>
          </w:tcPr>
          <w:p>
            <w:pPr>
              <w:pStyle w:val="TableText"/>
            </w:pPr>
            <w:r/>
            <w:r>
              <w:rPr>
                <w:b w:val="0"/>
                <w:sz w:val="16"/>
              </w:rPr>
              <w:t>Elliston deposition.</w:t>
            </w:r>
          </w:p>
        </w:tc>
        <w:tc>
          <w:tcPr>
            <w:tcW w:type="dxa" w:w="4752"/>
            <w:vAlign w:val="center"/>
            <w:shd w:fill="F3F6F9"/>
          </w:tcPr>
          <w:p>
            <w:pPr>
              <w:pStyle w:val="TableText"/>
            </w:pPr>
            <w:r/>
            <w:r>
              <w:rPr>
                <w:b w:val="0"/>
                <w:sz w:val="16"/>
              </w:rPr>
              <w:t>Citations for impeachment or rehabilitation with page/line foundation.</w:t>
            </w:r>
          </w:p>
        </w:tc>
      </w:tr>
    </w:tbl>
    <w:p>
      <w:pPr>
        <w:spacing w:after="0"/>
      </w:pPr>
    </w:p>
    <w:p>
      <w:pPr>
        <w:pStyle w:val="Heading1"/>
        <w:keepNext/>
      </w:pPr>
      <w:r>
        <w:t>8. Trial-day checklist</w:t>
      </w:r>
    </w:p>
    <w:p>
      <w:pPr>
        <w:pStyle w:val="ListBullet"/>
        <w:spacing w:after="40"/>
        <w:ind w:left="317" w:hanging="187"/>
      </w:pPr>
      <w:r>
        <w:t>Confirm trial exhibit numbers, versions, and page ranges; have full email-chain exhibit ready as a single, complete exhibit (including Voss, Trimble, and Greer responses).</w:t>
      </w:r>
    </w:p>
    <w:p>
      <w:pPr>
        <w:pStyle w:val="ListBullet"/>
        <w:spacing w:after="40"/>
        <w:ind w:left="317" w:hanging="187"/>
      </w:pPr>
      <w:r>
        <w:t>Before publishing the spreadsheet, elicit every authentication element: creator, source records, creation process, recognition, attachment to Sept. 28 email, no alteration, substantially same condition.</w:t>
      </w:r>
    </w:p>
    <w:p>
      <w:pPr>
        <w:pStyle w:val="ListBullet"/>
        <w:spacing w:after="40"/>
        <w:ind w:left="317" w:hanging="187"/>
      </w:pPr>
      <w:r>
        <w:t>Have exact deposition page-and-line citations at counsel table: date pp. 72–74; spreadsheet p. 83; SAP pp. 120–34; USB pp. 145–52; termination pp. 105–12; commission pp. 189–95; qualifications pp. 210–18; severance pp. 225–38.</w:t>
      </w:r>
    </w:p>
    <w:p>
      <w:pPr>
        <w:pStyle w:val="ListBullet"/>
        <w:spacing w:after="40"/>
        <w:ind w:left="317" w:hanging="187"/>
      </w:pPr>
      <w:r>
        <w:t>Confirm the USB device/data timeline and truth of severance certifications with Elliston before taking the stand; prepare a truthful answer, not an invented reconciliation.</w:t>
      </w:r>
    </w:p>
    <w:p>
      <w:pPr>
        <w:pStyle w:val="ListBullet"/>
        <w:spacing w:after="40"/>
        <w:ind w:left="317" w:hanging="187"/>
      </w:pPr>
      <w:r>
        <w:t>Request the severance limiting instruction when the agreement is offered; do not suggest the release resolves the merits.</w:t>
      </w:r>
    </w:p>
    <w:p>
      <w:pPr>
        <w:pStyle w:val="ListBullet"/>
        <w:spacing w:after="40"/>
        <w:ind w:left="317" w:hanging="187"/>
      </w:pPr>
      <w:r>
        <w:t>Keep damages questions for Lisa Kowalski. Bank records require Keyworth Savings Bank’s Rule 902(11) certification or custodian testimony.</w:t>
      </w:r>
    </w:p>
    <w:p>
      <w:pPr>
        <w:pStyle w:val="ListBullet"/>
        <w:spacing w:after="40"/>
        <w:ind w:left="317" w:hanging="187"/>
      </w:pPr>
      <w:r>
        <w:t>Use the exhibit protocol in the June 15, 2025 scheduling order; do not infer exhibit numbers from placeholders in this outline.</w:t>
      </w:r>
    </w:p>
    <w:p>
      <w:pPr>
        <w:spacing w:before="160"/>
      </w:pPr>
      <w:r>
        <w:rPr>
          <w:b/>
          <w:color w:val="17365D"/>
        </w:rPr>
        <w:t xml:space="preserve">Primary narrative in one sentence: </w:t>
      </w:r>
      <w:r>
        <w:t>In the course of routine sales-operations work, Elliston saw a specific shipment/reporting mismatch, traced the unmatched Q3 purchase orders to a previously unfamiliar intermediary and two unapproved destinations, raised the issue internally with contemporaneous records, and was later directed to stop asking questions—while offering no expert damages opinions.</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TRIAL PREPARATION OUTLINE  •  COUNSEL WORKING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1F4E79"/>
      </w:pBdr>
    </w:pPr>
    <w:r>
      <w:rPr>
        <w:rFonts w:ascii="Arial" w:hAnsi="Arial"/>
        <w:b/>
        <w:color w:val="1F4E79"/>
        <w:sz w:val="15"/>
      </w:rPr>
      <w:t>RIDGELINE MANUFACTURING, INC. v. CASCADE SUPPLY GROUP, LLC     |     MARCUS ELLISTON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232A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rial" w:hAnsi="Arial"/>
      <w:b/>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40" w:lineRule="auto"/>
    </w:pPr>
    <w:rPr>
      <w:rFonts w:ascii="Arial" w:hAnsi="Arial"/>
      <w:color w:val="232A3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Witness Examination Outline — Marcus Elliston</dc:title>
  <dc:subject>Ridgeline Manufacturing, Inc. v. Cascade Supply Group, LLC, No. 2:24-cv-01847-PDR</dc:subject>
  <dc:creator>Trial Counsel</dc:creator>
  <cp:keywords>trial, witness examination, Marcus Elliston, evidentiary rulings</cp:keywords>
  <dc:description>generated by python-docx</dc:description>
  <cp:lastModifiedBy/>
  <cp:revision>1</cp:revision>
  <dcterms:created xsi:type="dcterms:W3CDTF">2013-12-23T23:15:00Z</dcterms:created>
  <dcterms:modified xsi:type="dcterms:W3CDTF">2013-12-23T23:15:00Z</dcterms:modified>
  <cp:category/>
</cp:coreProperties>
</file>