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&amp; CONFIDENTIAL — ATTORNEY WORK PRODUCT — PREPARED IN ANTICIPATION OF TRIAL</w:t>
      </w:r>
    </w:p>
    <w:p>
      <w:pPr>
        <w:spacing w:after="80"/>
        <w:jc w:val="center"/>
      </w:pPr>
      <w:r>
        <w:rPr>
          <w:b/>
          <w:i w:val="0"/>
        </w:rPr>
        <w:t>UNITED STATES DISTRICT COURT</w:t>
        <w:br/>
        <w:t>WESTERN DISTRICT OF PENNSYLVANIA</w:t>
      </w:r>
    </w:p>
    <w:p>
      <w:pPr>
        <w:spacing w:after="80"/>
        <w:jc w:val="center"/>
      </w:pPr>
      <w:r>
        <w:rPr>
          <w:b w:val="0"/>
          <w:i/>
        </w:rPr>
        <w:t>Ridgeline Manufacturing, Inc. v. Cascade Supply Group, LLC</w:t>
        <w:br/>
        <w:t>Case No. 2:24-cv-01847-PDR (Hon. Patricia Delgado-Reeves)</w:t>
        <w:br/>
        <w:t>Jury Trial Commencing October 14, 2025</w:t>
      </w:r>
    </w:p>
    <w:p>
      <w:pPr>
        <w:spacing w:after="40"/>
        <w:jc w:val="center"/>
      </w:pPr>
      <w:r>
        <w:rPr>
          <w:b/>
          <w:i w:val="0"/>
          <w:sz w:val="30"/>
        </w:rPr>
        <w:t>TRIAL EXAMINATION OUTLINE: MARCUS ELLISTON</w:t>
      </w:r>
    </w:p>
    <w:p>
      <w:pPr>
        <w:spacing w:after="80"/>
        <w:jc w:val="center"/>
      </w:pPr>
      <w:r>
        <w:rPr>
          <w:b w:val="0"/>
          <w:i/>
        </w:rPr>
        <w:t>Plaintiff’s Direct Examination, Anticipated Cross-Examination, and Redirect</w:t>
      </w:r>
    </w:p>
    <w:tbl>
      <w:tblPr>
        <w:tblStyle w:val="TableGrid"/>
        <w:tblW w:type="auto" w:w="0"/>
        <w:tblLook w:firstColumn="1" w:firstRow="1" w:lastColumn="0" w:lastRow="0" w:noHBand="0" w:noVBand="1" w:val="04A0"/>
      </w:tblPr>
      <w:tblGrid>
        <w:gridCol w:w="4680"/>
        <w:gridCol w:w="4680"/>
      </w:tblGrid>
      <w:tr>
        <w:tc>
          <w:tcPr>
            <w:tcW w:type="dxa" w:w="2160"/>
          </w:tcPr>
          <w:p>
            <w:r/>
            <w:r>
              <w:rPr>
                <w:b w:val="0"/>
                <w:i w:val="0"/>
                <w:sz w:val="20"/>
              </w:rPr>
              <w:t>Witness</w:t>
            </w:r>
          </w:p>
        </w:tc>
        <w:tc>
          <w:tcPr>
            <w:tcW w:type="dxa" w:w="7200"/>
          </w:tcPr>
          <w:p>
            <w:r/>
            <w:r>
              <w:rPr>
                <w:b w:val="0"/>
                <w:i w:val="0"/>
                <w:sz w:val="20"/>
              </w:rPr>
              <w:t>Marcus Elliston, former VP of Sales Operations, Cascade (Aug. 2018 – Jan. 12, 2024); now Director of Business Development, Triton Industrial Partners (Cleveland)</w:t>
            </w:r>
          </w:p>
        </w:tc>
      </w:tr>
      <w:tr>
        <w:tc>
          <w:tcPr>
            <w:tcW w:type="dxa" w:w="2160"/>
          </w:tcPr>
          <w:p>
            <w:r/>
            <w:r>
              <w:rPr>
                <w:b w:val="0"/>
                <w:i w:val="0"/>
                <w:sz w:val="20"/>
              </w:rPr>
              <w:t>Called by</w:t>
            </w:r>
          </w:p>
        </w:tc>
        <w:tc>
          <w:tcPr>
            <w:tcW w:type="dxa" w:w="7200"/>
          </w:tcPr>
          <w:p>
            <w:r/>
            <w:r>
              <w:rPr>
                <w:b w:val="0"/>
                <w:i w:val="0"/>
                <w:sz w:val="20"/>
              </w:rPr>
              <w:t>Plaintiff Ridgeline (voluntary non-party fact witness; not under subpoena; appears without personal counsel)</w:t>
            </w:r>
          </w:p>
        </w:tc>
      </w:tr>
      <w:tr>
        <w:tc>
          <w:tcPr>
            <w:tcW w:type="dxa" w:w="2160"/>
          </w:tcPr>
          <w:p>
            <w:r/>
            <w:r>
              <w:rPr>
                <w:b w:val="0"/>
                <w:i w:val="0"/>
                <w:sz w:val="20"/>
              </w:rPr>
              <w:t>Examining attorney</w:t>
            </w:r>
          </w:p>
        </w:tc>
        <w:tc>
          <w:tcPr>
            <w:tcW w:type="dxa" w:w="7200"/>
          </w:tcPr>
          <w:p>
            <w:r/>
            <w:r>
              <w:rPr>
                <w:b w:val="0"/>
                <w:i w:val="0"/>
                <w:sz w:val="20"/>
              </w:rPr>
              <w:t>Helen Marchetti, Whitfield &amp; Crane LLP</w:t>
            </w:r>
          </w:p>
        </w:tc>
      </w:tr>
      <w:tr>
        <w:tc>
          <w:tcPr>
            <w:tcW w:type="dxa" w:w="2160"/>
          </w:tcPr>
          <w:p>
            <w:r/>
            <w:r>
              <w:rPr>
                <w:b w:val="0"/>
                <w:i w:val="0"/>
                <w:sz w:val="20"/>
              </w:rPr>
              <w:t>Opposing counsel</w:t>
            </w:r>
          </w:p>
        </w:tc>
        <w:tc>
          <w:tcPr>
            <w:tcW w:type="dxa" w:w="7200"/>
          </w:tcPr>
          <w:p>
            <w:r/>
            <w:r>
              <w:rPr>
                <w:b w:val="0"/>
                <w:i w:val="0"/>
                <w:sz w:val="20"/>
              </w:rPr>
              <w:t>Bradley Stokes, Redmond Hale LLP</w:t>
            </w:r>
          </w:p>
        </w:tc>
      </w:tr>
      <w:tr>
        <w:tc>
          <w:tcPr>
            <w:tcW w:type="dxa" w:w="2160"/>
          </w:tcPr>
          <w:p>
            <w:r/>
            <w:r>
              <w:rPr>
                <w:b w:val="0"/>
                <w:i w:val="0"/>
                <w:sz w:val="20"/>
              </w:rPr>
              <w:t>Governing rulings</w:t>
            </w:r>
          </w:p>
        </w:tc>
        <w:tc>
          <w:tcPr>
            <w:tcW w:type="dxa" w:w="7200"/>
          </w:tcPr>
          <w:p>
            <w:r/>
            <w:r>
              <w:rPr>
                <w:b w:val="0"/>
                <w:i w:val="0"/>
                <w:sz w:val="20"/>
              </w:rPr>
              <w:t>Pretrial Order on Motions in Limine (Aug. 22, 2025) (the “Order”)</w:t>
            </w:r>
          </w:p>
        </w:tc>
      </w:tr>
      <w:tr>
        <w:tc>
          <w:tcPr>
            <w:tcW w:type="dxa" w:w="2160"/>
          </w:tcPr>
          <w:p>
            <w:r/>
            <w:r>
              <w:rPr>
                <w:b w:val="0"/>
                <w:i w:val="0"/>
                <w:sz w:val="20"/>
              </w:rPr>
              <w:t>Sources</w:t>
            </w:r>
          </w:p>
        </w:tc>
        <w:tc>
          <w:tcPr>
            <w:tcW w:type="dxa" w:w="7200"/>
          </w:tcPr>
          <w:p>
            <w:r/>
            <w:r>
              <w:rPr>
                <w:b w:val="0"/>
                <w:i w:val="0"/>
                <w:sz w:val="20"/>
              </w:rPr>
              <w:t>Elliston Dep. (Dec. 3, 2024) (excerpts); Email chain CASCADE_EMAIL_003847–3859; Q3 2023 Unit Discrepancy Spreadsheet (as produced); Severance Agreement (Jan. 19, 2024); EDA (Mar. 15, 2019); Kowalski Report (July 18, 2025); Cascade Trial Brief § IV</w:t>
            </w:r>
          </w:p>
        </w:tc>
      </w:tr>
      <w:tr>
        <w:tc>
          <w:tcPr>
            <w:tcW w:type="dxa" w:w="2160"/>
          </w:tcPr>
          <w:p>
            <w:r/>
            <w:r>
              <w:rPr>
                <w:b w:val="0"/>
                <w:i w:val="0"/>
                <w:sz w:val="20"/>
              </w:rPr>
              <w:t>Estimated time</w:t>
            </w:r>
          </w:p>
        </w:tc>
        <w:tc>
          <w:tcPr>
            <w:tcW w:type="dxa" w:w="7200"/>
          </w:tcPr>
          <w:p>
            <w:r/>
            <w:r>
              <w:rPr>
                <w:b w:val="0"/>
                <w:i w:val="0"/>
                <w:sz w:val="20"/>
              </w:rPr>
              <w:t>Direct ≈ 75–90 min.; Redirect ≈ 10–15 min.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sz w:val="20"/>
              </w:rPr>
              <w:t xml:space="preserve">HOW TO USE: </w:t>
            </w:r>
            <w:r>
              <w:rPr>
                <w:b w:val="0"/>
                <w:i w:val="0"/>
                <w:sz w:val="20"/>
              </w:rPr>
              <w:t>Citations in the form “Dep. 66” refer to the page of the certified December 3, 2024 transcript as reflected in the excerpts. Exhibit numbers are left blank (“PX-__”) pending assignment under the Scheduling Order exhibit protocol (ECF No. 42), per Order § XII(5). Items marked CAUTION must be resolved before Elliston takes the stand.</w:t>
            </w:r>
          </w:p>
        </w:tc>
      </w:tr>
    </w:tbl>
    <w:p>
      <w:pPr>
        <w:spacing w:after="0"/>
      </w:pPr>
    </w:p>
    <w:p>
      <w:pPr>
        <w:pStyle w:val="Heading1"/>
      </w:pPr>
      <w:r>
        <w:t>Part I. Objectives, Themes, and Strategy</w:t>
      </w:r>
    </w:p>
    <w:p>
      <w:pPr>
        <w:pStyle w:val="Heading2"/>
      </w:pPr>
      <w:r>
        <w:t>A. What this witness must accomplish</w:t>
      </w:r>
    </w:p>
    <w:p>
      <w:pPr>
        <w:pStyle w:val="ListBullet"/>
        <w:spacing w:after="40"/>
      </w:pPr>
      <w:r>
        <w:rPr>
          <w:b/>
          <w:i w:val="0"/>
        </w:rPr>
        <w:t>Discovery (fact witness, FRE 602/701):</w:t>
      </w:r>
      <w:r>
        <w:rPr>
          <w:b w:val="0"/>
          <w:i w:val="0"/>
        </w:rPr>
        <w:t xml:space="preserve"> Establish through personal perception the Q3 2023 gap: 4,217 Series 700 units shipped from the Dublin, Ohio DC vs. 3,104 reported sold to authorized customers = 1,113 units, not explained by returns, warranty replacements, or inventory adjustments.</w:t>
      </w:r>
    </w:p>
    <w:p>
      <w:pPr>
        <w:pStyle w:val="ListBullet"/>
        <w:spacing w:after="40"/>
      </w:pPr>
      <w:r>
        <w:rPr>
          <w:b/>
          <w:i w:val="0"/>
        </w:rPr>
        <w:t>The MidAmerican trail:</w:t>
      </w:r>
      <w:r>
        <w:rPr>
          <w:b w:val="0"/>
          <w:i w:val="0"/>
        </w:rPr>
        <w:t xml:space="preserve"> MidAmerican POs in SAP; “bill to” MidAmerican (440 Broad St., Suite 200, Wilmington, DE) but “ship to” Great Lakes Pipe &amp; Valve (Detroit) and Summit Industrial Supply (Milwaukee); neither on the authorized sub-distributor list Elliston personally maintained; no written Ridgeline consent.</w:t>
      </w:r>
    </w:p>
    <w:p>
      <w:pPr>
        <w:pStyle w:val="ListBullet"/>
        <w:spacing w:after="40"/>
      </w:pPr>
      <w:r>
        <w:rPr>
          <w:b/>
          <w:i w:val="0"/>
        </w:rPr>
        <w:t>DVOSS01:</w:t>
      </w:r>
      <w:r>
        <w:rPr>
          <w:b w:val="0"/>
          <w:i w:val="0"/>
        </w:rPr>
        <w:t xml:space="preserve"> MidAmerican customer account created April 18, 2022 by SAP user ID DVOSS01; Elliston’s personal knowledge of the user-ID convention and that DVOSS01 was Voss’s login; no credit application, contact, or sales rep — contrary to standard onboarding.</w:t>
      </w:r>
    </w:p>
    <w:p>
      <w:pPr>
        <w:pStyle w:val="ListBullet"/>
        <w:spacing w:after="40"/>
      </w:pPr>
      <w:r>
        <w:rPr>
          <w:b/>
          <w:i w:val="0"/>
        </w:rPr>
        <w:t>Notice and suppression (party-opponent statements):</w:t>
      </w:r>
      <w:r>
        <w:rPr>
          <w:b w:val="0"/>
          <w:i w:val="0"/>
        </w:rPr>
        <w:t xml:space="preserve"> Three email chains, admitted complete (Order § III): Voss (“Don’t share this with anyone else for now”), Trimble (“this is a finance matter and is being handled. Please focus on your sales targets”), Greer memo (“reviewed and resolved”; “refrain from further inquiries”).</w:t>
      </w:r>
    </w:p>
    <w:p>
      <w:pPr>
        <w:pStyle w:val="ListBullet"/>
        <w:spacing w:after="40"/>
      </w:pPr>
      <w:r>
        <w:rPr>
          <w:b/>
          <w:i w:val="0"/>
        </w:rPr>
        <w:t>Consciousness of guilt:</w:t>
      </w:r>
      <w:r>
        <w:rPr>
          <w:b w:val="0"/>
          <w:i w:val="0"/>
        </w:rPr>
        <w:t xml:space="preserve"> First-ever late Q3 2023 royalty report (due Oct. 30; filed Nov. 17, 2023); termination 58 days after formal escalation under a “restructuring” that eliminated only his position; Voss’s “business decision, nothing personal” statement; severance conditioned on release and non-disparagement (limited purpose).</w:t>
      </w:r>
    </w:p>
    <w:p>
      <w:pPr>
        <w:pStyle w:val="ListBullet"/>
        <w:spacing w:after="40"/>
      </w:pPr>
      <w:r>
        <w:rPr>
          <w:b/>
          <w:i w:val="0"/>
        </w:rPr>
        <w:t>Credibility:</w:t>
      </w:r>
      <w:r>
        <w:rPr>
          <w:b w:val="0"/>
          <w:i w:val="0"/>
        </w:rPr>
        <w:t xml:space="preserve"> Present him as a careful, rule-following executive who went up the chain of command, and take the sting out of the USB drive, the commission dispute, and the severance certification before Stokes does.</w:t>
      </w:r>
    </w:p>
    <w:p>
      <w:pPr>
        <w:pStyle w:val="Heading2"/>
      </w:pPr>
      <w:r>
        <w:t>B. Themes for this witness</w:t>
      </w:r>
    </w:p>
    <w:p>
      <w:pPr>
        <w:pStyle w:val="ListBullet"/>
        <w:spacing w:after="40"/>
      </w:pPr>
      <w:r>
        <w:rPr>
          <w:b w:val="0"/>
          <w:i w:val="0"/>
        </w:rPr>
        <w:t>“He did his job — and they told him to stop.”</w:t>
      </w:r>
    </w:p>
    <w:p>
      <w:pPr>
        <w:pStyle w:val="ListBullet"/>
        <w:spacing w:after="40"/>
      </w:pPr>
      <w:r>
        <w:rPr>
          <w:b w:val="0"/>
          <w:i w:val="0"/>
        </w:rPr>
        <w:t>“The numbers came from Cascade’s own system.” (It is Cascade’s SAP data, not Elliston’s opinion; Kowalski independently confirmed 4,217 / 3,104 / 1,113 and DVOSS01.)</w:t>
      </w:r>
    </w:p>
    <w:p>
      <w:pPr>
        <w:pStyle w:val="ListBullet"/>
        <w:spacing w:after="40"/>
      </w:pPr>
      <w:r>
        <w:rPr>
          <w:b w:val="0"/>
          <w:i w:val="0"/>
        </w:rPr>
        <w:t>“Up the chain, not out the door.” (CEO → CEO + CFO → CEO + CFO + GC before ever speaking to anyone outside Cascade.)</w:t>
      </w:r>
    </w:p>
    <w:p>
      <w:pPr>
        <w:pStyle w:val="ListBullet"/>
        <w:spacing w:after="40"/>
      </w:pPr>
      <w:r>
        <w:rPr>
          <w:b w:val="0"/>
          <w:i w:val="0"/>
        </w:rPr>
        <w:t>“Fired for restructuring — of one.” (1 of 23 in the department; replaced within 24 days.)</w:t>
      </w:r>
    </w:p>
    <w:p>
      <w:pPr>
        <w:pStyle w:val="Heading2"/>
      </w:pPr>
      <w:r>
        <w:t>C. Strategic decisions (recommended)</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D9E2F3"/>
          </w:tcPr>
          <w:p>
            <w:r/>
            <w:r>
              <w:rPr>
                <w:b/>
                <w:i w:val="0"/>
                <w:sz w:val="20"/>
              </w:rPr>
              <w:t>Issue</w:t>
            </w:r>
          </w:p>
        </w:tc>
        <w:tc>
          <w:tcPr>
            <w:tcW w:type="dxa" w:w="3744"/>
            <w:shd w:val="clear" w:color="auto" w:fill="D9E2F3"/>
          </w:tcPr>
          <w:p>
            <w:r/>
            <w:r>
              <w:rPr>
                <w:b/>
                <w:i w:val="0"/>
                <w:sz w:val="20"/>
              </w:rPr>
              <w:t>Recommendation</w:t>
            </w:r>
          </w:p>
        </w:tc>
        <w:tc>
          <w:tcPr>
            <w:tcW w:type="dxa" w:w="3312"/>
            <w:shd w:val="clear" w:color="auto" w:fill="D9E2F3"/>
          </w:tcPr>
          <w:p>
            <w:r/>
            <w:r>
              <w:rPr>
                <w:b/>
                <w:i w:val="0"/>
                <w:sz w:val="20"/>
              </w:rPr>
              <w:t>Basis</w:t>
            </w:r>
          </w:p>
        </w:tc>
      </w:tr>
      <w:tr>
        <w:tc>
          <w:tcPr>
            <w:tcW w:type="dxa" w:w="2304"/>
          </w:tcPr>
          <w:p>
            <w:r/>
            <w:r>
              <w:rPr>
                <w:b w:val="0"/>
                <w:i w:val="0"/>
                <w:sz w:val="20"/>
              </w:rPr>
              <w:t>USB drive (Nov. 20, 2023)</w:t>
            </w:r>
          </w:p>
        </w:tc>
        <w:tc>
          <w:tcPr>
            <w:tcW w:type="dxa" w:w="3744"/>
          </w:tcPr>
          <w:p>
            <w:r/>
            <w:r>
              <w:rPr>
                <w:b w:val="0"/>
                <w:i w:val="0"/>
                <w:sz w:val="20"/>
              </w:rPr>
              <w:t>Front it on direct — briefly, factually, with reason and timing.</w:t>
            </w:r>
          </w:p>
        </w:tc>
        <w:tc>
          <w:tcPr>
            <w:tcW w:type="dxa" w:w="3312"/>
          </w:tcPr>
          <w:p>
            <w:r/>
            <w:r>
              <w:rPr>
                <w:b w:val="0"/>
                <w:i w:val="0"/>
                <w:sz w:val="20"/>
              </w:rPr>
              <w:t>Order § X permits Ridgeline to address on direct; inoculation denies Stokes the “secret” framing.</w:t>
            </w:r>
          </w:p>
        </w:tc>
      </w:tr>
      <w:tr>
        <w:tc>
          <w:tcPr>
            <w:tcW w:type="dxa" w:w="2304"/>
          </w:tcPr>
          <w:p>
            <w:r/>
            <w:r>
              <w:rPr>
                <w:b w:val="0"/>
                <w:i w:val="0"/>
                <w:sz w:val="20"/>
              </w:rPr>
              <w:t>Commission dispute with Trimble</w:t>
            </w:r>
          </w:p>
        </w:tc>
        <w:tc>
          <w:tcPr>
            <w:tcW w:type="dxa" w:w="3744"/>
          </w:tcPr>
          <w:p>
            <w:r/>
            <w:r>
              <w:rPr>
                <w:b w:val="0"/>
                <w:i w:val="0"/>
                <w:sz w:val="20"/>
              </w:rPr>
              <w:t>Front it on direct in 3–4 questions; save detail for redirect.</w:t>
            </w:r>
          </w:p>
        </w:tc>
        <w:tc>
          <w:tcPr>
            <w:tcW w:type="dxa" w:w="3312"/>
          </w:tcPr>
          <w:p>
            <w:r/>
            <w:r>
              <w:rPr>
                <w:b w:val="0"/>
                <w:i w:val="0"/>
                <w:sz w:val="20"/>
              </w:rPr>
              <w:t>Order § XI permits under FRE 611(a); his Sept. 28 email went only to Voss — best rebuttal to “vendetta against Trimble.”</w:t>
            </w:r>
          </w:p>
        </w:tc>
      </w:tr>
      <w:tr>
        <w:tc>
          <w:tcPr>
            <w:tcW w:type="dxa" w:w="2304"/>
          </w:tcPr>
          <w:p>
            <w:r/>
            <w:r>
              <w:rPr>
                <w:b w:val="0"/>
                <w:i w:val="0"/>
                <w:sz w:val="20"/>
              </w:rPr>
              <w:t>Severance Agreement / release</w:t>
            </w:r>
          </w:p>
        </w:tc>
        <w:tc>
          <w:tcPr>
            <w:tcW w:type="dxa" w:w="3744"/>
          </w:tcPr>
          <w:p>
            <w:r/>
            <w:r>
              <w:rPr>
                <w:b w:val="0"/>
                <w:i w:val="0"/>
                <w:sz w:val="20"/>
              </w:rPr>
              <w:t>Offer on direct for the limited purpose; request limiting instruction at that time.</w:t>
            </w:r>
          </w:p>
        </w:tc>
        <w:tc>
          <w:tcPr>
            <w:tcW w:type="dxa" w:w="3312"/>
          </w:tcPr>
          <w:p>
            <w:r/>
            <w:r>
              <w:rPr>
                <w:b w:val="0"/>
                <w:i w:val="0"/>
                <w:sz w:val="20"/>
              </w:rPr>
              <w:t>Order § VI. Carve-out § 8(b) — Court will not entertain argument testimony is barred.</w:t>
            </w:r>
          </w:p>
        </w:tc>
      </w:tr>
      <w:tr>
        <w:tc>
          <w:tcPr>
            <w:tcW w:type="dxa" w:w="2304"/>
          </w:tcPr>
          <w:p>
            <w:r/>
            <w:r>
              <w:rPr>
                <w:b w:val="0"/>
                <w:i w:val="0"/>
                <w:sz w:val="20"/>
              </w:rPr>
              <w:t>Exhibit A “Company Property Certification” (signed Jan. 19, 2024: returned all USB drives, retained no copies)</w:t>
            </w:r>
          </w:p>
        </w:tc>
        <w:tc>
          <w:tcPr>
            <w:tcW w:type="dxa" w:w="3744"/>
          </w:tcPr>
          <w:p>
            <w:r/>
            <w:r>
              <w:rPr>
                <w:b w:val="0"/>
                <w:i w:val="0"/>
                <w:sz w:val="20"/>
              </w:rPr>
              <w:t>CAUTION — Most dangerous impeachment point not addressed in the Order. Prepare witness; strongly consider fronting on direct (see Part IV, Chapter 11 and Part VI).</w:t>
            </w:r>
          </w:p>
        </w:tc>
        <w:tc>
          <w:tcPr>
            <w:tcW w:type="dxa" w:w="3312"/>
          </w:tcPr>
          <w:p>
            <w:r/>
            <w:r>
              <w:rPr>
                <w:b w:val="0"/>
                <w:i w:val="0"/>
                <w:sz w:val="20"/>
              </w:rPr>
              <w:t>Cascade brief does not yet mention it, but Stokes has the document and will use it under FRE 608(b).</w:t>
            </w:r>
          </w:p>
        </w:tc>
      </w:tr>
      <w:tr>
        <w:tc>
          <w:tcPr>
            <w:tcW w:type="dxa" w:w="2304"/>
          </w:tcPr>
          <w:p>
            <w:r/>
            <w:r>
              <w:rPr>
                <w:b w:val="0"/>
                <w:i w:val="0"/>
                <w:sz w:val="20"/>
              </w:rPr>
              <w:t>Spreadsheet</w:t>
            </w:r>
          </w:p>
        </w:tc>
        <w:tc>
          <w:tcPr>
            <w:tcW w:type="dxa" w:w="3744"/>
          </w:tcPr>
          <w:p>
            <w:r/>
            <w:r>
              <w:rPr>
                <w:b w:val="0"/>
                <w:i w:val="0"/>
                <w:sz w:val="20"/>
              </w:rPr>
              <w:t>Do not publish until version/authentication issues in Part III are resolved; lay full FRE 901(b)(1) foundation first.</w:t>
            </w:r>
          </w:p>
        </w:tc>
        <w:tc>
          <w:tcPr>
            <w:tcW w:type="dxa" w:w="3312"/>
          </w:tcPr>
          <w:p>
            <w:r/>
            <w:r>
              <w:rPr>
                <w:b w:val="0"/>
                <w:i w:val="0"/>
                <w:sz w:val="20"/>
              </w:rPr>
              <w:t>Order § IX (denied without prejudice to renewal).</w:t>
            </w:r>
          </w:p>
        </w:tc>
      </w:tr>
      <w:tr>
        <w:tc>
          <w:tcPr>
            <w:tcW w:type="dxa" w:w="2304"/>
          </w:tcPr>
          <w:p>
            <w:r/>
            <w:r>
              <w:rPr>
                <w:b w:val="0"/>
                <w:i w:val="0"/>
                <w:sz w:val="20"/>
              </w:rPr>
              <w:t>Dollar figures</w:t>
            </w:r>
          </w:p>
        </w:tc>
        <w:tc>
          <w:tcPr>
            <w:tcW w:type="dxa" w:w="3744"/>
          </w:tcPr>
          <w:p>
            <w:r/>
            <w:r>
              <w:rPr>
                <w:b w:val="0"/>
                <w:i w:val="0"/>
                <w:sz w:val="20"/>
              </w:rPr>
              <w:t>Elicit only the $1,271.34 per-unit resale price. Do not elicit any aggregate, seven-quarter, or unpaid-royalty figure. Leave Q3 dollar value to Kowalski.</w:t>
            </w:r>
          </w:p>
        </w:tc>
        <w:tc>
          <w:tcPr>
            <w:tcW w:type="dxa" w:w="3312"/>
          </w:tcPr>
          <w:p>
            <w:r/>
            <w:r>
              <w:rPr>
                <w:b w:val="0"/>
                <w:i w:val="0"/>
                <w:sz w:val="20"/>
              </w:rPr>
              <w:t>Order § VII; § XII(1).</w:t>
            </w:r>
          </w:p>
        </w:tc>
      </w:tr>
    </w:tbl>
    <w:p>
      <w:pPr>
        <w:spacing w:after="40"/>
      </w:pPr>
    </w:p>
    <w:p>
      <w:pPr>
        <w:pStyle w:val="Heading1"/>
      </w:pPr>
      <w:r>
        <w:t>Part II. Pretrial Rulings — Quick Reference for Counsel Table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9E2F3"/>
          </w:tcPr>
          <w:p>
            <w:r/>
            <w:r>
              <w:rPr>
                <w:b/>
                <w:i w:val="0"/>
                <w:sz w:val="20"/>
              </w:rPr>
              <w:t>Ruling</w:t>
            </w:r>
          </w:p>
        </w:tc>
        <w:tc>
          <w:tcPr>
            <w:tcW w:type="dxa" w:w="1584"/>
            <w:shd w:val="clear" w:color="auto" w:fill="D9E2F3"/>
          </w:tcPr>
          <w:p>
            <w:r/>
            <w:r>
              <w:rPr>
                <w:b/>
                <w:i w:val="0"/>
                <w:sz w:val="20"/>
              </w:rPr>
              <w:t>Result</w:t>
            </w:r>
          </w:p>
        </w:tc>
        <w:tc>
          <w:tcPr>
            <w:tcW w:type="dxa" w:w="5616"/>
            <w:shd w:val="clear" w:color="auto" w:fill="D9E2F3"/>
          </w:tcPr>
          <w:p>
            <w:r/>
            <w:r>
              <w:rPr>
                <w:b/>
                <w:i w:val="0"/>
                <w:sz w:val="20"/>
              </w:rPr>
              <w:t>What it means for this examination</w:t>
            </w:r>
          </w:p>
        </w:tc>
      </w:tr>
      <w:tr>
        <w:tc>
          <w:tcPr>
            <w:tcW w:type="dxa" w:w="2160"/>
          </w:tcPr>
          <w:p>
            <w:r/>
            <w:r>
              <w:rPr>
                <w:b w:val="0"/>
                <w:i w:val="0"/>
                <w:sz w:val="20"/>
              </w:rPr>
              <w:t>Pl. MIL 1 — Email chains</w:t>
            </w:r>
          </w:p>
        </w:tc>
        <w:tc>
          <w:tcPr>
            <w:tcW w:type="dxa" w:w="1584"/>
          </w:tcPr>
          <w:p>
            <w:r/>
            <w:r>
              <w:rPr>
                <w:b w:val="0"/>
                <w:i w:val="0"/>
                <w:sz w:val="20"/>
              </w:rPr>
              <w:t>GRANTED</w:t>
            </w:r>
          </w:p>
        </w:tc>
        <w:tc>
          <w:tcPr>
            <w:tcW w:type="dxa" w:w="5616"/>
          </w:tcPr>
          <w:p>
            <w:r/>
            <w:r>
              <w:rPr>
                <w:b w:val="0"/>
                <w:i w:val="0"/>
                <w:sz w:val="20"/>
              </w:rPr>
              <w:t>All three chains admissible (801(d)(2)(D) for Elliston; 801(d)(2)(A),(D) for Voss/Trimble/Greer). FRE 106: if any part is offered, the complete chain comes in at the same time — including the Greer cover email and memo. Offer each chain whole.</w:t>
            </w:r>
          </w:p>
        </w:tc>
      </w:tr>
      <w:tr>
        <w:tc>
          <w:tcPr>
            <w:tcW w:type="dxa" w:w="2160"/>
          </w:tcPr>
          <w:p>
            <w:r/>
            <w:r>
              <w:rPr>
                <w:b w:val="0"/>
                <w:i w:val="0"/>
                <w:sz w:val="20"/>
              </w:rPr>
              <w:t>Pl. MIL 2 — Voss termination statement</w:t>
            </w:r>
          </w:p>
        </w:tc>
        <w:tc>
          <w:tcPr>
            <w:tcW w:type="dxa" w:w="1584"/>
          </w:tcPr>
          <w:p>
            <w:r/>
            <w:r>
              <w:rPr>
                <w:b w:val="0"/>
                <w:i w:val="0"/>
                <w:sz w:val="20"/>
              </w:rPr>
              <w:t>GRANTED</w:t>
            </w:r>
          </w:p>
        </w:tc>
        <w:tc>
          <w:tcPr>
            <w:tcW w:type="dxa" w:w="5616"/>
          </w:tcPr>
          <w:p>
            <w:r/>
            <w:r>
              <w:rPr>
                <w:b w:val="0"/>
                <w:i w:val="0"/>
                <w:sz w:val="20"/>
              </w:rPr>
              <w:t>Admissible under 801(d)(2)(A). Court directed counsel to lay foundation first: date, participants, purpose — then the words.</w:t>
            </w:r>
          </w:p>
        </w:tc>
      </w:tr>
      <w:tr>
        <w:tc>
          <w:tcPr>
            <w:tcW w:type="dxa" w:w="2160"/>
          </w:tcPr>
          <w:p>
            <w:r/>
            <w:r>
              <w:rPr>
                <w:b w:val="0"/>
                <w:i w:val="0"/>
                <w:sz w:val="20"/>
              </w:rPr>
              <w:t>Pl. MIL 3 — MidAmerican bank records</w:t>
            </w:r>
          </w:p>
        </w:tc>
        <w:tc>
          <w:tcPr>
            <w:tcW w:type="dxa" w:w="1584"/>
          </w:tcPr>
          <w:p>
            <w:r/>
            <w:r>
              <w:rPr>
                <w:b w:val="0"/>
                <w:i w:val="0"/>
                <w:sz w:val="20"/>
              </w:rPr>
              <w:t>GRANTED (902(11) cert.)</w:t>
            </w:r>
          </w:p>
        </w:tc>
        <w:tc>
          <w:tcPr>
            <w:tcW w:type="dxa" w:w="5616"/>
          </w:tcPr>
          <w:p>
            <w:r/>
            <w:r>
              <w:rPr>
                <w:b w:val="0"/>
                <w:i w:val="0"/>
                <w:sz w:val="20"/>
              </w:rPr>
              <w:t>Not through Elliston. He did not review them during employment and may not characterize them (Order § VII). Do not show him the bank records.</w:t>
            </w:r>
          </w:p>
        </w:tc>
      </w:tr>
      <w:tr>
        <w:tc>
          <w:tcPr>
            <w:tcW w:type="dxa" w:w="2160"/>
          </w:tcPr>
          <w:p>
            <w:r/>
            <w:r>
              <w:rPr>
                <w:b w:val="0"/>
                <w:i w:val="0"/>
                <w:sz w:val="20"/>
              </w:rPr>
              <w:t>Pl. MIL 4 — Severance Agreement</w:t>
            </w:r>
          </w:p>
        </w:tc>
        <w:tc>
          <w:tcPr>
            <w:tcW w:type="dxa" w:w="1584"/>
          </w:tcPr>
          <w:p>
            <w:r/>
            <w:r>
              <w:rPr>
                <w:b w:val="0"/>
                <w:i w:val="0"/>
                <w:sz w:val="20"/>
              </w:rPr>
              <w:t>GRANTED (limited purpose)</w:t>
            </w:r>
          </w:p>
        </w:tc>
        <w:tc>
          <w:tcPr>
            <w:tcW w:type="dxa" w:w="5616"/>
          </w:tcPr>
          <w:p>
            <w:r/>
            <w:r>
              <w:rPr>
                <w:b w:val="0"/>
                <w:i w:val="0"/>
                <w:sz w:val="20"/>
              </w:rPr>
              <w:t>Only for circumstances of departure. Request the limiting instruction when offered. No argument that testimony violates the release.</w:t>
            </w:r>
          </w:p>
        </w:tc>
      </w:tr>
      <w:tr>
        <w:tc>
          <w:tcPr>
            <w:tcW w:type="dxa" w:w="2160"/>
          </w:tcPr>
          <w:p>
            <w:r/>
            <w:r>
              <w:rPr>
                <w:b w:val="0"/>
                <w:i w:val="0"/>
                <w:sz w:val="20"/>
              </w:rPr>
              <w:t>Def. MIL 1 — Aggregate financial testimony</w:t>
            </w:r>
          </w:p>
        </w:tc>
        <w:tc>
          <w:tcPr>
            <w:tcW w:type="dxa" w:w="1584"/>
          </w:tcPr>
          <w:p>
            <w:r/>
            <w:r>
              <w:rPr>
                <w:b w:val="0"/>
                <w:i w:val="0"/>
                <w:sz w:val="20"/>
              </w:rPr>
              <w:t>GRANTED IN PART</w:t>
            </w:r>
          </w:p>
        </w:tc>
        <w:tc>
          <w:tcPr>
            <w:tcW w:type="dxa" w:w="5616"/>
          </w:tcPr>
          <w:p>
            <w:r/>
            <w:r>
              <w:rPr>
                <w:b w:val="0"/>
                <w:i w:val="0"/>
                <w:sz w:val="20"/>
              </w:rPr>
              <w:t>PERMITTED: Q3 gap (4,217/3,104/1,113); MidAmerican POs; DVOSS01 and April 18, 2022 account creation; user-ID assignment practice; could not explain gap via returns/warranty/adjustments; $1,271.34 per-unit price. BARRED: 7-quarter diverted total ($7,315,000); total unpaid royalties ($456,975); overall financial impact; any characterization of Keyworth bank records.</w:t>
            </w:r>
          </w:p>
        </w:tc>
      </w:tr>
      <w:tr>
        <w:tc>
          <w:tcPr>
            <w:tcW w:type="dxa" w:w="2160"/>
          </w:tcPr>
          <w:p>
            <w:r/>
            <w:r>
              <w:rPr>
                <w:b w:val="0"/>
                <w:i w:val="0"/>
                <w:sz w:val="20"/>
              </w:rPr>
              <w:t>Def. MIL 2 — Termination</w:t>
            </w:r>
          </w:p>
        </w:tc>
        <w:tc>
          <w:tcPr>
            <w:tcW w:type="dxa" w:w="1584"/>
          </w:tcPr>
          <w:p>
            <w:r/>
            <w:r>
              <w:rPr>
                <w:b w:val="0"/>
                <w:i w:val="0"/>
                <w:sz w:val="20"/>
              </w:rPr>
              <w:t>DENIED</w:t>
            </w:r>
          </w:p>
        </w:tc>
        <w:tc>
          <w:tcPr>
            <w:tcW w:type="dxa" w:w="5616"/>
          </w:tcPr>
          <w:p>
            <w:r/>
            <w:r>
              <w:rPr>
                <w:b w:val="0"/>
                <w:i w:val="0"/>
                <w:sz w:val="20"/>
              </w:rPr>
              <w:t>Admissible for consciousness of guilt and credibility only. Do NOT argue wrongful termination or retaliation as independent wrongs. Avoid the word “retaliation” in questions.</w:t>
            </w:r>
          </w:p>
        </w:tc>
      </w:tr>
      <w:tr>
        <w:tc>
          <w:tcPr>
            <w:tcW w:type="dxa" w:w="2160"/>
          </w:tcPr>
          <w:p>
            <w:r/>
            <w:r>
              <w:rPr>
                <w:b w:val="0"/>
                <w:i w:val="0"/>
                <w:sz w:val="20"/>
              </w:rPr>
              <w:t>Def. MIL 3 — Spreadsheet</w:t>
            </w:r>
          </w:p>
        </w:tc>
        <w:tc>
          <w:tcPr>
            <w:tcW w:type="dxa" w:w="1584"/>
          </w:tcPr>
          <w:p>
            <w:r/>
            <w:r>
              <w:rPr>
                <w:b w:val="0"/>
                <w:i w:val="0"/>
                <w:sz w:val="20"/>
              </w:rPr>
              <w:t>DENIED w/o prejudice</w:t>
            </w:r>
          </w:p>
        </w:tc>
        <w:tc>
          <w:tcPr>
            <w:tcW w:type="dxa" w:w="5616"/>
          </w:tcPr>
          <w:p>
            <w:r/>
            <w:r>
              <w:rPr>
                <w:b w:val="0"/>
                <w:i w:val="0"/>
                <w:sz w:val="20"/>
              </w:rPr>
              <w:t>Elliston must testify: (1) he created it; (2) from warehouse shipment logs and SAP sales reporting data; (3) he recognizes it; (4) it is in substantially the same condition as when created. Then publish.</w:t>
            </w:r>
          </w:p>
        </w:tc>
      </w:tr>
      <w:tr>
        <w:tc>
          <w:tcPr>
            <w:tcW w:type="dxa" w:w="2160"/>
          </w:tcPr>
          <w:p>
            <w:r/>
            <w:r>
              <w:rPr>
                <w:b w:val="0"/>
                <w:i w:val="0"/>
                <w:sz w:val="20"/>
              </w:rPr>
              <w:t>Def. MIL 4 — USB drive</w:t>
            </w:r>
          </w:p>
        </w:tc>
        <w:tc>
          <w:tcPr>
            <w:tcW w:type="dxa" w:w="1584"/>
          </w:tcPr>
          <w:p>
            <w:r/>
            <w:r>
              <w:rPr>
                <w:b w:val="0"/>
                <w:i w:val="0"/>
                <w:sz w:val="20"/>
              </w:rPr>
              <w:t>DENIED</w:t>
            </w:r>
          </w:p>
        </w:tc>
        <w:tc>
          <w:tcPr>
            <w:tcW w:type="dxa" w:w="5616"/>
          </w:tcPr>
          <w:p>
            <w:r/>
            <w:r>
              <w:rPr>
                <w:b w:val="0"/>
                <w:i w:val="0"/>
                <w:sz w:val="20"/>
              </w:rPr>
              <w:t>Both sides may address. Keep it to the facts; no side trial over Cascade IT policies.</w:t>
            </w:r>
          </w:p>
        </w:tc>
      </w:tr>
      <w:tr>
        <w:tc>
          <w:tcPr>
            <w:tcW w:type="dxa" w:w="2160"/>
          </w:tcPr>
          <w:p>
            <w:r/>
            <w:r>
              <w:rPr>
                <w:b w:val="0"/>
                <w:i w:val="0"/>
                <w:sz w:val="20"/>
              </w:rPr>
              <w:t>Def. MIL 5 — Commission dispute</w:t>
            </w:r>
          </w:p>
        </w:tc>
        <w:tc>
          <w:tcPr>
            <w:tcW w:type="dxa" w:w="1584"/>
          </w:tcPr>
          <w:p>
            <w:r/>
            <w:r>
              <w:rPr>
                <w:b w:val="0"/>
                <w:i w:val="0"/>
                <w:sz w:val="20"/>
              </w:rPr>
              <w:t>DENIED as moot</w:t>
            </w:r>
          </w:p>
        </w:tc>
        <w:tc>
          <w:tcPr>
            <w:tcW w:type="dxa" w:w="5616"/>
          </w:tcPr>
          <w:p>
            <w:r/>
            <w:r>
              <w:rPr>
                <w:b w:val="0"/>
                <w:i w:val="0"/>
                <w:sz w:val="20"/>
              </w:rPr>
              <w:t>Either side may raise it; Ridgeline may address on direct or redirect.</w:t>
            </w:r>
          </w:p>
        </w:tc>
      </w:tr>
      <w:tr>
        <w:tc>
          <w:tcPr>
            <w:tcW w:type="dxa" w:w="2160"/>
          </w:tcPr>
          <w:p>
            <w:r/>
            <w:r>
              <w:rPr>
                <w:b w:val="0"/>
                <w:i w:val="0"/>
                <w:sz w:val="20"/>
              </w:rPr>
              <w:t>§ XII(3) — Party-opponent foundation</w:t>
            </w:r>
          </w:p>
        </w:tc>
        <w:tc>
          <w:tcPr>
            <w:tcW w:type="dxa" w:w="1584"/>
          </w:tcPr>
          <w:p>
            <w:r/>
            <w:r>
              <w:rPr>
                <w:b w:val="0"/>
                <w:i w:val="0"/>
                <w:sz w:val="20"/>
              </w:rPr>
              <w:t>Guidance</w:t>
            </w:r>
          </w:p>
        </w:tc>
        <w:tc>
          <w:tcPr>
            <w:tcW w:type="dxa" w:w="5616"/>
          </w:tcPr>
          <w:p>
            <w:r/>
            <w:r>
              <w:rPr>
                <w:b w:val="0"/>
                <w:i w:val="0"/>
                <w:sz w:val="20"/>
              </w:rPr>
              <w:t>For every Voss/Trimble/Greer statement: identity, role at Cascade, context — then the substance.</w:t>
            </w:r>
          </w:p>
        </w:tc>
      </w:tr>
      <w:tr>
        <w:tc>
          <w:tcPr>
            <w:tcW w:type="dxa" w:w="2160"/>
          </w:tcPr>
          <w:p>
            <w:r/>
            <w:r>
              <w:rPr>
                <w:b w:val="0"/>
                <w:i w:val="0"/>
                <w:sz w:val="20"/>
              </w:rPr>
              <w:t>§ XII(4) — Deposition impeachment</w:t>
            </w:r>
          </w:p>
        </w:tc>
        <w:tc>
          <w:tcPr>
            <w:tcW w:type="dxa" w:w="1584"/>
          </w:tcPr>
          <w:p>
            <w:r/>
            <w:r>
              <w:rPr>
                <w:b w:val="0"/>
                <w:i w:val="0"/>
                <w:sz w:val="20"/>
              </w:rPr>
              <w:t>Guidance</w:t>
            </w:r>
          </w:p>
        </w:tc>
        <w:tc>
          <w:tcPr>
            <w:tcW w:type="dxa" w:w="5616"/>
          </w:tcPr>
          <w:p>
            <w:r/>
            <w:r>
              <w:rPr>
                <w:b w:val="0"/>
                <w:i w:val="0"/>
                <w:sz w:val="20"/>
              </w:rPr>
              <w:t>Opponent must direct witness to page and line. Insist on page:line compliance and on completeness (FRE 106/Rule 32(a)(6)) when Stokes reads excerpts.</w:t>
            </w:r>
          </w:p>
        </w:tc>
      </w:tr>
    </w:tbl>
    <w:p>
      <w:pPr>
        <w:spacing w:after="40"/>
      </w:pPr>
    </w:p>
    <w:p>
      <w:pPr>
        <w:pStyle w:val="Heading1"/>
      </w:pPr>
      <w:r>
        <w:t>Part III. Pre-Trial Action Items and Red Flags (Resolve Before Direct)</w:t>
      </w:r>
    </w:p>
    <w:p>
      <w:pPr>
        <w:spacing w:after="80"/>
      </w:pPr>
      <w:r>
        <w:rPr>
          <w:b w:val="0"/>
          <w:i/>
        </w:rPr>
        <w:t>A close comparison of the case materials reveals problems that, if not addressed, could cause the spreadsheet to be excluded on renewed objection, or could let Cascade impeach Elliston with his own documents. Each item lists the problem and the recommended fix.</w:t>
      </w:r>
    </w:p>
    <w:p>
      <w:pPr>
        <w:pStyle w:val="Heading2"/>
      </w:pPr>
      <w:r>
        <w:t>1. Spreadsheet version / authentication (CRITICAL)</w:t>
      </w:r>
    </w:p>
    <w:p>
      <w:pPr>
        <w:pStyle w:val="ListBullet"/>
        <w:spacing w:after="40"/>
      </w:pPr>
      <w:r>
        <w:rPr>
          <w:b/>
          <w:i w:val="0"/>
        </w:rPr>
        <w:t>Post-creation commentary in the file.</w:t>
      </w:r>
      <w:r>
        <w:rPr>
          <w:b w:val="0"/>
          <w:i w:val="0"/>
        </w:rPr>
        <w:t xml:space="preserve"> The “Date Created” row on the Summary tab of the produced spreadsheet contains a “Notes” entry that discusses Elliston’s </w:t>
      </w:r>
      <w:r>
        <w:rPr>
          <w:b/>
          <w:i w:val="0"/>
        </w:rPr>
        <w:t>deposition testimony (p. 72)</w:t>
      </w:r>
      <w:r>
        <w:rPr>
          <w:b w:val="0"/>
          <w:i w:val="0"/>
        </w:rPr>
        <w:t xml:space="preserve"> and the “last week” email wording. That text could not have existed in September 2023. As produced, the file is not “in substantially the same condition as when created” (Order § IX), and it contradicts Elliston’s testimony that the version he gave counsel is the same one he attached on September 28 (Dep. 88).</w:t>
      </w:r>
    </w:p>
    <w:p>
      <w:pPr>
        <w:pStyle w:val="ListBullet"/>
        <w:spacing w:after="40"/>
      </w:pPr>
      <w:r>
        <w:rPr>
          <w:b/>
          <w:i w:val="0"/>
        </w:rPr>
        <w:t>Shipments dated after the September 28 email.</w:t>
      </w:r>
      <w:r>
        <w:rPr>
          <w:b w:val="0"/>
          <w:i w:val="0"/>
        </w:rPr>
        <w:t xml:space="preserve"> The Shipment Detail tab includes 13 shipments dated </w:t>
      </w:r>
      <w:r>
        <w:rPr>
          <w:b/>
          <w:i w:val="0"/>
        </w:rPr>
        <w:t>September 29–30, 2023</w:t>
      </w:r>
      <w:r>
        <w:rPr>
          <w:b w:val="0"/>
          <w:i w:val="0"/>
        </w:rPr>
        <w:t xml:space="preserve"> (rows 108–120), among them a MidAmerican shipment on 9/29 (PO-MDA-23-0082, 20 units). A file attached at 2:17 PM on September 28 cannot contain them. The Summary also covers the full quarter (“July 1 – September 30, 2023”).</w:t>
      </w:r>
    </w:p>
    <w:p>
      <w:pPr>
        <w:pStyle w:val="ListBullet"/>
        <w:spacing w:after="40"/>
      </w:pPr>
      <w:r>
        <w:rPr>
          <w:b/>
          <w:i w:val="0"/>
        </w:rPr>
        <w:t>Content that was new as of October 5.</w:t>
      </w:r>
      <w:r>
        <w:rPr>
          <w:b w:val="0"/>
          <w:i w:val="0"/>
        </w:rPr>
        <w:t xml:space="preserve"> The Summary tab’s “Key Finding” (MidAmerican; account created April 18, 2022 by DVOSS01) matches the </w:t>
      </w:r>
      <w:r>
        <w:rPr>
          <w:b/>
          <w:i w:val="0"/>
        </w:rPr>
        <w:t>October 5</w:t>
      </w:r>
      <w:r>
        <w:rPr>
          <w:b w:val="0"/>
          <w:i w:val="0"/>
        </w:rPr>
        <w:t xml:space="preserve"> email (“I have now identified the source of the discrepancy”), which attached a different file (MidAmerican_PO_Analysis_100523.xlsx). By contrast, the September 28 email says: “At this point I do not have an explanation for where these units went.” Dep. 78 has Elliston saying he had identified the MidAmerican POs </w:t>
      </w:r>
      <w:r>
        <w:rPr>
          <w:b/>
          <w:i w:val="0"/>
        </w:rPr>
        <w:t>before</w:t>
      </w:r>
      <w:r>
        <w:rPr>
          <w:b w:val="0"/>
          <w:i w:val="0"/>
        </w:rPr>
        <w:t xml:space="preserve"> the September 28 email. That is a real inconsistency Stokes can exploit.</w:t>
      </w:r>
    </w:p>
    <w:p>
      <w:pPr>
        <w:pStyle w:val="ListBullet"/>
        <w:spacing w:after="40"/>
      </w:pPr>
      <w:r>
        <w:rPr>
          <w:b/>
          <w:i w:val="0"/>
        </w:rPr>
        <w:t>Internal math that does not tie.</w:t>
      </w:r>
      <w:r>
        <w:rPr>
          <w:b w:val="0"/>
          <w:i w:val="0"/>
        </w:rPr>
        <w:t xml:space="preserve"> (a) Shipment Detail rows total </w:t>
      </w:r>
      <w:r>
        <w:rPr>
          <w:b/>
          <w:i w:val="0"/>
        </w:rPr>
        <w:t>3,503</w:t>
      </w:r>
      <w:r>
        <w:rPr>
          <w:b w:val="0"/>
          <w:i w:val="0"/>
        </w:rPr>
        <w:t xml:space="preserve"> units (2,390 authorized + 1,113 MidAmerican), not 4,217; the authorized rows understate the 3,104 in the Summary by 714 units. (b) Monthly authorized figures on Sales Comparison (1,005/1,048/1,051) do not match the detail rows (725/742/923). (c) The line-item extended value of the MidAmerican rows is </w:t>
      </w:r>
      <w:r>
        <w:rPr>
          <w:b/>
          <w:i w:val="0"/>
        </w:rPr>
        <w:t>$1,500,395.00</w:t>
      </w:r>
      <w:r>
        <w:rPr>
          <w:b w:val="0"/>
          <w:i w:val="0"/>
        </w:rPr>
        <w:t xml:space="preserve">, but the Summary and Sales Comparison use </w:t>
      </w:r>
      <w:r>
        <w:rPr>
          <w:b/>
          <w:i w:val="0"/>
        </w:rPr>
        <w:t>$1,415,001.42</w:t>
      </w:r>
      <w:r>
        <w:rPr>
          <w:b w:val="0"/>
          <w:i w:val="0"/>
        </w:rPr>
        <w:t xml:space="preserve"> (1,113 × $1,271.34). (d) Row 106 is labeled the “final MidAmerican shipment in Q3 2023,” but row 110 (9/29) is a later one. (e) The September 28 email says the analysis breaks the data down by “warehouse lot number,” but the produced file has no lot-number column.</w:t>
      </w:r>
    </w:p>
    <w:p>
      <w:pPr>
        <w:pStyle w:val="ListBullet"/>
        <w:spacing w:after="40"/>
      </w:pPr>
      <w:r>
        <w:rPr>
          <w:b/>
          <w:i w:val="0"/>
        </w:rPr>
        <w:t>The number of MidAmerican POs does not match the expert.</w:t>
      </w:r>
      <w:r>
        <w:rPr>
          <w:b w:val="0"/>
          <w:i w:val="0"/>
        </w:rPr>
        <w:t xml:space="preserve"> The spreadsheet shows </w:t>
      </w:r>
      <w:r>
        <w:rPr>
          <w:b/>
          <w:i w:val="0"/>
        </w:rPr>
        <w:t>36</w:t>
      </w:r>
      <w:r>
        <w:rPr>
          <w:b w:val="0"/>
          <w:i w:val="0"/>
        </w:rPr>
        <w:t xml:space="preserve"> Q3 MidAmerican POs (PO-MDA-23-0047 through -0082). Kowalski says the 1,113 units were “traced to eight specific MidAmerican purchase orders” (Kowalski § IV.D, § V.D). Cascade will use this against both witnesses.</w:t>
      </w:r>
    </w:p>
    <w:p>
      <w:pPr>
        <w:pStyle w:val="ListBullet"/>
        <w:spacing w:after="40"/>
      </w:pPr>
      <w:r>
        <w:rPr>
          <w:b/>
          <w:i w:val="0"/>
        </w:rPr>
        <w:t>Dollar and royalty calculations inside the exhibit.</w:t>
      </w:r>
      <w:r>
        <w:rPr>
          <w:b w:val="0"/>
          <w:i w:val="0"/>
        </w:rPr>
        <w:t xml:space="preserve"> The Summary and Sales Comparison tabs show estimated resale value ($1,415,001.42), estimated unpaid royalties ($63,675.06), and royalty variances. These are Q3 figures only and not the barred aggregate figures, but publishing them through Elliston invites a FRE 701/702 objection under the Order’s spirit (§ VII, § XII(1)).</w:t>
      </w:r>
    </w:p>
    <w:p>
      <w:pPr>
        <w:spacing w:after="80"/>
      </w:pPr>
      <w:r>
        <w:rPr>
          <w:b/>
          <w:i w:val="0"/>
        </w:rPr>
        <w:t>Recommended fixes:</w:t>
      </w:r>
    </w:p>
    <w:p>
      <w:pPr>
        <w:pStyle w:val="ListBullet"/>
        <w:spacing w:after="40"/>
      </w:pPr>
      <w:r>
        <w:rPr>
          <w:b w:val="0"/>
          <w:i w:val="0"/>
        </w:rPr>
        <w:t xml:space="preserve">Get the </w:t>
      </w:r>
      <w:r>
        <w:rPr>
          <w:b/>
          <w:i w:val="0"/>
        </w:rPr>
        <w:t>native attachments</w:t>
      </w:r>
      <w:r>
        <w:rPr>
          <w:b w:val="0"/>
          <w:i w:val="0"/>
        </w:rPr>
        <w:t xml:space="preserve"> from Cascade’s production (the Sept. 28 attachment Q3_2023_Unit_Discrepancy_Analysis.xlsx to CASCADE_EMAIL_003857, and the Oct. 5 attachment MidAmerican_PO_Analysis_100523.xlsx to CASCADE_EMAIL_003853). Also get Elliston’s USB copy, with a forensic hash and metadata report. Offer the version </w:t>
      </w:r>
      <w:r>
        <w:rPr>
          <w:b/>
          <w:i w:val="0"/>
        </w:rPr>
        <w:t>as it was attached to Cascade’s own email</w:t>
      </w:r>
      <w:r>
        <w:rPr>
          <w:b w:val="0"/>
          <w:i w:val="0"/>
        </w:rPr>
        <w:t xml:space="preserve"> — Cascade produced it, which also strengthens authentication (FRE 901(b)(4)).</w:t>
      </w:r>
    </w:p>
    <w:p>
      <w:pPr>
        <w:pStyle w:val="ListBullet"/>
        <w:spacing w:after="40"/>
      </w:pPr>
      <w:r>
        <w:rPr>
          <w:b w:val="0"/>
          <w:i w:val="0"/>
        </w:rPr>
        <w:t>Identify who added the “Notes” commentary to the working copy, and strip all attorney or consultant annotations from any trial exhibit. Disclose the clean exhibit to opposing counsel.</w:t>
      </w:r>
    </w:p>
    <w:p>
      <w:pPr>
        <w:pStyle w:val="ListBullet"/>
        <w:spacing w:after="40"/>
      </w:pPr>
      <w:r>
        <w:rPr>
          <w:b w:val="0"/>
          <w:i w:val="0"/>
        </w:rPr>
        <w:t xml:space="preserve">Meet with Elliston (without coaching) to learn the true history of the file. Did he keep refining one workbook after September 28? Are the September 28 and October 5 files separate? Which version is which? If the produced file is a later or merged version, </w:t>
      </w:r>
      <w:r>
        <w:rPr>
          <w:b/>
          <w:i w:val="0"/>
        </w:rPr>
        <w:t>do not</w:t>
      </w:r>
      <w:r>
        <w:rPr>
          <w:b w:val="0"/>
          <w:i w:val="0"/>
        </w:rPr>
        <w:t xml:space="preserve"> have him testify that it is “the same version” he attached on September 28. Authenticate each version for what it actually is.</w:t>
      </w:r>
    </w:p>
    <w:p>
      <w:pPr>
        <w:pStyle w:val="ListBullet"/>
        <w:spacing w:after="40"/>
      </w:pPr>
      <w:r>
        <w:rPr>
          <w:b w:val="0"/>
          <w:i w:val="0"/>
        </w:rPr>
        <w:t xml:space="preserve">Consider offering a </w:t>
      </w:r>
      <w:r>
        <w:rPr>
          <w:b/>
          <w:i w:val="0"/>
        </w:rPr>
        <w:t>redacted/demonstrative version</w:t>
      </w:r>
      <w:r>
        <w:rPr>
          <w:b w:val="0"/>
          <w:i w:val="0"/>
        </w:rPr>
        <w:t xml:space="preserve"> (FRE 1006 summary or FRE 107 illustrative aid) limited to units: shipped / reported / gap / zero returns, zero warranty, zero transfers. Remove the dollar and royalty columns. Confirm with Kowalski that she will present the Q3 dollar value.</w:t>
      </w:r>
    </w:p>
    <w:p>
      <w:pPr>
        <w:pStyle w:val="ListBullet"/>
        <w:spacing w:after="40"/>
      </w:pPr>
      <w:r>
        <w:rPr>
          <w:b w:val="0"/>
          <w:i w:val="0"/>
        </w:rPr>
        <w:t>Resolve the “8 POs vs. 36 POs” and “3,503 vs. 4,217” discrepancies with Kowalski before either witness testifies. The detail tab may be an excerpt of the full shipment log; if so, Elliston should say so.</w:t>
      </w:r>
    </w:p>
    <w:p>
      <w:pPr>
        <w:pStyle w:val="Heading2"/>
      </w:pPr>
      <w:r>
        <w:t>2. Severance Agreement Exhibit A and § 9(c) (CRITICAL)</w:t>
      </w:r>
    </w:p>
    <w:p>
      <w:pPr>
        <w:pStyle w:val="ListBullet"/>
        <w:spacing w:after="40"/>
      </w:pPr>
      <w:r>
        <w:rPr>
          <w:b w:val="0"/>
          <w:i w:val="0"/>
        </w:rPr>
        <w:t>On January 19, 2024, Elliston initialed and signed Exhibit A, certifying that he had returned all “USB drives” and “ha[d] not retained any copies ... of Company documents, data, or records in any form.” He also represented in § 9(c) that he had not violated the Data Security Policy. Yet he kept the November 20, 2023 USB copies and later gave them to Whitfield &amp; Crane (Dep. 150).</w:t>
      </w:r>
    </w:p>
    <w:p>
      <w:pPr>
        <w:pStyle w:val="ListBullet"/>
        <w:spacing w:after="40"/>
      </w:pPr>
      <w:r>
        <w:rPr>
          <w:b w:val="0"/>
          <w:i w:val="0"/>
        </w:rPr>
        <w:t xml:space="preserve">This is a signed, false written certification. Stokes can pursue it under FRE 608(b) as conduct probative of untruthfulness — much stronger than the policy-violation point in Cascade’s brief. The § 8(b) carve-out protects </w:t>
      </w:r>
      <w:r>
        <w:rPr>
          <w:b/>
          <w:i w:val="0"/>
        </w:rPr>
        <w:t>testimony</w:t>
      </w:r>
      <w:r>
        <w:rPr>
          <w:b w:val="0"/>
          <w:i w:val="0"/>
        </w:rPr>
        <w:t>; it does not cure the certification.</w:t>
      </w:r>
    </w:p>
    <w:p>
      <w:pPr>
        <w:pStyle w:val="ListBullet"/>
        <w:spacing w:after="40"/>
      </w:pPr>
      <w:r>
        <w:rPr>
          <w:b/>
          <w:i w:val="0"/>
        </w:rPr>
        <w:t>Fix:</w:t>
      </w:r>
      <w:r>
        <w:rPr>
          <w:b w:val="0"/>
          <w:i w:val="0"/>
        </w:rPr>
        <w:t xml:space="preserve"> Before trial, ask Elliston about his state of mind when he signed (e.g., he understood the “return” obligation to cover company devices; he believed the files were evidence of potential wrongdoing; he had been told by the General Counsel the matter was “closed”). Do not suggest answers. If there is a truthful explanation, consider fronting it on direct (Chapter 11). Research whether retaining evidence of suspected fraud is protected (e.g., public-policy limits on enforcing confidentiality provisions against evidence preservation). Prepare a bench brief on the limits of FRE 608(b): no extrinsic evidence; the questioning must be probative of truthfulness.</w:t>
      </w:r>
    </w:p>
    <w:p>
      <w:pPr>
        <w:pStyle w:val="Heading2"/>
      </w:pPr>
      <w:r>
        <w:t>3. Hearsay problems in Elliston’s own deposition account</w:t>
      </w:r>
    </w:p>
    <w:p>
      <w:pPr>
        <w:pStyle w:val="ListBullet"/>
        <w:spacing w:after="40"/>
      </w:pPr>
      <w:r>
        <w:rPr>
          <w:b/>
          <w:i w:val="0"/>
        </w:rPr>
        <w:t>Karen Cho / “hold the report” (Dep. 156–161).</w:t>
      </w:r>
      <w:r>
        <w:rPr>
          <w:b w:val="0"/>
          <w:i w:val="0"/>
        </w:rPr>
        <w:t xml:space="preserve"> Elliston did not hear Trimble’s instruction. Trimble’s instruction is a party-opponent statement, but Cho’s report to Elliston is a second layer (FRE 805). </w:t>
      </w:r>
      <w:r>
        <w:rPr>
          <w:b/>
          <w:i w:val="0"/>
        </w:rPr>
        <w:t>Plan:</w:t>
      </w:r>
      <w:r>
        <w:rPr>
          <w:b w:val="0"/>
          <w:i w:val="0"/>
        </w:rPr>
        <w:t xml:space="preserve"> Offer Cho’s statement under 801(d)(2)(D) (a Cascade accounting employee speaking on a matter within the scope of her employment — preparing the royalty report — while employed). Lay that foundation first. If the objection is sustained, fall back to: (a) he observed the Oct. 10 closed-door meeting; (b) the report was not submitted by Oct. 30 and was filed Nov. 17 (use the filing records and Kowalski; Elliston’s knowledge of the filing date is “I understand,” Dep. 157); (c) in 5+ years it had never been late (personal knowledge, Dep. 163). Best source: call Cho, or depose her/designate Trimble testimony. Do </w:t>
      </w:r>
      <w:r>
        <w:rPr>
          <w:b/>
          <w:i w:val="0"/>
        </w:rPr>
        <w:t>not</w:t>
      </w:r>
      <w:r>
        <w:rPr>
          <w:b w:val="0"/>
          <w:i w:val="0"/>
        </w:rPr>
        <w:t xml:space="preserve"> ask Elliston what he “concluded” about the timing (Dep. 164 drew a speculation objection).</w:t>
      </w:r>
    </w:p>
    <w:p>
      <w:pPr>
        <w:pStyle w:val="ListBullet"/>
        <w:spacing w:after="40"/>
      </w:pPr>
      <w:r>
        <w:rPr>
          <w:b/>
          <w:i w:val="0"/>
        </w:rPr>
        <w:t>Hoffman promotion (Dep. 108–109).</w:t>
      </w:r>
      <w:r>
        <w:rPr>
          <w:b w:val="0"/>
          <w:i w:val="0"/>
        </w:rPr>
        <w:t xml:space="preserve"> Elliston learned it from former colleagues, so it is hearsay and he lacks personal knowledge. Prove the February 5, 2024 promotion through Cascade records, Partlow/Hoffman testimony, an RFA admission, or a stipulation (Cascade’s own trial brief concedes the date and the promotion, so seek a stipulation). Do not elicit it from Elliston unless it is already in evidence.</w:t>
      </w:r>
    </w:p>
    <w:p>
      <w:pPr>
        <w:pStyle w:val="ListBullet"/>
        <w:spacing w:after="40"/>
      </w:pPr>
      <w:r>
        <w:rPr>
          <w:b/>
          <w:i w:val="0"/>
        </w:rPr>
        <w:t>“No other employees terminated.”</w:t>
      </w:r>
      <w:r>
        <w:rPr>
          <w:b w:val="0"/>
          <w:i w:val="0"/>
        </w:rPr>
        <w:t xml:space="preserve"> He can testify to what he personally knew as head of the 23-person department through January 12. Post-departure facts need another source.</w:t>
      </w:r>
    </w:p>
    <w:p>
      <w:pPr>
        <w:pStyle w:val="Heading2"/>
      </w:pPr>
      <w:r>
        <w:t>4. Mischaracterizations in Cascade’s Trial Brief (use at sidebar, and to rehabilitate)</w:t>
      </w:r>
    </w:p>
    <w:tbl>
      <w:tblPr>
        <w:tblStyle w:val="TableGrid"/>
        <w:tblW w:type="auto" w:w="0"/>
        <w:tblLook w:firstColumn="1" w:firstRow="1" w:lastColumn="0" w:lastRow="0" w:noHBand="0" w:noVBand="1" w:val="04A0"/>
      </w:tblPr>
      <w:tblGrid>
        <w:gridCol w:w="4680"/>
        <w:gridCol w:w="4680"/>
      </w:tblGrid>
      <w:tr>
        <w:tc>
          <w:tcPr>
            <w:tcW w:type="dxa" w:w="4320"/>
            <w:shd w:val="clear" w:color="auto" w:fill="D9E2F3"/>
          </w:tcPr>
          <w:p>
            <w:r/>
            <w:r>
              <w:rPr>
                <w:b/>
                <w:i w:val="0"/>
                <w:sz w:val="20"/>
              </w:rPr>
              <w:t>Cascade brief says</w:t>
            </w:r>
          </w:p>
        </w:tc>
        <w:tc>
          <w:tcPr>
            <w:tcW w:type="dxa" w:w="5040"/>
            <w:shd w:val="clear" w:color="auto" w:fill="D9E2F3"/>
          </w:tcPr>
          <w:p>
            <w:r/>
            <w:r>
              <w:rPr>
                <w:b/>
                <w:i w:val="0"/>
                <w:sz w:val="20"/>
              </w:rPr>
              <w:t>The record shows</w:t>
            </w:r>
          </w:p>
        </w:tc>
      </w:tr>
      <w:tr>
        <w:tc>
          <w:tcPr>
            <w:tcW w:type="dxa" w:w="4320"/>
          </w:tcPr>
          <w:p>
            <w:r/>
            <w:r>
              <w:rPr>
                <w:b w:val="0"/>
                <w:i w:val="0"/>
                <w:sz w:val="20"/>
              </w:rPr>
              <w:t>Elliston testified he discovered the POs on Sept. 25, “recalled it as a Monday,” while “running a routine sales report.”</w:t>
            </w:r>
          </w:p>
        </w:tc>
        <w:tc>
          <w:tcPr>
            <w:tcW w:type="dxa" w:w="5040"/>
          </w:tcPr>
          <w:p>
            <w:r/>
            <w:r>
              <w:rPr>
                <w:b w:val="0"/>
                <w:i w:val="0"/>
                <w:sz w:val="20"/>
              </w:rPr>
              <w:t xml:space="preserve">Dep. 72 says “I believe it was around September 25”; he never said “Monday.” The word “Monday” appears in his Sept. 28 </w:t>
            </w:r>
            <w:r>
              <w:rPr>
                <w:b/>
                <w:i w:val="0"/>
                <w:sz w:val="20"/>
              </w:rPr>
              <w:t>email</w:t>
            </w:r>
            <w:r>
              <w:rPr>
                <w:b w:val="0"/>
                <w:i w:val="0"/>
                <w:sz w:val="20"/>
              </w:rPr>
              <w:t xml:space="preserve"> — “As I mentioned when we briefly spoke on Monday” — referring to a conversation with Voss.</w:t>
            </w:r>
          </w:p>
        </w:tc>
      </w:tr>
      <w:tr>
        <w:tc>
          <w:tcPr>
            <w:tcW w:type="dxa" w:w="4320"/>
          </w:tcPr>
          <w:p>
            <w:r/>
            <w:r>
              <w:rPr>
                <w:b w:val="0"/>
                <w:i w:val="0"/>
                <w:sz w:val="20"/>
              </w:rPr>
              <w:t>Metadata (Sept. 22), testimony (Sept. 25) and email (“last week”) give three inconsistent dates.</w:t>
            </w:r>
          </w:p>
        </w:tc>
        <w:tc>
          <w:tcPr>
            <w:tcW w:type="dxa" w:w="5040"/>
          </w:tcPr>
          <w:p>
            <w:r/>
            <w:r>
              <w:rPr>
                <w:b w:val="0"/>
                <w:i w:val="0"/>
                <w:sz w:val="20"/>
              </w:rPr>
              <w:t>They fit together: Dep. 83 says he began the spreadsheet “on or about September 22” (matching the metadata; Sept. 22 was the Friday of “last week”); he confirmed it and raised it with Voss on Monday, Sept. 25; he completed it around Sept. 27 and sent it Sept. 28. The brief itself switches between “week ending Sept. 22” and “Sept. 21 or earlier.”</w:t>
            </w:r>
          </w:p>
        </w:tc>
      </w:tr>
      <w:tr>
        <w:tc>
          <w:tcPr>
            <w:tcW w:type="dxa" w:w="4320"/>
          </w:tcPr>
          <w:p>
            <w:r/>
            <w:r>
              <w:rPr>
                <w:b w:val="0"/>
                <w:i w:val="0"/>
                <w:sz w:val="20"/>
              </w:rPr>
              <w:t>MBA obtained in 2012.</w:t>
            </w:r>
          </w:p>
        </w:tc>
        <w:tc>
          <w:tcPr>
            <w:tcW w:type="dxa" w:w="5040"/>
          </w:tcPr>
          <w:p>
            <w:r/>
            <w:r>
              <w:rPr>
                <w:b w:val="0"/>
                <w:i w:val="0"/>
                <w:sz w:val="20"/>
              </w:rPr>
              <w:t xml:space="preserve">MBA, Ohio State, </w:t>
            </w:r>
            <w:r>
              <w:rPr>
                <w:b/>
                <w:i w:val="0"/>
                <w:sz w:val="20"/>
              </w:rPr>
              <w:t>2003</w:t>
            </w:r>
            <w:r>
              <w:rPr>
                <w:b w:val="0"/>
                <w:i w:val="0"/>
                <w:sz w:val="20"/>
              </w:rPr>
              <w:t>; BBA, University of Cincinnati, 1999 (Dep. 14).</w:t>
            </w:r>
          </w:p>
        </w:tc>
      </w:tr>
      <w:tr>
        <w:tc>
          <w:tcPr>
            <w:tcW w:type="dxa" w:w="4320"/>
          </w:tcPr>
          <w:p>
            <w:r/>
            <w:r>
              <w:rPr>
                <w:b w:val="0"/>
                <w:i w:val="0"/>
                <w:sz w:val="20"/>
              </w:rPr>
              <w:t>He “did not investigate or rule out” returns, warranty, transfers, etc. (pp. 217–218).</w:t>
            </w:r>
          </w:p>
        </w:tc>
        <w:tc>
          <w:tcPr>
            <w:tcW w:type="dxa" w:w="5040"/>
          </w:tcPr>
          <w:p>
            <w:r/>
            <w:r>
              <w:rPr>
                <w:b w:val="0"/>
                <w:i w:val="0"/>
                <w:sz w:val="20"/>
              </w:rPr>
              <w:t>He did: Dep. 66; Sept. 28 email (“checked ... returns, warranty replacements, and inventory adjustments”); Summary tab shows zero returns, zero warranty, zero transfers, with Dublin as the sole DC. Dep. 217–218 says nothing of the kind.</w:t>
            </w:r>
          </w:p>
        </w:tc>
      </w:tr>
      <w:tr>
        <w:tc>
          <w:tcPr>
            <w:tcW w:type="dxa" w:w="4320"/>
          </w:tcPr>
          <w:p>
            <w:r/>
            <w:r>
              <w:rPr>
                <w:b w:val="0"/>
                <w:i w:val="0"/>
                <w:sz w:val="20"/>
              </w:rPr>
              <w:t>SAP use limited to the SD module (p. 216).</w:t>
            </w:r>
          </w:p>
        </w:tc>
        <w:tc>
          <w:tcPr>
            <w:tcW w:type="dxa" w:w="5040"/>
          </w:tcPr>
          <w:p>
            <w:r/>
            <w:r>
              <w:rPr>
                <w:b w:val="0"/>
                <w:i w:val="0"/>
                <w:sz w:val="20"/>
              </w:rPr>
              <w:t>Not in the excerpts. Dep. 120 describes daily use of sales reporting, purchase order, inventory, and customer-master modules. Obtain the full transcript and verify.</w:t>
            </w:r>
          </w:p>
        </w:tc>
      </w:tr>
      <w:tr>
        <w:tc>
          <w:tcPr>
            <w:tcW w:type="dxa" w:w="4320"/>
          </w:tcPr>
          <w:p>
            <w:r/>
            <w:r>
              <w:rPr>
                <w:b w:val="0"/>
                <w:i w:val="0"/>
                <w:sz w:val="20"/>
              </w:rPr>
              <w:t>“Approximately 1,100 units” testimony at p. 187.</w:t>
            </w:r>
          </w:p>
        </w:tc>
        <w:tc>
          <w:tcPr>
            <w:tcW w:type="dxa" w:w="5040"/>
          </w:tcPr>
          <w:p>
            <w:r/>
            <w:r>
              <w:rPr>
                <w:b w:val="0"/>
                <w:i w:val="0"/>
                <w:sz w:val="20"/>
              </w:rPr>
              <w:t>Not in the excerpts; everywhere else he gives exactly 1,113 (Dep. 66, 85, 218). Verify the full transcript.</w:t>
            </w:r>
          </w:p>
        </w:tc>
      </w:tr>
      <w:tr>
        <w:tc>
          <w:tcPr>
            <w:tcW w:type="dxa" w:w="4320"/>
          </w:tcPr>
          <w:p>
            <w:r/>
            <w:r>
              <w:rPr>
                <w:b w:val="0"/>
                <w:i w:val="0"/>
                <w:sz w:val="20"/>
              </w:rPr>
              <w:t>Signed release “after having had the opportunity to consult with counsel of his choosing.”</w:t>
            </w:r>
          </w:p>
        </w:tc>
        <w:tc>
          <w:tcPr>
            <w:tcW w:type="dxa" w:w="5040"/>
          </w:tcPr>
          <w:p>
            <w:r/>
            <w:r>
              <w:rPr>
                <w:b w:val="0"/>
                <w:i w:val="0"/>
                <w:sz w:val="20"/>
              </w:rPr>
              <w:t>He did not retain counsel (Dep. 227). He signed 7 days into the 21-day period because “I needed the income” (Dep. 112, 228–229).</w:t>
            </w:r>
          </w:p>
        </w:tc>
      </w:tr>
      <w:tr>
        <w:tc>
          <w:tcPr>
            <w:tcW w:type="dxa" w:w="4320"/>
          </w:tcPr>
          <w:p>
            <w:r/>
            <w:r>
              <w:rPr>
                <w:b w:val="0"/>
                <w:i w:val="0"/>
                <w:sz w:val="20"/>
              </w:rPr>
              <w:t>The Oct. 5 email is “accusatory and personal” toward Trimble.</w:t>
            </w:r>
          </w:p>
        </w:tc>
        <w:tc>
          <w:tcPr>
            <w:tcW w:type="dxa" w:w="5040"/>
          </w:tcPr>
          <w:p>
            <w:r/>
            <w:r>
              <w:rPr>
                <w:b w:val="0"/>
                <w:i w:val="0"/>
                <w:sz w:val="20"/>
              </w:rPr>
              <w:t>The sentence quoted appears in both the Oct. 5 and Nov. 15 emails. It cites § 7.3 and asks for self-reporting and correction. The Sept. 28 email did not go to Trimble at all (Dep. 195).</w:t>
            </w:r>
          </w:p>
        </w:tc>
      </w:tr>
      <w:tr>
        <w:tc>
          <w:tcPr>
            <w:tcW w:type="dxa" w:w="4320"/>
          </w:tcPr>
          <w:p>
            <w:r/>
            <w:r>
              <w:rPr>
                <w:b w:val="0"/>
                <w:i w:val="0"/>
                <w:sz w:val="20"/>
              </w:rPr>
              <w:t>Elliston fought Trimble’s commission framework and was overruled; an email accused Trimble of “failing to understand the realities of sales management.”</w:t>
            </w:r>
          </w:p>
        </w:tc>
        <w:tc>
          <w:tcPr>
            <w:tcW w:type="dxa" w:w="5040"/>
          </w:tcPr>
          <w:p>
            <w:r/>
            <w:r>
              <w:rPr>
                <w:b w:val="0"/>
                <w:i w:val="0"/>
                <w:sz w:val="20"/>
              </w:rPr>
              <w:t>Elliston says he made the proposal and Trimble opposed its projections (Dep. 190). Demand production of the alleged email; object if it has not been produced or listed as an exhibit. Extrinsic evidence of bias is allowed, but it must be disclosed.</w:t>
            </w:r>
          </w:p>
        </w:tc>
      </w:tr>
      <w:tr>
        <w:tc>
          <w:tcPr>
            <w:tcW w:type="dxa" w:w="4320"/>
          </w:tcPr>
          <w:p>
            <w:r/>
            <w:r>
              <w:rPr>
                <w:b w:val="0"/>
                <w:i w:val="0"/>
                <w:sz w:val="20"/>
              </w:rPr>
              <w:t>Signed a Data Policy acknowledgment on hire; Exhibit D-14.</w:t>
            </w:r>
          </w:p>
        </w:tc>
        <w:tc>
          <w:tcPr>
            <w:tcW w:type="dxa" w:w="5040"/>
          </w:tcPr>
          <w:p>
            <w:r/>
            <w:r>
              <w:rPr>
                <w:b w:val="0"/>
                <w:i w:val="0"/>
                <w:sz w:val="20"/>
              </w:rPr>
              <w:t>Excerpts show only that he was “aware there was a policy” (Dep. 146). Verify.</w:t>
            </w:r>
          </w:p>
        </w:tc>
      </w:tr>
      <w:tr>
        <w:tc>
          <w:tcPr>
            <w:tcW w:type="dxa" w:w="4320"/>
          </w:tcPr>
          <w:p>
            <w:r/>
            <w:r>
              <w:rPr>
                <w:b w:val="0"/>
                <w:i w:val="0"/>
                <w:sz w:val="20"/>
              </w:rPr>
              <w:t>Did not use the compliance hotline.</w:t>
            </w:r>
          </w:p>
        </w:tc>
        <w:tc>
          <w:tcPr>
            <w:tcW w:type="dxa" w:w="5040"/>
          </w:tcPr>
          <w:p>
            <w:r/>
            <w:r>
              <w:rPr>
                <w:b w:val="0"/>
                <w:i w:val="0"/>
                <w:sz w:val="20"/>
              </w:rPr>
              <w:t>Not in the record. Ask Elliston whether a hotline existed and whether escalating to the General Counsel was the prescribed channel.</w:t>
            </w:r>
          </w:p>
        </w:tc>
      </w:tr>
    </w:tbl>
    <w:p>
      <w:pPr>
        <w:spacing w:after="40"/>
      </w:pPr>
    </w:p>
    <w:p>
      <w:pPr>
        <w:pStyle w:val="Heading2"/>
      </w:pPr>
      <w:r>
        <w:t>5. Errors in the Kowalski Report to fix before she testifies (affects corroboration)</w:t>
      </w:r>
    </w:p>
    <w:p>
      <w:pPr>
        <w:pStyle w:val="ListBullet"/>
        <w:spacing w:after="40"/>
      </w:pPr>
      <w:r>
        <w:rPr>
          <w:b w:val="0"/>
          <w:i w:val="0"/>
        </w:rPr>
        <w:t>It misquotes Trimble’s Oct. 6 reply as “is being handled appropriately” and “focus on your sales targets” (§ VIII.D). The actual text: “This is a finance matter and is being handled. Please focus on your sales targets.”</w:t>
      </w:r>
    </w:p>
    <w:p>
      <w:pPr>
        <w:pStyle w:val="ListBullet"/>
        <w:spacing w:after="40"/>
      </w:pPr>
      <w:r>
        <w:rPr>
          <w:b w:val="0"/>
          <w:i w:val="0"/>
        </w:rPr>
        <w:t>It cites the Oct. 10 meeting testimony as Tr. 147:8–148:19; the testimony is at Dep. 155–158. It also describes the hold instruction as fact, though Elliston only heard of it second-hand.</w:t>
      </w:r>
    </w:p>
    <w:p>
      <w:pPr>
        <w:pStyle w:val="ListBullet"/>
        <w:spacing w:after="40"/>
      </w:pPr>
      <w:r>
        <w:rPr>
          <w:b w:val="0"/>
          <w:i w:val="0"/>
        </w:rPr>
        <w:t>It says the Nov. 15 email used the phrase “serious compliance concerns”; that phrase does not appear in the email.</w:t>
      </w:r>
    </w:p>
    <w:p>
      <w:pPr>
        <w:pStyle w:val="ListBullet"/>
        <w:spacing w:after="40"/>
      </w:pPr>
      <w:r>
        <w:rPr>
          <w:b w:val="0"/>
          <w:i w:val="0"/>
        </w:rPr>
        <w:t>It says “No other user ID created, modified, or accessed” the MidAmerican account, but it also reports 16 PO approvals by ATRIMBLE01. Clarify the account-level vs. PO-level distinction.</w:t>
      </w:r>
    </w:p>
    <w:p>
      <w:pPr>
        <w:pStyle w:val="ListBullet"/>
        <w:spacing w:after="40"/>
      </w:pPr>
      <w:r>
        <w:rPr>
          <w:b w:val="0"/>
          <w:i w:val="0"/>
        </w:rPr>
        <w:t>It says 8 POs; the spreadsheet shows 36 (see item 1). It gives MidAmerican customer no. 400892; the spreadsheet shows CSG-CUST-0588 (possibly a different field — reconcile).</w:t>
      </w:r>
    </w:p>
    <w:p>
      <w:pPr>
        <w:pStyle w:val="Heading2"/>
      </w:pPr>
      <w:r>
        <w:t>6. Witness logistics</w:t>
      </w:r>
    </w:p>
    <w:p>
      <w:pPr>
        <w:pStyle w:val="ListBullet"/>
        <w:spacing w:after="40"/>
      </w:pPr>
      <w:r>
        <w:rPr>
          <w:b w:val="0"/>
          <w:i w:val="0"/>
        </w:rPr>
        <w:t xml:space="preserve">Elliston is voluntary and not under subpoena. Serve a </w:t>
      </w:r>
      <w:r>
        <w:rPr>
          <w:b/>
          <w:i w:val="0"/>
        </w:rPr>
        <w:t>trial subpoena</w:t>
      </w:r>
      <w:r>
        <w:rPr>
          <w:b w:val="0"/>
          <w:i w:val="0"/>
        </w:rPr>
        <w:t xml:space="preserve"> anyway (FRE/FRCP 45) to secure attendance and support the “compelled by legal process” prong of § 8(b). Note his § 8(c) obligation to give Cascade written notice within 5 business days of receiving a subpoena. Make sure he complies so Cascade gets no collateral issue.</w:t>
      </w:r>
    </w:p>
    <w:p>
      <w:pPr>
        <w:pStyle w:val="ListBullet"/>
        <w:spacing w:after="40"/>
      </w:pPr>
      <w:r>
        <w:rPr>
          <w:b w:val="0"/>
          <w:i w:val="0"/>
        </w:rPr>
        <w:t>Travel-expense reimbursement only; no other compensation or promise (Dep. 236–237). Confirm nothing has changed, and document any reimbursements.</w:t>
      </w:r>
    </w:p>
    <w:p>
      <w:pPr>
        <w:pStyle w:val="ListBullet"/>
        <w:spacing w:after="40"/>
      </w:pPr>
      <w:r>
        <w:rPr>
          <w:b w:val="0"/>
          <w:i w:val="0"/>
        </w:rPr>
        <w:t>Confirm current employer (Triton) facts; confirm Triton is not a Cascade or Ridgeline competitor or customer (bias).</w:t>
      </w:r>
    </w:p>
    <w:p>
      <w:pPr>
        <w:pStyle w:val="ListBullet"/>
        <w:spacing w:after="40"/>
      </w:pPr>
      <w:r>
        <w:rPr>
          <w:b w:val="0"/>
          <w:i w:val="0"/>
        </w:rPr>
        <w:t>Provide him the full transcript, the three email chains, the severance agreement, and the exhibit versions to review. Under FRE 612, anything used to refresh his recollection may have to be produced.</w:t>
      </w:r>
    </w:p>
    <w:p>
      <w:pPr>
        <w:pStyle w:val="Heading1"/>
      </w:pPr>
      <w:r>
        <w:t>Part IV. Direct Examination Outline</w:t>
      </w:r>
    </w:p>
    <w:p>
      <w:pPr>
        <w:spacing w:after="80"/>
      </w:pPr>
      <w:r>
        <w:rPr>
          <w:b w:val="0"/>
          <w:i/>
        </w:rPr>
        <w:t>Non-leading form throughout (FRE 611(c)). Short, open questions; let the witness teach. Suggested exhibits: PX-__ Sept. 28 chain; PX-__ Oct. 5–6 chain; PX-__ Nov. 15 email + Dec. 8 Greer email and memo; PX-__ Spreadsheet (clean, authenticated version); PX-__ EDA (§§ 1.1, 5.1–5.2, 7.2–7.3); PX-__ Severance Agreement; PX-__ authorized sub-distributor list (if listed).</w:t>
      </w:r>
    </w:p>
    <w:p>
      <w:pPr>
        <w:pStyle w:val="Heading2"/>
      </w:pPr>
      <w:r>
        <w:t>Chapter 1 — Introduction and Personal Background (≈5 min.)</w:t>
      </w:r>
    </w:p>
    <w:p>
      <w:pPr>
        <w:spacing w:after="80"/>
      </w:pPr>
      <w:r>
        <w:rPr>
          <w:b w:val="0"/>
          <w:i/>
        </w:rPr>
        <w:t>Goal: Personalize him; establish education and why he is here.</w:t>
      </w:r>
    </w:p>
    <w:p>
      <w:pPr>
        <w:spacing w:after="20"/>
        <w:ind w:left="432" w:hanging="432"/>
      </w:pPr>
      <w:r>
        <w:rPr>
          <w:b/>
        </w:rPr>
        <w:t>1.</w:t>
        <w:tab/>
        <w:t xml:space="preserve">Q: </w:t>
      </w:r>
      <w:r>
        <w:rPr>
          <w:b w:val="0"/>
          <w:i w:val="0"/>
        </w:rPr>
        <w:t>Please introduce yourself to the jury.</w:t>
      </w:r>
    </w:p>
    <w:p>
      <w:pPr>
        <w:spacing w:after="60"/>
        <w:ind w:left="792"/>
      </w:pPr>
      <w:r>
        <w:rPr>
          <w:i/>
          <w:sz w:val="20"/>
        </w:rPr>
        <w:t xml:space="preserve">Expected: </w:t>
      </w:r>
      <w:r>
        <w:rPr>
          <w:sz w:val="20"/>
        </w:rPr>
        <w:t>Marcus Elliston; 47; lives in Shaker Heights, Ohio.</w:t>
      </w:r>
      <w:r>
        <w:rPr>
          <w:color w:val="444488"/>
          <w:sz w:val="20"/>
        </w:rPr>
        <w:t xml:space="preserve">  [Dep. 14]</w:t>
      </w:r>
    </w:p>
    <w:p>
      <w:pPr>
        <w:spacing w:after="20"/>
        <w:ind w:left="432" w:hanging="432"/>
      </w:pPr>
      <w:r>
        <w:rPr>
          <w:b/>
        </w:rPr>
        <w:t>2.</w:t>
        <w:tab/>
        <w:t xml:space="preserve">Q: </w:t>
      </w:r>
      <w:r>
        <w:rPr>
          <w:b w:val="0"/>
          <w:i w:val="0"/>
        </w:rPr>
        <w:t>What is your educational background?</w:t>
      </w:r>
    </w:p>
    <w:p>
      <w:pPr>
        <w:spacing w:after="60"/>
        <w:ind w:left="792"/>
      </w:pPr>
      <w:r>
        <w:rPr>
          <w:i/>
          <w:sz w:val="20"/>
        </w:rPr>
        <w:t xml:space="preserve">Expected: </w:t>
      </w:r>
      <w:r>
        <w:rPr>
          <w:sz w:val="20"/>
        </w:rPr>
        <w:t>BBA, University of Cincinnati (1999); MBA, The Ohio State University (2003), including finance, accounting, operations, supply chain and data analytics electives.</w:t>
      </w:r>
      <w:r>
        <w:rPr>
          <w:color w:val="444488"/>
          <w:sz w:val="20"/>
        </w:rPr>
        <w:t xml:space="preserve">  [Dep. 14]</w:t>
      </w:r>
    </w:p>
    <w:p>
      <w:pPr>
        <w:spacing w:after="20"/>
        <w:ind w:left="432" w:hanging="432"/>
      </w:pPr>
      <w:r>
        <w:rPr>
          <w:b/>
        </w:rPr>
        <w:t>3.</w:t>
        <w:tab/>
        <w:t xml:space="preserve">Q: </w:t>
      </w:r>
      <w:r>
        <w:rPr>
          <w:b w:val="0"/>
          <w:i w:val="0"/>
        </w:rPr>
        <w:t>Where do you work today, and what do you do?</w:t>
      </w:r>
    </w:p>
    <w:p>
      <w:pPr>
        <w:spacing w:after="60"/>
        <w:ind w:left="792"/>
      </w:pPr>
      <w:r>
        <w:rPr>
          <w:i/>
          <w:sz w:val="20"/>
        </w:rPr>
        <w:t xml:space="preserve">Expected: </w:t>
      </w:r>
      <w:r>
        <w:rPr>
          <w:sz w:val="20"/>
        </w:rPr>
        <w:t>Director of Business Development, Triton Industrial Partners, Cleveland; not a party.</w:t>
      </w:r>
      <w:r>
        <w:rPr>
          <w:color w:val="444488"/>
          <w:sz w:val="20"/>
        </w:rPr>
        <w:t xml:space="preserve">  [Dep. 15]</w:t>
      </w:r>
    </w:p>
    <w:p>
      <w:pPr>
        <w:spacing w:after="20"/>
        <w:ind w:left="432" w:hanging="432"/>
      </w:pPr>
      <w:r>
        <w:rPr>
          <w:b/>
        </w:rPr>
        <w:t>4.</w:t>
        <w:tab/>
        <w:t xml:space="preserve">Q: </w:t>
      </w:r>
      <w:r>
        <w:rPr>
          <w:b w:val="0"/>
          <w:i w:val="0"/>
        </w:rPr>
        <w:t>Before Triton, where did you work, and for how long?</w:t>
      </w:r>
    </w:p>
    <w:p>
      <w:pPr>
        <w:spacing w:after="60"/>
        <w:ind w:left="792"/>
      </w:pPr>
      <w:r>
        <w:rPr>
          <w:i/>
          <w:sz w:val="20"/>
        </w:rPr>
        <w:t xml:space="preserve">Expected: </w:t>
      </w:r>
      <w:r>
        <w:rPr>
          <w:sz w:val="20"/>
        </w:rPr>
        <w:t>Cascade Supply Group, August 2018 to January 12, 2024.</w:t>
      </w:r>
      <w:r>
        <w:rPr>
          <w:color w:val="444488"/>
          <w:sz w:val="20"/>
        </w:rPr>
        <w:t xml:space="preserve">  [Dep. 15]</w:t>
      </w:r>
    </w:p>
    <w:p>
      <w:pPr>
        <w:spacing w:after="20"/>
        <w:ind w:left="432" w:hanging="432"/>
      </w:pPr>
      <w:r>
        <w:rPr>
          <w:b/>
        </w:rPr>
        <w:t>5.</w:t>
        <w:tab/>
        <w:t xml:space="preserve">Q: </w:t>
      </w:r>
      <w:r>
        <w:rPr>
          <w:b w:val="0"/>
          <w:i w:val="0"/>
        </w:rPr>
        <w:t>Are you being paid for your testimony today? Has anyone promised you anything — a job, consulting work, any benefit?</w:t>
      </w:r>
    </w:p>
    <w:p>
      <w:pPr>
        <w:spacing w:after="60"/>
        <w:ind w:left="792"/>
      </w:pPr>
      <w:r>
        <w:rPr>
          <w:i/>
          <w:sz w:val="20"/>
        </w:rPr>
        <w:t xml:space="preserve">Expected: </w:t>
      </w:r>
      <w:r>
        <w:rPr>
          <w:sz w:val="20"/>
        </w:rPr>
        <w:t>No; travel expenses only; no promises.</w:t>
      </w:r>
      <w:r>
        <w:rPr>
          <w:color w:val="444488"/>
          <w:sz w:val="20"/>
        </w:rPr>
        <w:t xml:space="preserve">  [Dep. 236–237]</w:t>
      </w:r>
    </w:p>
    <w:p>
      <w:pPr>
        <w:spacing w:after="20"/>
        <w:ind w:left="432" w:hanging="432"/>
      </w:pPr>
      <w:r>
        <w:rPr>
          <w:b/>
        </w:rPr>
        <w:t>6.</w:t>
        <w:tab/>
        <w:t xml:space="preserve">Q: </w:t>
      </w:r>
      <w:r>
        <w:rPr>
          <w:b w:val="0"/>
          <w:i w:val="0"/>
        </w:rPr>
        <w:t>Why are you here?</w:t>
      </w:r>
    </w:p>
    <w:p>
      <w:pPr>
        <w:spacing w:after="60"/>
        <w:ind w:left="792"/>
      </w:pPr>
      <w:r>
        <w:rPr>
          <w:i/>
          <w:sz w:val="20"/>
        </w:rPr>
        <w:t xml:space="preserve">Expected: </w:t>
      </w:r>
      <w:r>
        <w:rPr>
          <w:sz w:val="20"/>
        </w:rPr>
        <w:t>“To tell the truth about what I observed during my employment at Cascade.”</w:t>
      </w:r>
      <w:r>
        <w:rPr>
          <w:color w:val="444488"/>
          <w:sz w:val="20"/>
        </w:rPr>
        <w:t xml:space="preserve">  [Dep. 239]</w:t>
      </w:r>
    </w:p>
    <w:p>
      <w:pPr>
        <w:pStyle w:val="Heading2"/>
      </w:pPr>
      <w:r>
        <w:t>Chapter 2 — Role at Cascade and Familiarity with the Ridgeline Account (≈8 min.)</w:t>
      </w:r>
    </w:p>
    <w:p>
      <w:pPr>
        <w:spacing w:after="80"/>
      </w:pPr>
      <w:r>
        <w:rPr>
          <w:b w:val="0"/>
          <w:i/>
        </w:rPr>
        <w:t>Goal: Establish that everything he later observed was within his job duties. This is the foundation for FRE 602/701 and for the 801(d)(2)(D) treatment of his emails.</w:t>
      </w:r>
    </w:p>
    <w:p>
      <w:pPr>
        <w:spacing w:after="20"/>
        <w:ind w:left="432" w:hanging="432"/>
      </w:pPr>
      <w:r>
        <w:rPr>
          <w:b/>
        </w:rPr>
        <w:t>7.</w:t>
        <w:tab/>
        <w:t xml:space="preserve">Q: </w:t>
      </w:r>
      <w:r>
        <w:rPr>
          <w:b w:val="0"/>
          <w:i w:val="0"/>
        </w:rPr>
        <w:t>What was your title at Cascade, and whom did you report to?</w:t>
      </w:r>
    </w:p>
    <w:p>
      <w:pPr>
        <w:spacing w:after="60"/>
        <w:ind w:left="792"/>
      </w:pPr>
      <w:r>
        <w:rPr>
          <w:i/>
          <w:sz w:val="20"/>
        </w:rPr>
        <w:t xml:space="preserve">Expected: </w:t>
      </w:r>
      <w:r>
        <w:rPr>
          <w:sz w:val="20"/>
        </w:rPr>
        <w:t>VP of Sales Operations; reported directly to Derek Voss, Managing Member and CEO.</w:t>
      </w:r>
      <w:r>
        <w:rPr>
          <w:color w:val="444488"/>
          <w:sz w:val="20"/>
        </w:rPr>
        <w:t xml:space="preserve">  [Dep. 16]</w:t>
      </w:r>
    </w:p>
    <w:p>
      <w:pPr>
        <w:spacing w:after="20"/>
        <w:ind w:left="432" w:hanging="432"/>
      </w:pPr>
      <w:r>
        <w:rPr>
          <w:b/>
        </w:rPr>
        <w:t>8.</w:t>
        <w:tab/>
        <w:t xml:space="preserve">Q: </w:t>
      </w:r>
      <w:r>
        <w:rPr>
          <w:b w:val="0"/>
          <w:i w:val="0"/>
        </w:rPr>
        <w:t>Describe your responsibilities.</w:t>
      </w:r>
    </w:p>
    <w:p>
      <w:pPr>
        <w:spacing w:after="60"/>
        <w:ind w:left="792"/>
      </w:pPr>
      <w:r>
        <w:rPr>
          <w:i/>
          <w:sz w:val="20"/>
        </w:rPr>
        <w:t xml:space="preserve">Expected: </w:t>
      </w:r>
      <w:r>
        <w:rPr>
          <w:sz w:val="20"/>
        </w:rPr>
        <w:t>Oversaw 22 regional sales managers; sales forecasting, pipeline management, commission and royalty reporting; tracking and analyzing sales data; ensuring reporting obligations under distribution agreements were met.</w:t>
      </w:r>
      <w:r>
        <w:rPr>
          <w:color w:val="444488"/>
          <w:sz w:val="20"/>
        </w:rPr>
        <w:t xml:space="preserve">  [Dep. 16]</w:t>
      </w:r>
    </w:p>
    <w:p>
      <w:pPr>
        <w:spacing w:after="20"/>
        <w:ind w:left="432" w:hanging="432"/>
      </w:pPr>
      <w:r>
        <w:rPr>
          <w:b/>
        </w:rPr>
        <w:t>9.</w:t>
        <w:tab/>
        <w:t xml:space="preserve">Q: </w:t>
      </w:r>
      <w:r>
        <w:rPr>
          <w:b w:val="0"/>
          <w:i w:val="0"/>
        </w:rPr>
        <w:t>What did “royalty reporting” involve day to day?</w:t>
      </w:r>
    </w:p>
    <w:p>
      <w:pPr>
        <w:spacing w:after="60"/>
        <w:ind w:left="792"/>
      </w:pPr>
      <w:r>
        <w:rPr>
          <w:i/>
          <w:sz w:val="20"/>
        </w:rPr>
        <w:t xml:space="preserve">Expected: </w:t>
      </w:r>
      <w:r>
        <w:rPr>
          <w:sz w:val="20"/>
        </w:rPr>
        <w:t>Capturing accurate sales data, reconciling it against warehouse shipments, preparing reports finance would finalize and submit.</w:t>
      </w:r>
      <w:r>
        <w:rPr>
          <w:color w:val="444488"/>
          <w:sz w:val="20"/>
        </w:rPr>
        <w:t xml:space="preserve">  [Dep. 16]</w:t>
      </w:r>
    </w:p>
    <w:p>
      <w:pPr>
        <w:spacing w:after="20"/>
        <w:ind w:left="432" w:hanging="432"/>
      </w:pPr>
      <w:r>
        <w:rPr>
          <w:b/>
        </w:rPr>
        <w:t>10.</w:t>
        <w:tab/>
        <w:t xml:space="preserve">Q: </w:t>
      </w:r>
      <w:r>
        <w:rPr>
          <w:b w:val="0"/>
          <w:i w:val="0"/>
        </w:rPr>
        <w:t>How often did you do reconciliations of shipments against sales?</w:t>
      </w:r>
    </w:p>
    <w:p>
      <w:pPr>
        <w:spacing w:after="60"/>
        <w:ind w:left="792"/>
      </w:pPr>
      <w:r>
        <w:rPr>
          <w:i/>
          <w:sz w:val="20"/>
        </w:rPr>
        <w:t xml:space="preserve">Expected: </w:t>
      </w:r>
      <w:r>
        <w:rPr>
          <w:sz w:val="20"/>
        </w:rPr>
        <w:t>Weekly, sometimes daily, for about four and a half years; reviewed by accounting; never told his numbers were wrong.</w:t>
      </w:r>
      <w:r>
        <w:rPr>
          <w:color w:val="444488"/>
          <w:sz w:val="20"/>
        </w:rPr>
        <w:t xml:space="preserve">  [Dep. 215–216]</w:t>
      </w:r>
    </w:p>
    <w:p>
      <w:pPr>
        <w:spacing w:after="20"/>
        <w:ind w:left="432" w:hanging="432"/>
      </w:pPr>
      <w:r>
        <w:rPr>
          <w:b/>
        </w:rPr>
        <w:t>11.</w:t>
        <w:tab/>
        <w:t xml:space="preserve">Q: </w:t>
      </w:r>
      <w:r>
        <w:rPr>
          <w:b w:val="0"/>
          <w:i w:val="0"/>
        </w:rPr>
        <w:t>What computer system did Cascade use to run its business?</w:t>
      </w:r>
    </w:p>
    <w:p>
      <w:pPr>
        <w:spacing w:after="60"/>
        <w:ind w:left="792"/>
      </w:pPr>
      <w:r>
        <w:rPr>
          <w:i/>
          <w:sz w:val="20"/>
        </w:rPr>
        <w:t xml:space="preserve">Expected: </w:t>
      </w:r>
      <w:r>
        <w:rPr>
          <w:sz w:val="20"/>
        </w:rPr>
        <w:t>SAP — purchase orders, sales orders, shipment records, customer accounts, invoicing.</w:t>
      </w:r>
      <w:r>
        <w:rPr>
          <w:color w:val="444488"/>
          <w:sz w:val="20"/>
        </w:rPr>
        <w:t xml:space="preserve">  [Dep. 17]</w:t>
      </w:r>
    </w:p>
    <w:p>
      <w:pPr>
        <w:spacing w:after="20"/>
        <w:ind w:left="432" w:hanging="432"/>
      </w:pPr>
      <w:r>
        <w:rPr>
          <w:b/>
        </w:rPr>
        <w:t>12.</w:t>
        <w:tab/>
        <w:t xml:space="preserve">Q: </w:t>
      </w:r>
      <w:r>
        <w:rPr>
          <w:b w:val="0"/>
          <w:i w:val="0"/>
        </w:rPr>
        <w:t>How often did you use SAP, and which parts of it?</w:t>
      </w:r>
    </w:p>
    <w:p>
      <w:pPr>
        <w:spacing w:after="60"/>
        <w:ind w:left="792"/>
      </w:pPr>
      <w:r>
        <w:rPr>
          <w:i/>
          <w:sz w:val="20"/>
        </w:rPr>
        <w:t xml:space="preserve">Expected: </w:t>
      </w:r>
      <w:r>
        <w:rPr>
          <w:sz w:val="20"/>
        </w:rPr>
        <w:t>Daily from onboarding training in August 2018 — sales reporting, purchase order management, inventory tracking, customer account management; plus Excel for analysis.</w:t>
      </w:r>
      <w:r>
        <w:rPr>
          <w:color w:val="444488"/>
          <w:sz w:val="20"/>
        </w:rPr>
        <w:t xml:space="preserve">  [Dep. 17, 120]</w:t>
      </w:r>
    </w:p>
    <w:p>
      <w:pPr>
        <w:spacing w:after="20"/>
        <w:ind w:left="432" w:hanging="432"/>
      </w:pPr>
      <w:r>
        <w:rPr>
          <w:b/>
        </w:rPr>
        <w:t>13.</w:t>
        <w:tab/>
        <w:t xml:space="preserve">Q: </w:t>
      </w:r>
      <w:r>
        <w:rPr>
          <w:b w:val="0"/>
          <w:i w:val="0"/>
        </w:rPr>
        <w:t>Are you familiar with Ridgeline Manufacturing? How?</w:t>
      </w:r>
    </w:p>
    <w:p>
      <w:pPr>
        <w:spacing w:after="60"/>
        <w:ind w:left="792"/>
      </w:pPr>
      <w:r>
        <w:rPr>
          <w:i/>
          <w:sz w:val="20"/>
        </w:rPr>
        <w:t xml:space="preserve">Expected: </w:t>
      </w:r>
      <w:r>
        <w:rPr>
          <w:sz w:val="20"/>
        </w:rPr>
        <w:t>Key manufacturing partner; Cascade distributed Ridgeline valves under the Exclusive Distribution Agreement; involved in administering it from shortly after execution.</w:t>
      </w:r>
      <w:r>
        <w:rPr>
          <w:color w:val="444488"/>
          <w:sz w:val="20"/>
        </w:rPr>
        <w:t xml:space="preserve">  [Dep. 17–18]</w:t>
      </w:r>
    </w:p>
    <w:p>
      <w:pPr>
        <w:spacing w:after="20"/>
        <w:ind w:left="432" w:hanging="432"/>
      </w:pPr>
      <w:r>
        <w:rPr>
          <w:b/>
        </w:rPr>
        <w:t>14.</w:t>
        <w:tab/>
        <w:t xml:space="preserve">Q: </w:t>
      </w:r>
      <w:r>
        <w:rPr>
          <w:b w:val="0"/>
          <w:i w:val="0"/>
        </w:rPr>
        <w:t>What did you understand the key terms of that agreement to be?</w:t>
      </w:r>
    </w:p>
    <w:p>
      <w:pPr>
        <w:spacing w:after="60"/>
        <w:ind w:left="792"/>
      </w:pPr>
      <w:r>
        <w:rPr>
          <w:i/>
          <w:sz w:val="20"/>
        </w:rPr>
        <w:t xml:space="preserve">Expected: </w:t>
      </w:r>
      <w:r>
        <w:rPr>
          <w:sz w:val="20"/>
        </w:rPr>
        <w:t>Exclusive in OH, IN, MI, IL, WI, MN, IA; 4.5% royalty on gross resale revenue; quarterly reports within 30 days of quarter end, certified by CFO Angela Trimble.</w:t>
      </w:r>
      <w:r>
        <w:rPr>
          <w:color w:val="444488"/>
          <w:sz w:val="20"/>
        </w:rPr>
        <w:t xml:space="preserve">  [Dep. 18]</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sz w:val="20"/>
              </w:rPr>
              <w:t xml:space="preserve">NOTE: </w:t>
            </w:r>
            <w:r>
              <w:rPr>
                <w:b w:val="0"/>
                <w:i w:val="0"/>
                <w:sz w:val="20"/>
              </w:rPr>
              <w:t>Keep this to his operational understanding. Offer the EDA itself through a Ridgeline witness or stipulation. Do not ask Elliston to interpret the contract legally.</w:t>
            </w:r>
          </w:p>
        </w:tc>
      </w:tr>
    </w:tbl>
    <w:p>
      <w:pPr>
        <w:spacing w:after="0"/>
      </w:pPr>
    </w:p>
    <w:p>
      <w:pPr>
        <w:spacing w:after="20"/>
        <w:ind w:left="432" w:hanging="432"/>
      </w:pPr>
      <w:r>
        <w:rPr>
          <w:b/>
        </w:rPr>
        <w:t>15.</w:t>
        <w:tab/>
        <w:t xml:space="preserve">Q: </w:t>
      </w:r>
      <w:r>
        <w:rPr>
          <w:b w:val="0"/>
          <w:i w:val="0"/>
        </w:rPr>
        <w:t>Who at Cascade was responsible for the Ridgeline relationship?</w:t>
      </w:r>
    </w:p>
    <w:p>
      <w:pPr>
        <w:spacing w:after="60"/>
        <w:ind w:left="792"/>
      </w:pPr>
      <w:r>
        <w:rPr>
          <w:i/>
          <w:sz w:val="20"/>
        </w:rPr>
        <w:t xml:space="preserve">Expected: </w:t>
      </w:r>
      <w:r>
        <w:rPr>
          <w:sz w:val="20"/>
        </w:rPr>
        <w:t>Voss, Trimble, General Counsel Nathan Greer, and Elliston.</w:t>
      </w:r>
      <w:r>
        <w:rPr>
          <w:color w:val="444488"/>
          <w:sz w:val="20"/>
        </w:rPr>
        <w:t xml:space="preserve">  [Dep. 19]</w:t>
      </w:r>
    </w:p>
    <w:p>
      <w:pPr>
        <w:spacing w:after="20"/>
        <w:ind w:left="432" w:hanging="432"/>
      </w:pPr>
      <w:r>
        <w:rPr>
          <w:b/>
        </w:rPr>
        <w:t>16.</w:t>
        <w:tab/>
        <w:t xml:space="preserve">Q: </w:t>
      </w:r>
      <w:r>
        <w:rPr>
          <w:b w:val="0"/>
          <w:i w:val="0"/>
        </w:rPr>
        <w:t>Who kept the list of Ridgeline-approved sub-distributors?</w:t>
      </w:r>
    </w:p>
    <w:p>
      <w:pPr>
        <w:spacing w:after="60"/>
        <w:ind w:left="792"/>
      </w:pPr>
      <w:r>
        <w:rPr>
          <w:i/>
          <w:sz w:val="20"/>
        </w:rPr>
        <w:t xml:space="preserve">Expected: </w:t>
      </w:r>
      <w:r>
        <w:rPr>
          <w:sz w:val="20"/>
        </w:rPr>
        <w:t>He did, as part of his EDA duties.</w:t>
      </w:r>
      <w:r>
        <w:rPr>
          <w:color w:val="444488"/>
          <w:sz w:val="20"/>
        </w:rPr>
        <w:t xml:space="preserve">  [Dep. 77, 130]</w:t>
      </w:r>
    </w:p>
    <w:p>
      <w:pPr>
        <w:spacing w:after="20"/>
        <w:ind w:left="432" w:hanging="432"/>
      </w:pPr>
      <w:r>
        <w:rPr>
          <w:b/>
        </w:rPr>
        <w:t>17.</w:t>
        <w:tab/>
        <w:t xml:space="preserve">Q: </w:t>
      </w:r>
      <w:r>
        <w:rPr>
          <w:b w:val="0"/>
          <w:i w:val="0"/>
        </w:rPr>
        <w:t>Under that arrangement, what had to happen before Cascade could sell to a sub-distributor not on the list?</w:t>
      </w:r>
    </w:p>
    <w:p>
      <w:pPr>
        <w:spacing w:after="60"/>
        <w:ind w:left="792"/>
      </w:pPr>
      <w:r>
        <w:rPr>
          <w:i/>
          <w:sz w:val="20"/>
        </w:rPr>
        <w:t xml:space="preserve">Expected: </w:t>
      </w:r>
      <w:r>
        <w:rPr>
          <w:sz w:val="20"/>
        </w:rPr>
        <w:t>Ridgeline’s prior written approval.</w:t>
      </w:r>
      <w:r>
        <w:rPr>
          <w:color w:val="444488"/>
          <w:sz w:val="20"/>
        </w:rPr>
        <w:t xml:space="preserve">  [Dep. 130; EDA §§ 7.2, 7.3]</w:t>
      </w:r>
    </w:p>
    <w:p>
      <w:pPr>
        <w:spacing w:after="20"/>
        <w:ind w:left="432" w:hanging="432"/>
      </w:pPr>
      <w:r>
        <w:rPr>
          <w:b/>
        </w:rPr>
        <w:t>18.</w:t>
        <w:tab/>
        <w:t xml:space="preserve">Q: </w:t>
      </w:r>
      <w:r>
        <w:rPr>
          <w:b w:val="0"/>
          <w:i w:val="0"/>
        </w:rPr>
        <w:t>What was your most recent performance review before you left Cascade, and what was the rating?</w:t>
      </w:r>
    </w:p>
    <w:p>
      <w:pPr>
        <w:spacing w:after="60"/>
        <w:ind w:left="792"/>
      </w:pPr>
      <w:r>
        <w:rPr>
          <w:i/>
          <w:sz w:val="20"/>
        </w:rPr>
        <w:t xml:space="preserve">Expected: </w:t>
      </w:r>
      <w:r>
        <w:rPr>
          <w:sz w:val="20"/>
        </w:rPr>
        <w:t>July 2023 — “exceeds expectations.”</w:t>
      </w:r>
      <w:r>
        <w:rPr>
          <w:color w:val="444488"/>
          <w:sz w:val="20"/>
        </w:rPr>
        <w:t xml:space="preserve">  [Dep. 99]</w:t>
      </w:r>
    </w:p>
    <w:p>
      <w:pPr>
        <w:pStyle w:val="Heading2"/>
      </w:pPr>
      <w:r>
        <w:t>Chapter 3 — Discovery of the Q3 2023 Unit Gap (≈10 min.)</w:t>
      </w:r>
    </w:p>
    <w:p>
      <w:pPr>
        <w:spacing w:after="80"/>
      </w:pPr>
      <w:r>
        <w:rPr>
          <w:b w:val="0"/>
          <w:i/>
        </w:rPr>
        <w:t>Goal: Tell the discovery story in his own words; anchor the three permitted numbers; neutralize the date “inconsistency” now.</w:t>
      </w:r>
    </w:p>
    <w:p>
      <w:pPr>
        <w:spacing w:after="20"/>
        <w:ind w:left="432" w:hanging="432"/>
      </w:pPr>
      <w:r>
        <w:rPr>
          <w:b/>
        </w:rPr>
        <w:t>19.</w:t>
        <w:tab/>
        <w:t xml:space="preserve">Q: </w:t>
      </w:r>
      <w:r>
        <w:rPr>
          <w:b w:val="0"/>
          <w:i w:val="0"/>
        </w:rPr>
        <w:t>Directing your attention to September 2023 — what were you working on?</w:t>
      </w:r>
    </w:p>
    <w:p>
      <w:pPr>
        <w:spacing w:after="60"/>
        <w:ind w:left="792"/>
      </w:pPr>
      <w:r>
        <w:rPr>
          <w:i/>
          <w:sz w:val="20"/>
        </w:rPr>
        <w:t xml:space="preserve">Expected: </w:t>
      </w:r>
      <w:r>
        <w:rPr>
          <w:sz w:val="20"/>
        </w:rPr>
        <w:t>Routine end-of-quarter Q3 2023 internal sales forecast and reconciliation of shipped vs. sold.</w:t>
      </w:r>
      <w:r>
        <w:rPr>
          <w:color w:val="444488"/>
          <w:sz w:val="20"/>
        </w:rPr>
        <w:t xml:space="preserve">  [Dep. 65]</w:t>
      </w:r>
    </w:p>
    <w:p>
      <w:pPr>
        <w:spacing w:after="20"/>
        <w:ind w:left="432" w:hanging="432"/>
      </w:pPr>
      <w:r>
        <w:rPr>
          <w:b/>
        </w:rPr>
        <w:t>20.</w:t>
        <w:tab/>
        <w:t xml:space="preserve">Q: </w:t>
      </w:r>
      <w:r>
        <w:rPr>
          <w:b w:val="0"/>
          <w:i w:val="0"/>
        </w:rPr>
        <w:t>What data did you pull, and from where?</w:t>
      </w:r>
    </w:p>
    <w:p>
      <w:pPr>
        <w:spacing w:after="60"/>
        <w:ind w:left="792"/>
      </w:pPr>
      <w:r>
        <w:rPr>
          <w:i/>
          <w:sz w:val="20"/>
        </w:rPr>
        <w:t xml:space="preserve">Expected: </w:t>
      </w:r>
      <w:r>
        <w:rPr>
          <w:sz w:val="20"/>
        </w:rPr>
        <w:t>Warehouse shipment logs for the Dublin, Ohio DC from SAP, compared against the SAP sales reporting module.</w:t>
      </w:r>
      <w:r>
        <w:rPr>
          <w:color w:val="444488"/>
          <w:sz w:val="20"/>
        </w:rPr>
        <w:t xml:space="preserve">  [Dep. 65–66]</w:t>
      </w:r>
    </w:p>
    <w:p>
      <w:pPr>
        <w:spacing w:after="20"/>
        <w:ind w:left="432" w:hanging="432"/>
      </w:pPr>
      <w:r>
        <w:rPr>
          <w:b/>
        </w:rPr>
        <w:t>21.</w:t>
        <w:tab/>
        <w:t xml:space="preserve">Q: </w:t>
      </w:r>
      <w:r>
        <w:rPr>
          <w:b w:val="0"/>
          <w:i w:val="0"/>
        </w:rPr>
        <w:t>What do the warehouse shipment logs record?</w:t>
      </w:r>
    </w:p>
    <w:p>
      <w:pPr>
        <w:spacing w:after="60"/>
        <w:ind w:left="792"/>
      </w:pPr>
      <w:r>
        <w:rPr>
          <w:i/>
          <w:sz w:val="20"/>
        </w:rPr>
        <w:t xml:space="preserve">Expected: </w:t>
      </w:r>
      <w:r>
        <w:rPr>
          <w:sz w:val="20"/>
        </w:rPr>
        <w:t>Every unit leaving the warehouse: product code, quantity, date, destination, and the associated PO number.</w:t>
      </w:r>
      <w:r>
        <w:rPr>
          <w:color w:val="444488"/>
          <w:sz w:val="20"/>
        </w:rPr>
        <w:t xml:space="preserve">  [Dep. 66]</w:t>
      </w:r>
    </w:p>
    <w:p>
      <w:pPr>
        <w:spacing w:after="20"/>
        <w:ind w:left="432" w:hanging="432"/>
      </w:pPr>
      <w:r>
        <w:rPr>
          <w:b/>
        </w:rPr>
        <w:t>22.</w:t>
        <w:tab/>
        <w:t xml:space="preserve">Q: </w:t>
      </w:r>
      <w:r>
        <w:rPr>
          <w:b w:val="0"/>
          <w:i w:val="0"/>
        </w:rPr>
        <w:t>What does the sales reporting module record?</w:t>
      </w:r>
    </w:p>
    <w:p>
      <w:pPr>
        <w:spacing w:after="60"/>
        <w:ind w:left="792"/>
      </w:pPr>
      <w:r>
        <w:rPr>
          <w:i/>
          <w:sz w:val="20"/>
        </w:rPr>
        <w:t xml:space="preserve">Expected: </w:t>
      </w:r>
      <w:r>
        <w:rPr>
          <w:sz w:val="20"/>
        </w:rPr>
        <w:t>Invoiced sales to authorized customers — customer, invoice number, quantity, date.</w:t>
      </w:r>
      <w:r>
        <w:rPr>
          <w:color w:val="444488"/>
          <w:sz w:val="20"/>
        </w:rPr>
        <w:t xml:space="preserve">  [Dep. 84]</w:t>
      </w:r>
    </w:p>
    <w:p>
      <w:pPr>
        <w:spacing w:after="20"/>
        <w:ind w:left="432" w:hanging="432"/>
      </w:pPr>
      <w:r>
        <w:rPr>
          <w:b/>
        </w:rPr>
        <w:t>23.</w:t>
        <w:tab/>
        <w:t xml:space="preserve">Q: </w:t>
      </w:r>
      <w:r>
        <w:rPr>
          <w:b w:val="0"/>
          <w:i w:val="0"/>
        </w:rPr>
        <w:t>What did you notice about Ridgeline Series 700 gate valves for Q3 2023?</w:t>
      </w:r>
    </w:p>
    <w:p>
      <w:pPr>
        <w:spacing w:after="60"/>
        <w:ind w:left="792"/>
      </w:pPr>
      <w:r>
        <w:rPr>
          <w:i/>
          <w:sz w:val="20"/>
        </w:rPr>
        <w:t xml:space="preserve">Expected: </w:t>
      </w:r>
      <w:r>
        <w:rPr>
          <w:sz w:val="20"/>
        </w:rPr>
        <w:t>Shipment logs: 4,217 units shipped. Sales reporting: 3,104 units sold to authorized customers.</w:t>
      </w:r>
      <w:r>
        <w:rPr>
          <w:color w:val="444488"/>
          <w:sz w:val="20"/>
        </w:rPr>
        <w:t xml:space="preserve">  [Dep. 66]</w:t>
      </w:r>
    </w:p>
    <w:p>
      <w:pPr>
        <w:spacing w:after="20"/>
        <w:ind w:left="432" w:hanging="432"/>
      </w:pPr>
      <w:r>
        <w:rPr>
          <w:b/>
        </w:rPr>
        <w:t>24.</w:t>
        <w:tab/>
        <w:t xml:space="preserve">Q: </w:t>
      </w:r>
      <w:r>
        <w:rPr>
          <w:b w:val="0"/>
          <w:i w:val="0"/>
        </w:rPr>
        <w:t>What is the difference between those two numbers?</w:t>
      </w:r>
    </w:p>
    <w:p>
      <w:pPr>
        <w:spacing w:after="60"/>
        <w:ind w:left="792"/>
      </w:pPr>
      <w:r>
        <w:rPr>
          <w:i/>
          <w:sz w:val="20"/>
        </w:rPr>
        <w:t xml:space="preserve">Expected: </w:t>
      </w:r>
      <w:r>
        <w:rPr>
          <w:sz w:val="20"/>
        </w:rPr>
        <w:t>1,113 units.</w:t>
      </w:r>
      <w:r>
        <w:rPr>
          <w:color w:val="444488"/>
          <w:sz w:val="20"/>
        </w:rPr>
        <w:t xml:space="preserve">  [Dep. 66, 218]</w:t>
      </w:r>
    </w:p>
    <w:p>
      <w:pPr>
        <w:spacing w:after="20"/>
        <w:ind w:left="432" w:hanging="432"/>
      </w:pPr>
      <w:r>
        <w:rPr>
          <w:b/>
        </w:rPr>
        <w:t>25.</w:t>
        <w:tab/>
        <w:t xml:space="preserve">Q: </w:t>
      </w:r>
      <w:r>
        <w:rPr>
          <w:b w:val="0"/>
          <w:i w:val="0"/>
        </w:rPr>
        <w:t>What did you do to find an ordinary explanation?</w:t>
      </w:r>
    </w:p>
    <w:p>
      <w:pPr>
        <w:spacing w:after="60"/>
        <w:ind w:left="792"/>
      </w:pPr>
      <w:r>
        <w:rPr>
          <w:i/>
          <w:sz w:val="20"/>
        </w:rPr>
        <w:t xml:space="preserve">Expected: </w:t>
      </w:r>
      <w:r>
        <w:rPr>
          <w:sz w:val="20"/>
        </w:rPr>
        <w:t>Checked returns, warranty replacements, damaged goods, inventory adjustments. None accounted for it.</w:t>
      </w:r>
      <w:r>
        <w:rPr>
          <w:color w:val="444488"/>
          <w:sz w:val="20"/>
        </w:rPr>
        <w:t xml:space="preserve">  [Dep. 66; Sept. 28 email]</w:t>
      </w:r>
    </w:p>
    <w:p>
      <w:pPr>
        <w:spacing w:after="20"/>
        <w:ind w:left="432" w:hanging="432"/>
      </w:pPr>
      <w:r>
        <w:rPr>
          <w:b/>
        </w:rPr>
        <w:t>26.</w:t>
        <w:tab/>
        <w:t xml:space="preserve">Q: </w:t>
      </w:r>
      <w:r>
        <w:rPr>
          <w:b w:val="0"/>
          <w:i w:val="0"/>
        </w:rPr>
        <w:t>Did Cascade ship Series 700 valves from any facility other than Dublin during Q3?</w:t>
      </w:r>
    </w:p>
    <w:p>
      <w:pPr>
        <w:spacing w:after="60"/>
        <w:ind w:left="792"/>
      </w:pPr>
      <w:r>
        <w:rPr>
          <w:i/>
          <w:sz w:val="20"/>
        </w:rPr>
        <w:t xml:space="preserve">Expected: </w:t>
      </w:r>
      <w:r>
        <w:rPr>
          <w:sz w:val="20"/>
        </w:rPr>
        <w:t>(Confirm in prep.) Dublin was the sole DC; no inter-facility transfers.</w:t>
      </w:r>
      <w:r>
        <w:rPr>
          <w:color w:val="444488"/>
          <w:sz w:val="20"/>
        </w:rPr>
        <w:t xml:space="preserve">  [Spreadsheet Summary tab; prep]</w:t>
      </w:r>
    </w:p>
    <w:p>
      <w:pPr>
        <w:spacing w:after="20"/>
        <w:ind w:left="432" w:hanging="432"/>
      </w:pPr>
      <w:r>
        <w:rPr>
          <w:b/>
        </w:rPr>
        <w:t>27.</w:t>
        <w:tab/>
        <w:t xml:space="preserve">Q: </w:t>
      </w:r>
      <w:r>
        <w:rPr>
          <w:b w:val="0"/>
          <w:i w:val="0"/>
        </w:rPr>
        <w:t>Based on your years of work on Ridgeline pricing, what was the average resale price per Series 700 unit at that time?</w:t>
      </w:r>
    </w:p>
    <w:p>
      <w:pPr>
        <w:spacing w:after="60"/>
        <w:ind w:left="792"/>
      </w:pPr>
      <w:r>
        <w:rPr>
          <w:i/>
          <w:sz w:val="20"/>
        </w:rPr>
        <w:t xml:space="preserve">Expected: </w:t>
      </w:r>
      <w:r>
        <w:rPr>
          <w:sz w:val="20"/>
        </w:rPr>
        <w:t>$1,271.34 — known from regular pricing work.</w:t>
      </w:r>
      <w:r>
        <w:rPr>
          <w:color w:val="444488"/>
          <w:sz w:val="20"/>
        </w:rPr>
        <w:t xml:space="preserve">  [Dep. 67; Order § VII(6)]</w:t>
      </w:r>
    </w:p>
    <w:tbl>
      <w:tblPr>
        <w:tblStyle w:val="TableGrid"/>
        <w:tblW w:type="auto" w:w="0"/>
        <w:tblLook w:firstColumn="1" w:firstRow="1" w:lastColumn="0" w:lastRow="0" w:noHBand="0" w:noVBand="1" w:val="04A0"/>
      </w:tblPr>
      <w:tblGrid>
        <w:gridCol w:w="9360"/>
      </w:tblGrid>
      <w:tr>
        <w:tc>
          <w:tcPr>
            <w:tcW w:type="dxa" w:w="9360"/>
            <w:shd w:val="clear" w:color="auto" w:fill="F8D7DA"/>
          </w:tcPr>
          <w:p>
            <w:r>
              <w:rPr>
                <w:b/>
                <w:sz w:val="20"/>
              </w:rPr>
              <w:t xml:space="preserve">CAUTION: </w:t>
            </w:r>
            <w:r>
              <w:rPr>
                <w:b w:val="0"/>
                <w:i w:val="0"/>
                <w:sz w:val="20"/>
              </w:rPr>
              <w:t>STOP at the per-unit price. Do not ask him to multiply, and do not ask about the “value of the gap,” royalties owed, or other quarters. Kowalski will present 1,113 × $1,271.34 and all aggregates. If the jury needs the arithmetic, save it for Kowalski or closing.</w:t>
            </w:r>
          </w:p>
        </w:tc>
      </w:tr>
    </w:tbl>
    <w:p>
      <w:pPr>
        <w:spacing w:after="0"/>
      </w:pPr>
    </w:p>
    <w:p>
      <w:pPr>
        <w:spacing w:after="20"/>
        <w:ind w:left="432" w:hanging="432"/>
      </w:pPr>
      <w:r>
        <w:rPr>
          <w:b/>
        </w:rPr>
        <w:t>28.</w:t>
        <w:tab/>
        <w:t xml:space="preserve">Q: </w:t>
      </w:r>
      <w:r>
        <w:rPr>
          <w:b w:val="0"/>
          <w:i w:val="0"/>
        </w:rPr>
        <w:t>When did you first notice that the numbers did not add up?</w:t>
      </w:r>
    </w:p>
    <w:p>
      <w:pPr>
        <w:spacing w:after="60"/>
        <w:ind w:left="792"/>
      </w:pPr>
      <w:r>
        <w:rPr>
          <w:i/>
          <w:sz w:val="20"/>
        </w:rPr>
        <w:t xml:space="preserve">Expected: </w:t>
      </w:r>
      <w:r>
        <w:rPr>
          <w:sz w:val="20"/>
        </w:rPr>
        <w:t>Truthful recollection: the last full week of September. He first noticed it late in the week of Sept. 18–22, began the spreadsheet on or about Sept. 22, confirmed it and mentioned it to Voss on Monday, Sept. 25, finished around Sept. 27, and emailed Sept. 28. He did not log the exact date.</w:t>
      </w:r>
      <w:r>
        <w:rPr>
          <w:color w:val="444488"/>
          <w:sz w:val="20"/>
        </w:rPr>
        <w:t xml:space="preserve">  [Dep. 72–74, 83; Sept. 28 email (“identified last week”; “spoke on Monday”)]</w:t>
      </w:r>
    </w:p>
    <w:p>
      <w:pPr>
        <w:spacing w:after="20"/>
        <w:ind w:left="432" w:hanging="432"/>
      </w:pPr>
      <w:r>
        <w:rPr>
          <w:b/>
        </w:rPr>
        <w:t>29.</w:t>
        <w:tab/>
        <w:t xml:space="preserve">Q: </w:t>
      </w:r>
      <w:r>
        <w:rPr>
          <w:b w:val="0"/>
          <w:i w:val="0"/>
        </w:rPr>
        <w:t>Did you speak with Mr. Voss about it before you sent any email?</w:t>
      </w:r>
    </w:p>
    <w:p>
      <w:pPr>
        <w:spacing w:after="60"/>
        <w:ind w:left="792"/>
      </w:pPr>
      <w:r>
        <w:rPr>
          <w:i/>
          <w:sz w:val="20"/>
        </w:rPr>
        <w:t xml:space="preserve">Expected: </w:t>
      </w:r>
      <w:r>
        <w:rPr>
          <w:sz w:val="20"/>
        </w:rPr>
        <w:t>(Confirm in prep.) Briefly, on Monday, Sept. 25 — as the Sept. 28 email reflects.</w:t>
      </w:r>
      <w:r>
        <w:rPr>
          <w:color w:val="444488"/>
          <w:sz w:val="20"/>
        </w:rPr>
        <w:t xml:space="preserve">  [Sept. 28 email]</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sz w:val="20"/>
              </w:rPr>
              <w:t xml:space="preserve">NOTE: </w:t>
            </w:r>
            <w:r>
              <w:rPr>
                <w:b w:val="0"/>
                <w:i w:val="0"/>
                <w:sz w:val="20"/>
              </w:rPr>
              <w:t>This sequence defuses the “three different dates” attack (Cascade Br. § IV.D) before cross. Make sure the witness’s actual memory supports it; do not suggest dates to him.</w:t>
            </w:r>
          </w:p>
        </w:tc>
      </w:tr>
    </w:tbl>
    <w:p>
      <w:pPr>
        <w:spacing w:after="0"/>
      </w:pPr>
    </w:p>
    <w:p>
      <w:pPr>
        <w:pStyle w:val="Heading2"/>
      </w:pPr>
      <w:r>
        <w:t>Chapter 4 — The MidAmerican Purchase Orders and the Ship-To Addresses (≈10 min.)</w:t>
      </w:r>
    </w:p>
    <w:p>
      <w:pPr>
        <w:spacing w:after="20"/>
        <w:ind w:left="432" w:hanging="432"/>
      </w:pPr>
      <w:r>
        <w:rPr>
          <w:b/>
        </w:rPr>
        <w:t>30.</w:t>
        <w:tab/>
        <w:t xml:space="preserve">Q: </w:t>
      </w:r>
      <w:r>
        <w:rPr>
          <w:b w:val="0"/>
          <w:i w:val="0"/>
        </w:rPr>
        <w:t>After you confirmed the gap, what did you do next?</w:t>
      </w:r>
    </w:p>
    <w:p>
      <w:pPr>
        <w:spacing w:after="60"/>
        <w:ind w:left="792"/>
      </w:pPr>
      <w:r>
        <w:rPr>
          <w:i/>
          <w:sz w:val="20"/>
        </w:rPr>
        <w:t xml:space="preserve">Expected: </w:t>
      </w:r>
      <w:r>
        <w:rPr>
          <w:sz w:val="20"/>
        </w:rPr>
        <w:t>Searched SAP for the POs attached to the unmatched shipments — each shipment record carries a PO number.</w:t>
      </w:r>
      <w:r>
        <w:rPr>
          <w:color w:val="444488"/>
          <w:sz w:val="20"/>
        </w:rPr>
        <w:t xml:space="preserve">  [Dep. 75]</w:t>
      </w:r>
    </w:p>
    <w:p>
      <w:pPr>
        <w:spacing w:after="20"/>
        <w:ind w:left="432" w:hanging="432"/>
      </w:pPr>
      <w:r>
        <w:rPr>
          <w:b/>
        </w:rPr>
        <w:t>31.</w:t>
        <w:tab/>
        <w:t xml:space="preserve">Q: </w:t>
      </w:r>
      <w:r>
        <w:rPr>
          <w:b w:val="0"/>
          <w:i w:val="0"/>
        </w:rPr>
        <w:t>What did you find?</w:t>
      </w:r>
    </w:p>
    <w:p>
      <w:pPr>
        <w:spacing w:after="60"/>
        <w:ind w:left="792"/>
      </w:pPr>
      <w:r>
        <w:rPr>
          <w:i/>
          <w:sz w:val="20"/>
        </w:rPr>
        <w:t xml:space="preserve">Expected: </w:t>
      </w:r>
      <w:r>
        <w:rPr>
          <w:sz w:val="20"/>
        </w:rPr>
        <w:t>POs for an entity called MidAmerican Distribution Services, LLC.</w:t>
      </w:r>
      <w:r>
        <w:rPr>
          <w:color w:val="444488"/>
          <w:sz w:val="20"/>
        </w:rPr>
        <w:t xml:space="preserve">  [Dep. 76]</w:t>
      </w:r>
    </w:p>
    <w:p>
      <w:pPr>
        <w:spacing w:after="20"/>
        <w:ind w:left="432" w:hanging="432"/>
      </w:pPr>
      <w:r>
        <w:rPr>
          <w:b/>
        </w:rPr>
        <w:t>32.</w:t>
        <w:tab/>
        <w:t xml:space="preserve">Q: </w:t>
      </w:r>
      <w:r>
        <w:rPr>
          <w:b w:val="0"/>
          <w:i w:val="0"/>
        </w:rPr>
        <w:t>In more than five years managing sales operations, had you ever seen that name before?</w:t>
      </w:r>
    </w:p>
    <w:p>
      <w:pPr>
        <w:spacing w:after="60"/>
        <w:ind w:left="792"/>
      </w:pPr>
      <w:r>
        <w:rPr>
          <w:i/>
          <w:sz w:val="20"/>
        </w:rPr>
        <w:t xml:space="preserve">Expected: </w:t>
      </w:r>
      <w:r>
        <w:rPr>
          <w:sz w:val="20"/>
        </w:rPr>
        <w:t>Never; not on any customer list he had seen or managed.</w:t>
      </w:r>
      <w:r>
        <w:rPr>
          <w:color w:val="444488"/>
          <w:sz w:val="20"/>
        </w:rPr>
        <w:t xml:space="preserve">  [Dep. 76; Oct. 5 email]</w:t>
      </w:r>
    </w:p>
    <w:p>
      <w:pPr>
        <w:spacing w:after="20"/>
        <w:ind w:left="432" w:hanging="432"/>
      </w:pPr>
      <w:r>
        <w:rPr>
          <w:b/>
        </w:rPr>
        <w:t>33.</w:t>
        <w:tab/>
        <w:t xml:space="preserve">Q: </w:t>
      </w:r>
      <w:r>
        <w:rPr>
          <w:b w:val="0"/>
          <w:i w:val="0"/>
        </w:rPr>
        <w:t>What do the “bill to” and “ship to” fields on a Cascade PO show?</w:t>
      </w:r>
    </w:p>
    <w:p>
      <w:pPr>
        <w:spacing w:after="60"/>
        <w:ind w:left="792"/>
      </w:pPr>
      <w:r>
        <w:rPr>
          <w:i/>
          <w:sz w:val="20"/>
        </w:rPr>
        <w:t xml:space="preserve">Expected: </w:t>
      </w:r>
      <w:r>
        <w:rPr>
          <w:sz w:val="20"/>
        </w:rPr>
        <w:t>Who is invoiced vs. where product physically goes.</w:t>
      </w:r>
      <w:r>
        <w:rPr>
          <w:color w:val="444488"/>
          <w:sz w:val="20"/>
        </w:rPr>
        <w:t xml:space="preserve">  [Dep. 76]</w:t>
      </w:r>
    </w:p>
    <w:p>
      <w:pPr>
        <w:spacing w:after="20"/>
        <w:ind w:left="432" w:hanging="432"/>
      </w:pPr>
      <w:r>
        <w:rPr>
          <w:b/>
        </w:rPr>
        <w:t>34.</w:t>
        <w:tab/>
        <w:t xml:space="preserve">Q: </w:t>
      </w:r>
      <w:r>
        <w:rPr>
          <w:b w:val="0"/>
          <w:i w:val="0"/>
        </w:rPr>
        <w:t>What did the MidAmerican POs show in each field?</w:t>
      </w:r>
    </w:p>
    <w:p>
      <w:pPr>
        <w:spacing w:after="60"/>
        <w:ind w:left="792"/>
      </w:pPr>
      <w:r>
        <w:rPr>
          <w:i/>
          <w:sz w:val="20"/>
        </w:rPr>
        <w:t xml:space="preserve">Expected: </w:t>
      </w:r>
      <w:r>
        <w:rPr>
          <w:sz w:val="20"/>
        </w:rPr>
        <w:t>Bill to: MidAmerican. Ship to: Great Lakes Pipe &amp; Valve Co., Detroit, and Summit Industrial Supply, Inc., Milwaukee.</w:t>
      </w:r>
      <w:r>
        <w:rPr>
          <w:color w:val="444488"/>
          <w:sz w:val="20"/>
        </w:rPr>
        <w:t xml:space="preserve">  [Dep. 76–77, 128]</w:t>
      </w:r>
    </w:p>
    <w:p>
      <w:pPr>
        <w:spacing w:after="20"/>
        <w:ind w:left="432" w:hanging="432"/>
      </w:pPr>
      <w:r>
        <w:rPr>
          <w:b/>
        </w:rPr>
        <w:t>35.</w:t>
        <w:tab/>
        <w:t xml:space="preserve">Q: </w:t>
      </w:r>
      <w:r>
        <w:rPr>
          <w:b w:val="0"/>
          <w:i w:val="0"/>
        </w:rPr>
        <w:t>Had you ever heard of Great Lakes or Summit?</w:t>
      </w:r>
    </w:p>
    <w:p>
      <w:pPr>
        <w:spacing w:after="60"/>
        <w:ind w:left="792"/>
      </w:pPr>
      <w:r>
        <w:rPr>
          <w:i/>
          <w:sz w:val="20"/>
        </w:rPr>
        <w:t xml:space="preserve">Expected: </w:t>
      </w:r>
      <w:r>
        <w:rPr>
          <w:sz w:val="20"/>
        </w:rPr>
        <w:t>No.</w:t>
      </w:r>
      <w:r>
        <w:rPr>
          <w:color w:val="444488"/>
          <w:sz w:val="20"/>
        </w:rPr>
        <w:t xml:space="preserve">  [Dep. 77]</w:t>
      </w:r>
    </w:p>
    <w:p>
      <w:pPr>
        <w:spacing w:after="20"/>
        <w:ind w:left="432" w:hanging="432"/>
      </w:pPr>
      <w:r>
        <w:rPr>
          <w:b/>
        </w:rPr>
        <w:t>36.</w:t>
        <w:tab/>
        <w:t xml:space="preserve">Q: </w:t>
      </w:r>
      <w:r>
        <w:rPr>
          <w:b w:val="0"/>
          <w:i w:val="0"/>
        </w:rPr>
        <w:t>Were either of them on the authorized sub-distributor list you maintained?</w:t>
      </w:r>
    </w:p>
    <w:p>
      <w:pPr>
        <w:spacing w:after="60"/>
        <w:ind w:left="792"/>
      </w:pPr>
      <w:r>
        <w:rPr>
          <w:i/>
          <w:sz w:val="20"/>
        </w:rPr>
        <w:t xml:space="preserve">Expected: </w:t>
      </w:r>
      <w:r>
        <w:rPr>
          <w:sz w:val="20"/>
        </w:rPr>
        <w:t>No.</w:t>
      </w:r>
      <w:r>
        <w:rPr>
          <w:color w:val="444488"/>
          <w:sz w:val="20"/>
        </w:rPr>
        <w:t xml:space="preserve">  [Dep. 77, 130]</w:t>
      </w:r>
    </w:p>
    <w:p>
      <w:pPr>
        <w:spacing w:after="20"/>
        <w:ind w:left="432" w:hanging="432"/>
      </w:pPr>
      <w:r>
        <w:rPr>
          <w:b/>
        </w:rPr>
        <w:t>37.</w:t>
        <w:tab/>
        <w:t xml:space="preserve">Q: </w:t>
      </w:r>
      <w:r>
        <w:rPr>
          <w:b w:val="0"/>
          <w:i w:val="0"/>
        </w:rPr>
        <w:t>Did you look for any written consent from Ridgeline for sales to Great Lakes, Summit, or MidAmerican?</w:t>
      </w:r>
    </w:p>
    <w:p>
      <w:pPr>
        <w:spacing w:after="60"/>
        <w:ind w:left="792"/>
      </w:pPr>
      <w:r>
        <w:rPr>
          <w:i/>
          <w:sz w:val="20"/>
        </w:rPr>
        <w:t xml:space="preserve">Expected: </w:t>
      </w:r>
      <w:r>
        <w:rPr>
          <w:sz w:val="20"/>
        </w:rPr>
        <w:t>Yes; reviewed the list and all EDA amendments on file; found none.</w:t>
      </w:r>
      <w:r>
        <w:rPr>
          <w:color w:val="444488"/>
          <w:sz w:val="20"/>
        </w:rPr>
        <w:t xml:space="preserve">  [Dep. 77, 130; Oct. 5 email]</w:t>
      </w:r>
    </w:p>
    <w:p>
      <w:pPr>
        <w:spacing w:after="20"/>
        <w:ind w:left="432" w:hanging="432"/>
      </w:pPr>
      <w:r>
        <w:rPr>
          <w:b/>
        </w:rPr>
        <w:t>38.</w:t>
        <w:tab/>
        <w:t xml:space="preserve">Q: </w:t>
      </w:r>
      <w:r>
        <w:rPr>
          <w:b w:val="0"/>
          <w:i w:val="0"/>
        </w:rPr>
        <w:t>How did you react to what you found?</w:t>
      </w:r>
    </w:p>
    <w:p>
      <w:pPr>
        <w:spacing w:after="60"/>
        <w:ind w:left="792"/>
      </w:pPr>
      <w:r>
        <w:rPr>
          <w:i/>
          <w:sz w:val="20"/>
        </w:rPr>
        <w:t xml:space="preserve">Expected: </w:t>
      </w:r>
      <w:r>
        <w:rPr>
          <w:sz w:val="20"/>
        </w:rPr>
        <w:t>Alarmed — significant volume going to entities he had never authorized or been told about; someone had set up the transactions without involving his team.</w:t>
      </w:r>
      <w:r>
        <w:rPr>
          <w:color w:val="444488"/>
          <w:sz w:val="20"/>
        </w:rPr>
        <w:t xml:space="preserve">  [Dep. 78]</w:t>
      </w:r>
    </w:p>
    <w:tbl>
      <w:tblPr>
        <w:tblStyle w:val="TableGrid"/>
        <w:tblW w:type="auto" w:w="0"/>
        <w:tblLook w:firstColumn="1" w:firstRow="1" w:lastColumn="0" w:lastRow="0" w:noHBand="0" w:noVBand="1" w:val="04A0"/>
      </w:tblPr>
      <w:tblGrid>
        <w:gridCol w:w="9360"/>
      </w:tblGrid>
      <w:tr>
        <w:tc>
          <w:tcPr>
            <w:tcW w:type="dxa" w:w="9360"/>
            <w:shd w:val="clear" w:color="auto" w:fill="F8D7DA"/>
          </w:tcPr>
          <w:p>
            <w:r>
              <w:rPr>
                <w:b/>
                <w:sz w:val="20"/>
              </w:rPr>
              <w:t xml:space="preserve">CAUTION: </w:t>
            </w:r>
            <w:r>
              <w:rPr>
                <w:b w:val="0"/>
                <w:i w:val="0"/>
                <w:sz w:val="20"/>
              </w:rPr>
              <w:t>Timing inconsistency: Dep. 78 has him identifying the MidAmerican POs before the Sept. 28 email, but that email says he did “not have an explanation for where these units went,” and the Oct. 5 email says “I have now identified the source.” Before trial, get his honest account (e.g., he had seen MidAmerican lines by Sept. 28 but had not traced the account, its creator, or the ship-to pattern until the following week). Do not ask the jury-facing question “before Sept. 28?” unless the answer is clean. If there is a difference, bring it out on direct in his own words.</w:t>
            </w:r>
          </w:p>
        </w:tc>
      </w:tr>
    </w:tbl>
    <w:p>
      <w:pPr>
        <w:spacing w:after="0"/>
      </w:pPr>
    </w:p>
    <w:p>
      <w:pPr>
        <w:pStyle w:val="Heading2"/>
      </w:pPr>
      <w:r>
        <w:t>Chapter 5 — The SAP Customer Master Record and DVOSS01 (≈10 min.)</w:t>
      </w:r>
    </w:p>
    <w:p>
      <w:pPr>
        <w:spacing w:after="80"/>
      </w:pPr>
      <w:r>
        <w:rPr>
          <w:b w:val="0"/>
          <w:i/>
        </w:rPr>
        <w:t>Goal: Lay the Order § VII(3)–(4) foundation: personal knowledge of user-ID assignment, then what the record showed. Present the facts plainly; do not overclaim.</w:t>
      </w:r>
    </w:p>
    <w:p>
      <w:pPr>
        <w:spacing w:after="20"/>
        <w:ind w:left="432" w:hanging="432"/>
      </w:pPr>
      <w:r>
        <w:rPr>
          <w:b/>
        </w:rPr>
        <w:t>39.</w:t>
        <w:tab/>
        <w:t xml:space="preserve">Q: </w:t>
      </w:r>
      <w:r>
        <w:rPr>
          <w:b w:val="0"/>
          <w:i w:val="0"/>
        </w:rPr>
        <w:t>How did SAP identify who performed an action?</w:t>
      </w:r>
    </w:p>
    <w:p>
      <w:pPr>
        <w:spacing w:after="60"/>
        <w:ind w:left="792"/>
      </w:pPr>
      <w:r>
        <w:rPr>
          <w:i/>
          <w:sz w:val="20"/>
        </w:rPr>
        <w:t xml:space="preserve">Expected: </w:t>
      </w:r>
      <w:r>
        <w:rPr>
          <w:sz w:val="20"/>
        </w:rPr>
        <w:t>Each employee had a unique user ID assigned by IT — first initial + last name + two-digit number; non-transferable; personal password.</w:t>
      </w:r>
      <w:r>
        <w:rPr>
          <w:color w:val="444488"/>
          <w:sz w:val="20"/>
        </w:rPr>
        <w:t xml:space="preserve">  [Dep. 121]</w:t>
      </w:r>
    </w:p>
    <w:p>
      <w:pPr>
        <w:spacing w:after="20"/>
        <w:ind w:left="432" w:hanging="432"/>
      </w:pPr>
      <w:r>
        <w:rPr>
          <w:b/>
        </w:rPr>
        <w:t>40.</w:t>
        <w:tab/>
        <w:t xml:space="preserve">Q: </w:t>
      </w:r>
      <w:r>
        <w:rPr>
          <w:b w:val="0"/>
          <w:i w:val="0"/>
        </w:rPr>
        <w:t>What was your own user ID?</w:t>
      </w:r>
    </w:p>
    <w:p>
      <w:pPr>
        <w:spacing w:after="60"/>
        <w:ind w:left="792"/>
      </w:pPr>
      <w:r>
        <w:rPr>
          <w:i/>
          <w:sz w:val="20"/>
        </w:rPr>
        <w:t xml:space="preserve">Expected: </w:t>
      </w:r>
      <w:r>
        <w:rPr>
          <w:sz w:val="20"/>
        </w:rPr>
        <w:t>MELLISTON01.</w:t>
      </w:r>
      <w:r>
        <w:rPr>
          <w:color w:val="444488"/>
          <w:sz w:val="20"/>
        </w:rPr>
        <w:t xml:space="preserve">  [Dep. 121]</w:t>
      </w:r>
    </w:p>
    <w:p>
      <w:pPr>
        <w:spacing w:after="20"/>
        <w:ind w:left="432" w:hanging="432"/>
      </w:pPr>
      <w:r>
        <w:rPr>
          <w:b/>
        </w:rPr>
        <w:t>41.</w:t>
        <w:tab/>
        <w:t xml:space="preserve">Q: </w:t>
      </w:r>
      <w:r>
        <w:rPr>
          <w:b w:val="0"/>
          <w:i w:val="0"/>
        </w:rPr>
        <w:t>Did company policy permit employees to share user IDs?</w:t>
      </w:r>
    </w:p>
    <w:p>
      <w:pPr>
        <w:spacing w:after="60"/>
        <w:ind w:left="792"/>
      </w:pPr>
      <w:r>
        <w:rPr>
          <w:i/>
          <w:sz w:val="20"/>
        </w:rPr>
        <w:t xml:space="preserve">Expected: </w:t>
      </w:r>
      <w:r>
        <w:rPr>
          <w:sz w:val="20"/>
        </w:rPr>
        <w:t>No — each person had to log in with their own credentials.</w:t>
      </w:r>
      <w:r>
        <w:rPr>
          <w:color w:val="444488"/>
          <w:sz w:val="20"/>
        </w:rPr>
        <w:t xml:space="preserve">  [Dep. 121]</w:t>
      </w:r>
    </w:p>
    <w:p>
      <w:pPr>
        <w:spacing w:after="20"/>
        <w:ind w:left="432" w:hanging="432"/>
      </w:pPr>
      <w:r>
        <w:rPr>
          <w:b/>
        </w:rPr>
        <w:t>42.</w:t>
        <w:tab/>
        <w:t xml:space="preserve">Q: </w:t>
      </w:r>
      <w:r>
        <w:rPr>
          <w:b w:val="0"/>
          <w:i w:val="0"/>
        </w:rPr>
        <w:t>Did SAP record which user ID created or changed records?</w:t>
      </w:r>
    </w:p>
    <w:p>
      <w:pPr>
        <w:spacing w:after="60"/>
        <w:ind w:left="792"/>
      </w:pPr>
      <w:r>
        <w:rPr>
          <w:i/>
          <w:sz w:val="20"/>
        </w:rPr>
        <w:t xml:space="preserve">Expected: </w:t>
      </w:r>
      <w:r>
        <w:rPr>
          <w:sz w:val="20"/>
        </w:rPr>
        <w:t>Yes — creation of customer/vendor accounts, PO entry and approval, master-data changes.</w:t>
      </w:r>
      <w:r>
        <w:rPr>
          <w:color w:val="444488"/>
          <w:sz w:val="20"/>
        </w:rPr>
        <w:t xml:space="preserve">  [Dep. 122]</w:t>
      </w:r>
    </w:p>
    <w:p>
      <w:pPr>
        <w:spacing w:after="20"/>
        <w:ind w:left="432" w:hanging="432"/>
      </w:pPr>
      <w:r>
        <w:rPr>
          <w:b/>
        </w:rPr>
        <w:t>43.</w:t>
        <w:tab/>
        <w:t xml:space="preserve">Q: </w:t>
      </w:r>
      <w:r>
        <w:rPr>
          <w:b w:val="0"/>
          <w:i w:val="0"/>
        </w:rPr>
        <w:t>Did you know Derek Voss’s user ID? How?</w:t>
      </w:r>
    </w:p>
    <w:p>
      <w:pPr>
        <w:spacing w:after="60"/>
        <w:ind w:left="792"/>
      </w:pPr>
      <w:r>
        <w:rPr>
          <w:i/>
          <w:sz w:val="20"/>
        </w:rPr>
        <w:t xml:space="preserve">Expected: </w:t>
      </w:r>
      <w:r>
        <w:rPr>
          <w:sz w:val="20"/>
        </w:rPr>
        <w:t>DVOSS01 — seen on PO approvals, customer records he created, and other system documents in the normal course; common knowledge.</w:t>
      </w:r>
      <w:r>
        <w:rPr>
          <w:color w:val="444488"/>
          <w:sz w:val="20"/>
        </w:rPr>
        <w:t xml:space="preserve">  [Dep. 122–123]</w:t>
      </w:r>
    </w:p>
    <w:p>
      <w:pPr>
        <w:spacing w:after="20"/>
        <w:ind w:left="432" w:hanging="432"/>
      </w:pPr>
      <w:r>
        <w:rPr>
          <w:b/>
        </w:rPr>
        <w:t>44.</w:t>
        <w:tab/>
        <w:t xml:space="preserve">Q: </w:t>
      </w:r>
      <w:r>
        <w:rPr>
          <w:b w:val="0"/>
          <w:i w:val="0"/>
        </w:rPr>
        <w:t>Did you ever see anyone other than Mr. Voss use DVOSS01?</w:t>
      </w:r>
    </w:p>
    <w:p>
      <w:pPr>
        <w:spacing w:after="60"/>
        <w:ind w:left="792"/>
      </w:pPr>
      <w:r>
        <w:rPr>
          <w:i/>
          <w:sz w:val="20"/>
        </w:rPr>
        <w:t xml:space="preserve">Expected: </w:t>
      </w:r>
      <w:r>
        <w:rPr>
          <w:sz w:val="20"/>
        </w:rPr>
        <w:t>No.</w:t>
      </w:r>
      <w:r>
        <w:rPr>
          <w:color w:val="444488"/>
          <w:sz w:val="20"/>
        </w:rPr>
        <w:t xml:space="preserve">  [Dep. 123]</w:t>
      </w:r>
    </w:p>
    <w:p>
      <w:pPr>
        <w:spacing w:after="20"/>
        <w:ind w:left="432" w:hanging="432"/>
      </w:pPr>
      <w:r>
        <w:rPr>
          <w:b/>
        </w:rPr>
        <w:t>45.</w:t>
        <w:tab/>
        <w:t xml:space="preserve">Q: </w:t>
      </w:r>
      <w:r>
        <w:rPr>
          <w:b w:val="0"/>
          <w:i w:val="0"/>
        </w:rPr>
        <w:t>Where in SAP did you look to learn about the MidAmerican account?</w:t>
      </w:r>
    </w:p>
    <w:p>
      <w:pPr>
        <w:spacing w:after="60"/>
        <w:ind w:left="792"/>
      </w:pPr>
      <w:r>
        <w:rPr>
          <w:i/>
          <w:sz w:val="20"/>
        </w:rPr>
        <w:t xml:space="preserve">Expected: </w:t>
      </w:r>
      <w:r>
        <w:rPr>
          <w:sz w:val="20"/>
        </w:rPr>
        <w:t>Customer master data module — name, address, contacts, credit terms, who created the account and when.</w:t>
      </w:r>
      <w:r>
        <w:rPr>
          <w:color w:val="444488"/>
          <w:sz w:val="20"/>
        </w:rPr>
        <w:t xml:space="preserve">  [Dep. 125]</w:t>
      </w:r>
    </w:p>
    <w:p>
      <w:pPr>
        <w:spacing w:after="20"/>
        <w:ind w:left="432" w:hanging="432"/>
      </w:pPr>
      <w:r>
        <w:rPr>
          <w:b/>
        </w:rPr>
        <w:t>46.</w:t>
        <w:tab/>
        <w:t xml:space="preserve">Q: </w:t>
      </w:r>
      <w:r>
        <w:rPr>
          <w:b w:val="0"/>
          <w:i w:val="0"/>
        </w:rPr>
        <w:t>When was the MidAmerican account created?</w:t>
      </w:r>
    </w:p>
    <w:p>
      <w:pPr>
        <w:spacing w:after="60"/>
        <w:ind w:left="792"/>
      </w:pPr>
      <w:r>
        <w:rPr>
          <w:i/>
          <w:sz w:val="20"/>
        </w:rPr>
        <w:t xml:space="preserve">Expected: </w:t>
      </w:r>
      <w:r>
        <w:rPr>
          <w:sz w:val="20"/>
        </w:rPr>
        <w:t>April 18, 2022.</w:t>
      </w:r>
      <w:r>
        <w:rPr>
          <w:color w:val="444488"/>
          <w:sz w:val="20"/>
        </w:rPr>
        <w:t xml:space="preserve">  [Dep. 125]</w:t>
      </w:r>
    </w:p>
    <w:p>
      <w:pPr>
        <w:spacing w:after="20"/>
        <w:ind w:left="432" w:hanging="432"/>
      </w:pPr>
      <w:r>
        <w:rPr>
          <w:b/>
        </w:rPr>
        <w:t>47.</w:t>
        <w:tab/>
        <w:t xml:space="preserve">Q: </w:t>
      </w:r>
      <w:r>
        <w:rPr>
          <w:b w:val="0"/>
          <w:i w:val="0"/>
        </w:rPr>
        <w:t>What did the “created by” field show?</w:t>
      </w:r>
    </w:p>
    <w:p>
      <w:pPr>
        <w:spacing w:after="60"/>
        <w:ind w:left="792"/>
      </w:pPr>
      <w:r>
        <w:rPr>
          <w:i/>
          <w:sz w:val="20"/>
        </w:rPr>
        <w:t xml:space="preserve">Expected: </w:t>
      </w:r>
      <w:r>
        <w:rPr>
          <w:sz w:val="20"/>
        </w:rPr>
        <w:t>DVOSS01.</w:t>
      </w:r>
      <w:r>
        <w:rPr>
          <w:color w:val="444488"/>
          <w:sz w:val="20"/>
        </w:rPr>
        <w:t xml:space="preserve">  [Dep. 126]</w:t>
      </w:r>
    </w:p>
    <w:p>
      <w:pPr>
        <w:spacing w:after="20"/>
        <w:ind w:left="432" w:hanging="432"/>
      </w:pPr>
      <w:r>
        <w:rPr>
          <w:b/>
        </w:rPr>
        <w:t>48.</w:t>
        <w:tab/>
        <w:t xml:space="preserve">Q: </w:t>
      </w:r>
      <w:r>
        <w:rPr>
          <w:b w:val="0"/>
          <w:i w:val="0"/>
        </w:rPr>
        <w:t>Whose user ID was that?</w:t>
      </w:r>
    </w:p>
    <w:p>
      <w:pPr>
        <w:spacing w:after="60"/>
        <w:ind w:left="792"/>
      </w:pPr>
      <w:r>
        <w:rPr>
          <w:i/>
          <w:sz w:val="20"/>
        </w:rPr>
        <w:t xml:space="preserve">Expected: </w:t>
      </w:r>
      <w:r>
        <w:rPr>
          <w:sz w:val="20"/>
        </w:rPr>
        <w:t>Derek Voss’s.</w:t>
      </w:r>
      <w:r>
        <w:rPr>
          <w:color w:val="444488"/>
          <w:sz w:val="20"/>
        </w:rPr>
        <w:t xml:space="preserve">  [Dep. 126]</w:t>
      </w:r>
    </w:p>
    <w:p>
      <w:pPr>
        <w:spacing w:after="20"/>
        <w:ind w:left="432" w:hanging="432"/>
      </w:pPr>
      <w:r>
        <w:rPr>
          <w:b/>
        </w:rPr>
        <w:t>49.</w:t>
        <w:tab/>
        <w:t xml:space="preserve">Q: </w:t>
      </w:r>
      <w:r>
        <w:rPr>
          <w:b w:val="0"/>
          <w:i w:val="0"/>
        </w:rPr>
        <w:t>What address was listed for MidAmerican?</w:t>
      </w:r>
    </w:p>
    <w:p>
      <w:pPr>
        <w:spacing w:after="60"/>
        <w:ind w:left="792"/>
      </w:pPr>
      <w:r>
        <w:rPr>
          <w:i/>
          <w:sz w:val="20"/>
        </w:rPr>
        <w:t xml:space="preserve">Expected: </w:t>
      </w:r>
      <w:r>
        <w:rPr>
          <w:sz w:val="20"/>
        </w:rPr>
        <w:t>440 Broad Street, Suite 200, Wilmington, Delaware 19801.</w:t>
      </w:r>
      <w:r>
        <w:rPr>
          <w:color w:val="444488"/>
          <w:sz w:val="20"/>
        </w:rPr>
        <w:t xml:space="preserve">  [Dep. 126]</w:t>
      </w:r>
    </w:p>
    <w:p>
      <w:pPr>
        <w:spacing w:after="20"/>
        <w:ind w:left="432" w:hanging="432"/>
      </w:pPr>
      <w:r>
        <w:rPr>
          <w:b/>
        </w:rPr>
        <w:t>50.</w:t>
        <w:tab/>
        <w:t xml:space="preserve">Q: </w:t>
      </w:r>
      <w:r>
        <w:rPr>
          <w:b w:val="0"/>
          <w:i w:val="0"/>
        </w:rPr>
        <w:t>What other information was in the account — phone, email, contact person, sales representative, credit application?</w:t>
      </w:r>
    </w:p>
    <w:p>
      <w:pPr>
        <w:spacing w:after="60"/>
        <w:ind w:left="792"/>
      </w:pPr>
      <w:r>
        <w:rPr>
          <w:i/>
          <w:sz w:val="20"/>
        </w:rPr>
        <w:t xml:space="preserve">Expected: </w:t>
      </w:r>
      <w:r>
        <w:rPr>
          <w:sz w:val="20"/>
        </w:rPr>
        <w:t>None of them.</w:t>
      </w:r>
      <w:r>
        <w:rPr>
          <w:color w:val="444488"/>
          <w:sz w:val="20"/>
        </w:rPr>
        <w:t xml:space="preserve">  [Dep. 126]</w:t>
      </w:r>
    </w:p>
    <w:p>
      <w:pPr>
        <w:spacing w:after="20"/>
        <w:ind w:left="432" w:hanging="432"/>
      </w:pPr>
      <w:r>
        <w:rPr>
          <w:b/>
        </w:rPr>
        <w:t>51.</w:t>
        <w:tab/>
        <w:t xml:space="preserve">Q: </w:t>
      </w:r>
      <w:r>
        <w:rPr>
          <w:b w:val="0"/>
          <w:i w:val="0"/>
        </w:rPr>
        <w:t>What was Cascade’s standard procedure for opening a new customer account?</w:t>
      </w:r>
    </w:p>
    <w:p>
      <w:pPr>
        <w:spacing w:after="60"/>
        <w:ind w:left="792"/>
      </w:pPr>
      <w:r>
        <w:rPr>
          <w:i/>
          <w:sz w:val="20"/>
        </w:rPr>
        <w:t xml:space="preserve">Expected: </w:t>
      </w:r>
      <w:r>
        <w:rPr>
          <w:sz w:val="20"/>
        </w:rPr>
        <w:t>Sales submits a credit application; finance reviews and approves before credit is extended.</w:t>
      </w:r>
      <w:r>
        <w:rPr>
          <w:color w:val="444488"/>
          <w:sz w:val="20"/>
        </w:rPr>
        <w:t xml:space="preserve">  [Dep. 127]</w:t>
      </w:r>
    </w:p>
    <w:p>
      <w:pPr>
        <w:spacing w:after="20"/>
        <w:ind w:left="432" w:hanging="432"/>
      </w:pPr>
      <w:r>
        <w:rPr>
          <w:b/>
        </w:rPr>
        <w:t>52.</w:t>
        <w:tab/>
        <w:t xml:space="preserve">Q: </w:t>
      </w:r>
      <w:r>
        <w:rPr>
          <w:b w:val="0"/>
          <w:i w:val="0"/>
        </w:rPr>
        <w:t>Did the MidAmerican account go through that process?</w:t>
      </w:r>
    </w:p>
    <w:p>
      <w:pPr>
        <w:spacing w:after="60"/>
        <w:ind w:left="792"/>
      </w:pPr>
      <w:r>
        <w:rPr>
          <w:i/>
          <w:sz w:val="20"/>
        </w:rPr>
        <w:t xml:space="preserve">Expected: </w:t>
      </w:r>
      <w:r>
        <w:rPr>
          <w:sz w:val="20"/>
        </w:rPr>
        <w:t>No — created directly by DVOSS01 without normal onboarding.</w:t>
      </w:r>
      <w:r>
        <w:rPr>
          <w:color w:val="444488"/>
          <w:sz w:val="20"/>
        </w:rPr>
        <w:t xml:space="preserve">  [Dep. 127]</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sz w:val="20"/>
              </w:rPr>
              <w:t xml:space="preserve">NOTE: </w:t>
            </w:r>
            <w:r>
              <w:rPr>
                <w:b w:val="0"/>
                <w:i w:val="0"/>
                <w:sz w:val="20"/>
              </w:rPr>
              <w:t>Do not ask him to call MidAmerican a “shell” or to say what MidAmerican “was.” He may describe what he saw (billing in Wilmington, product to Detroit/Milwaukee). If Stokes objects to “pass-through” (Dep. 129), rephrase to the observed facts. Do not mention MidAmerican’s Delaware formation date (April 3, 2022) or the Keyworth bank records through him (Order § VII(4)).</w:t>
            </w:r>
          </w:p>
        </w:tc>
      </w:tr>
    </w:tbl>
    <w:p>
      <w:pPr>
        <w:spacing w:after="0"/>
      </w:pPr>
    </w:p>
    <w:p>
      <w:pPr>
        <w:spacing w:after="20"/>
        <w:ind w:left="432" w:hanging="432"/>
      </w:pPr>
      <w:r>
        <w:rPr>
          <w:b/>
        </w:rPr>
        <w:t>53.</w:t>
        <w:tab/>
        <w:t xml:space="preserve">Q: </w:t>
      </w:r>
      <w:r>
        <w:rPr>
          <w:b w:val="0"/>
          <w:i w:val="0"/>
        </w:rPr>
        <w:t>Did you preserve any screen captures of those SAP records?</w:t>
      </w:r>
    </w:p>
    <w:p>
      <w:pPr>
        <w:spacing w:after="60"/>
        <w:ind w:left="792"/>
      </w:pPr>
      <w:r>
        <w:rPr>
          <w:i/>
          <w:sz w:val="20"/>
        </w:rPr>
        <w:t xml:space="preserve">Expected: </w:t>
      </w:r>
      <w:r>
        <w:rPr>
          <w:sz w:val="20"/>
        </w:rPr>
        <w:t>Some, included in his files and on the USB drive (see Chapter 9).</w:t>
      </w:r>
      <w:r>
        <w:rPr>
          <w:color w:val="444488"/>
          <w:sz w:val="20"/>
        </w:rPr>
        <w:t xml:space="preserve">  [Dep. 135]</w:t>
      </w:r>
    </w:p>
    <w:p>
      <w:pPr>
        <w:pStyle w:val="Heading2"/>
      </w:pPr>
      <w:r>
        <w:t>Chapter 6 — The Spreadsheet: Authentication and Publication (≈8 min.)</w:t>
      </w:r>
    </w:p>
    <w:p>
      <w:pPr>
        <w:spacing w:after="80"/>
      </w:pPr>
      <w:r>
        <w:rPr>
          <w:b w:val="0"/>
          <w:i/>
        </w:rPr>
        <w:t>Goal: Satisfy FRE 901(b)(1) exactly as the Court described (Order § IX) before asking to publish. Use ONLY the clean, verified version (Part III.1).</w:t>
      </w:r>
    </w:p>
    <w:p>
      <w:pPr>
        <w:spacing w:after="20"/>
        <w:ind w:left="432" w:hanging="432"/>
      </w:pPr>
      <w:r>
        <w:rPr>
          <w:b/>
        </w:rPr>
        <w:t>54.</w:t>
        <w:tab/>
        <w:t xml:space="preserve">Q: </w:t>
      </w:r>
      <w:r>
        <w:rPr>
          <w:b w:val="0"/>
          <w:i w:val="0"/>
        </w:rPr>
        <w:t>Did you create a document to record what you found? Why a spreadsheet?</w:t>
      </w:r>
    </w:p>
    <w:p>
      <w:pPr>
        <w:spacing w:after="60"/>
        <w:ind w:left="792"/>
      </w:pPr>
      <w:r>
        <w:rPr>
          <w:i/>
          <w:sz w:val="20"/>
        </w:rPr>
        <w:t xml:space="preserve">Expected: </w:t>
      </w:r>
      <w:r>
        <w:rPr>
          <w:sz w:val="20"/>
        </w:rPr>
        <w:t>Excel spreadsheet; wanted numbers laid out clearly so there could be no misunderstanding.</w:t>
      </w:r>
      <w:r>
        <w:rPr>
          <w:color w:val="444488"/>
          <w:sz w:val="20"/>
        </w:rPr>
        <w:t xml:space="preserve">  [Dep. 82]</w:t>
      </w:r>
    </w:p>
    <w:p>
      <w:pPr>
        <w:spacing w:after="20"/>
        <w:ind w:left="432" w:hanging="432"/>
      </w:pPr>
      <w:r>
        <w:rPr>
          <w:b/>
        </w:rPr>
        <w:t>55.</w:t>
        <w:tab/>
        <w:t xml:space="preserve">Q: </w:t>
      </w:r>
      <w:r>
        <w:rPr>
          <w:b w:val="0"/>
          <w:i w:val="0"/>
        </w:rPr>
        <w:t>When did you start it, and when did you finish it?</w:t>
      </w:r>
    </w:p>
    <w:p>
      <w:pPr>
        <w:spacing w:after="60"/>
        <w:ind w:left="792"/>
      </w:pPr>
      <w:r>
        <w:rPr>
          <w:i/>
          <w:sz w:val="20"/>
        </w:rPr>
        <w:t xml:space="preserve">Expected: </w:t>
      </w:r>
      <w:r>
        <w:rPr>
          <w:sz w:val="20"/>
        </w:rPr>
        <w:t>Began on or about Sept. 22; main analysis done around Sept. 27.</w:t>
      </w:r>
      <w:r>
        <w:rPr>
          <w:color w:val="444488"/>
          <w:sz w:val="20"/>
        </w:rPr>
        <w:t xml:space="preserve">  [Dep. 83]</w:t>
      </w:r>
    </w:p>
    <w:p>
      <w:pPr>
        <w:spacing w:after="20"/>
        <w:ind w:left="432" w:hanging="432"/>
      </w:pPr>
      <w:r>
        <w:rPr>
          <w:b/>
        </w:rPr>
        <w:t>56.</w:t>
        <w:tab/>
        <w:t xml:space="preserve">Q: </w:t>
      </w:r>
      <w:r>
        <w:rPr>
          <w:b w:val="0"/>
          <w:i w:val="0"/>
        </w:rPr>
        <w:t>Where did the data come from?</w:t>
      </w:r>
    </w:p>
    <w:p>
      <w:pPr>
        <w:spacing w:after="60"/>
        <w:ind w:left="792"/>
      </w:pPr>
      <w:r>
        <w:rPr>
          <w:i/>
          <w:sz w:val="20"/>
        </w:rPr>
        <w:t xml:space="preserve">Expected: </w:t>
      </w:r>
      <w:r>
        <w:rPr>
          <w:sz w:val="20"/>
        </w:rPr>
        <w:t>SAP warehouse shipment logs (Dublin DC) and SAP sales reporting module.</w:t>
      </w:r>
      <w:r>
        <w:rPr>
          <w:color w:val="444488"/>
          <w:sz w:val="20"/>
        </w:rPr>
        <w:t xml:space="preserve">  [Dep. 84]</w:t>
      </w:r>
    </w:p>
    <w:p>
      <w:pPr>
        <w:spacing w:after="20"/>
        <w:ind w:left="432" w:hanging="432"/>
      </w:pPr>
      <w:r>
        <w:rPr>
          <w:b/>
        </w:rPr>
        <w:t>57.</w:t>
        <w:tab/>
        <w:t xml:space="preserve">Q: </w:t>
      </w:r>
      <w:r>
        <w:rPr>
          <w:b w:val="0"/>
          <w:i w:val="0"/>
        </w:rPr>
        <w:t>How did the data get from SAP into Excel?</w:t>
      </w:r>
    </w:p>
    <w:p>
      <w:pPr>
        <w:spacing w:after="60"/>
        <w:ind w:left="792"/>
      </w:pPr>
      <w:r>
        <w:rPr>
          <w:i/>
          <w:sz w:val="20"/>
        </w:rPr>
        <w:t xml:space="preserve">Expected: </w:t>
      </w:r>
      <w:r>
        <w:rPr>
          <w:sz w:val="20"/>
        </w:rPr>
        <w:t>SAP export to comma-separated file; imported into Excel; did not alter underlying data.</w:t>
      </w:r>
      <w:r>
        <w:rPr>
          <w:color w:val="444488"/>
          <w:sz w:val="20"/>
        </w:rPr>
        <w:t xml:space="preserve">  [Dep. 84, 89]</w:t>
      </w:r>
    </w:p>
    <w:p>
      <w:pPr>
        <w:spacing w:after="20"/>
        <w:ind w:left="432" w:hanging="432"/>
      </w:pPr>
      <w:r>
        <w:rPr>
          <w:b/>
        </w:rPr>
        <w:t>58.</w:t>
        <w:tab/>
        <w:t xml:space="preserve">Q: </w:t>
      </w:r>
      <w:r>
        <w:rPr>
          <w:b w:val="0"/>
          <w:i w:val="0"/>
        </w:rPr>
        <w:t>[Hand witness PX-__.] Do you recognize this?</w:t>
      </w:r>
    </w:p>
    <w:p>
      <w:pPr>
        <w:spacing w:after="60"/>
        <w:ind w:left="792"/>
      </w:pPr>
      <w:r>
        <w:rPr>
          <w:i/>
          <w:sz w:val="20"/>
        </w:rPr>
        <w:t xml:space="preserve">Expected: </w:t>
      </w:r>
      <w:r>
        <w:rPr>
          <w:sz w:val="20"/>
        </w:rPr>
        <w:t>Yes — the spreadsheet he created.</w:t>
      </w:r>
    </w:p>
    <w:p>
      <w:pPr>
        <w:spacing w:after="20"/>
        <w:ind w:left="432" w:hanging="432"/>
      </w:pPr>
      <w:r>
        <w:rPr>
          <w:b/>
        </w:rPr>
        <w:t>59.</w:t>
        <w:tab/>
        <w:t xml:space="preserve">Q: </w:t>
      </w:r>
      <w:r>
        <w:rPr>
          <w:b w:val="0"/>
          <w:i w:val="0"/>
        </w:rPr>
        <w:t>How do you recognize it?</w:t>
      </w:r>
    </w:p>
    <w:p>
      <w:pPr>
        <w:spacing w:after="60"/>
        <w:ind w:left="792"/>
      </w:pPr>
      <w:r>
        <w:rPr>
          <w:i/>
          <w:sz w:val="20"/>
        </w:rPr>
        <w:t xml:space="preserve">Expected: </w:t>
      </w:r>
      <w:r>
        <w:rPr>
          <w:sz w:val="20"/>
        </w:rPr>
        <w:t>His structure, tabs (Summary, Shipment Detail, Sales Comparison), his data and flags.</w:t>
      </w:r>
      <w:r>
        <w:rPr>
          <w:color w:val="444488"/>
          <w:sz w:val="20"/>
        </w:rPr>
        <w:t xml:space="preserve">  [Dep. 85]</w:t>
      </w:r>
    </w:p>
    <w:p>
      <w:pPr>
        <w:spacing w:after="20"/>
        <w:ind w:left="432" w:hanging="432"/>
      </w:pPr>
      <w:r>
        <w:rPr>
          <w:b/>
        </w:rPr>
        <w:t>60.</w:t>
        <w:tab/>
        <w:t xml:space="preserve">Q: </w:t>
      </w:r>
      <w:r>
        <w:rPr>
          <w:b w:val="0"/>
          <w:i w:val="0"/>
        </w:rPr>
        <w:t>Is PX-__ in substantially the same condition as when you created it?</w:t>
      </w:r>
    </w:p>
    <w:p>
      <w:pPr>
        <w:spacing w:after="60"/>
        <w:ind w:left="792"/>
      </w:pPr>
      <w:r>
        <w:rPr>
          <w:i/>
          <w:sz w:val="20"/>
        </w:rPr>
        <w:t xml:space="preserve">Expected: </w:t>
      </w:r>
      <w:r>
        <w:rPr>
          <w:sz w:val="20"/>
        </w:rPr>
        <w:t>Yes (ONLY if verified against native Cascade-produced attachment).</w:t>
      </w:r>
      <w:r>
        <w:rPr>
          <w:color w:val="444488"/>
          <w:sz w:val="20"/>
        </w:rPr>
        <w:t xml:space="preserve">  [Order § IX; Dep. 88, 91–92]</w:t>
      </w:r>
    </w:p>
    <w:p>
      <w:pPr>
        <w:spacing w:after="20"/>
        <w:ind w:left="432" w:hanging="432"/>
      </w:pPr>
      <w:r>
        <w:rPr>
          <w:b/>
        </w:rPr>
        <w:t>61.</w:t>
        <w:tab/>
        <w:t xml:space="preserve">Q: </w:t>
      </w:r>
      <w:r>
        <w:rPr>
          <w:b w:val="0"/>
          <w:i w:val="0"/>
        </w:rPr>
        <w:t>What did you do with it after you created it?</w:t>
      </w:r>
    </w:p>
    <w:p>
      <w:pPr>
        <w:spacing w:after="60"/>
        <w:ind w:left="792"/>
      </w:pPr>
      <w:r>
        <w:rPr>
          <w:i/>
          <w:sz w:val="20"/>
        </w:rPr>
        <w:t xml:space="preserve">Expected: </w:t>
      </w:r>
      <w:r>
        <w:rPr>
          <w:sz w:val="20"/>
        </w:rPr>
        <w:t>Attached to Sept. 28 email to Voss; kept copies on work computer and network drive; later on USB.</w:t>
      </w:r>
      <w:r>
        <w:rPr>
          <w:color w:val="444488"/>
          <w:sz w:val="20"/>
        </w:rPr>
        <w:t xml:space="preserve">  [Dep. 87]</w:t>
      </w:r>
    </w:p>
    <w:p>
      <w:pPr>
        <w:spacing w:after="80"/>
      </w:pPr>
      <w:r>
        <w:rPr>
          <w:b/>
          <w:i w:val="0"/>
        </w:rPr>
        <w:t>Offer:</w:t>
      </w:r>
      <w:r>
        <w:rPr>
          <w:b w:val="0"/>
          <w:i w:val="0"/>
        </w:rPr>
        <w:t xml:space="preserve"> “Plaintiff offers PX-__ under Rules 901(b)(1) and 401, consistent with Section IX of the Court’s Order, and asks leave to publish.” If Cascade renews its objection, point to (1) the creator’s testimony; (2) the fact that Cascade itself produced the version attached to its own email server record (901(b)(4)); (3) the Order: reliability goes to weight.</w:t>
      </w:r>
    </w:p>
    <w:p>
      <w:pPr>
        <w:spacing w:after="20"/>
        <w:ind w:left="432" w:hanging="432"/>
      </w:pPr>
      <w:r>
        <w:rPr>
          <w:b/>
        </w:rPr>
        <w:t>62.</w:t>
        <w:tab/>
        <w:t xml:space="preserve">Q: </w:t>
      </w:r>
      <w:r>
        <w:rPr>
          <w:b w:val="0"/>
          <w:i w:val="0"/>
        </w:rPr>
        <w:t>[Publish Summary.] Walk the jury through the Summary tab — units shipped, units reported, returns, warranty, transfers, gap.</w:t>
      </w:r>
    </w:p>
    <w:p>
      <w:pPr>
        <w:spacing w:after="60"/>
        <w:ind w:left="792"/>
      </w:pPr>
      <w:r>
        <w:rPr>
          <w:i/>
          <w:sz w:val="20"/>
        </w:rPr>
        <w:t xml:space="preserve">Expected: </w:t>
      </w:r>
      <w:r>
        <w:rPr>
          <w:sz w:val="20"/>
        </w:rPr>
        <w:t>4,217 / 3,104 / 0 / 0 / 0 / 1,113.</w:t>
      </w:r>
      <w:r>
        <w:rPr>
          <w:color w:val="444488"/>
          <w:sz w:val="20"/>
        </w:rPr>
        <w:t xml:space="preserve">  [Dep. 85]</w:t>
      </w:r>
    </w:p>
    <w:p>
      <w:pPr>
        <w:spacing w:after="20"/>
        <w:ind w:left="432" w:hanging="432"/>
      </w:pPr>
      <w:r>
        <w:rPr>
          <w:b/>
        </w:rPr>
        <w:t>63.</w:t>
        <w:tab/>
        <w:t xml:space="preserve">Q: </w:t>
      </w:r>
      <w:r>
        <w:rPr>
          <w:b w:val="0"/>
          <w:i w:val="0"/>
        </w:rPr>
        <w:t>What does the Shipment Detail tab show? What did you flag?</w:t>
      </w:r>
    </w:p>
    <w:p>
      <w:pPr>
        <w:spacing w:after="60"/>
        <w:ind w:left="792"/>
      </w:pPr>
      <w:r>
        <w:rPr>
          <w:i/>
          <w:sz w:val="20"/>
        </w:rPr>
        <w:t xml:space="preserve">Expected: </w:t>
      </w:r>
      <w:r>
        <w:rPr>
          <w:sz w:val="20"/>
        </w:rPr>
        <w:t>One row per shipment; flagged every shipment with a MidAmerican PO and no matching authorized sale.</w:t>
      </w:r>
      <w:r>
        <w:rPr>
          <w:color w:val="444488"/>
          <w:sz w:val="20"/>
        </w:rPr>
        <w:t xml:space="preserve">  [Dep. 85–86]</w:t>
      </w:r>
    </w:p>
    <w:p>
      <w:pPr>
        <w:spacing w:after="20"/>
        <w:ind w:left="432" w:hanging="432"/>
      </w:pPr>
      <w:r>
        <w:rPr>
          <w:b/>
        </w:rPr>
        <w:t>64.</w:t>
        <w:tab/>
        <w:t xml:space="preserve">Q: </w:t>
      </w:r>
      <w:r>
        <w:rPr>
          <w:b w:val="0"/>
          <w:i w:val="0"/>
        </w:rPr>
        <w:t>[Show one MidAmerican row, e.g., row 3: 07/08/2023, PO-MDA-23-0047, ship-to Detroit.] What does this row tell you?</w:t>
      </w:r>
    </w:p>
    <w:p>
      <w:pPr>
        <w:spacing w:after="60"/>
        <w:ind w:left="792"/>
      </w:pPr>
      <w:r>
        <w:rPr>
          <w:i/>
          <w:sz w:val="20"/>
        </w:rPr>
        <w:t xml:space="preserve">Expected: </w:t>
      </w:r>
      <w:r>
        <w:rPr>
          <w:sz w:val="20"/>
        </w:rPr>
        <w:t>MidAmerican PO; ship-to Great Lakes, Detroit; not authorized.</w:t>
      </w:r>
    </w:p>
    <w:tbl>
      <w:tblPr>
        <w:tblStyle w:val="TableGrid"/>
        <w:tblW w:type="auto" w:w="0"/>
        <w:tblLook w:firstColumn="1" w:firstRow="1" w:lastColumn="0" w:lastRow="0" w:noHBand="0" w:noVBand="1" w:val="04A0"/>
      </w:tblPr>
      <w:tblGrid>
        <w:gridCol w:w="9360"/>
      </w:tblGrid>
      <w:tr>
        <w:tc>
          <w:tcPr>
            <w:tcW w:type="dxa" w:w="9360"/>
            <w:shd w:val="clear" w:color="auto" w:fill="F8D7DA"/>
          </w:tcPr>
          <w:p>
            <w:r>
              <w:rPr>
                <w:b/>
                <w:sz w:val="20"/>
              </w:rPr>
              <w:t xml:space="preserve">CAUTION: </w:t>
            </w:r>
            <w:r>
              <w:rPr>
                <w:b w:val="0"/>
                <w:i w:val="0"/>
                <w:sz w:val="20"/>
              </w:rPr>
              <w:t>Do NOT walk through dollar-value or royalty columns/rows ($1,415,001.42; $63,675.06; royalty variance columns). If the exhibit is not redacted, anticipate a 701 objection and a request to redact. Better: use a units-only version (Part III.1).</w:t>
            </w:r>
          </w:p>
        </w:tc>
      </w:tr>
    </w:tbl>
    <w:p>
      <w:pPr>
        <w:spacing w:after="0"/>
      </w:pPr>
    </w:p>
    <w:p>
      <w:pPr>
        <w:pStyle w:val="Heading2"/>
      </w:pPr>
      <w:r>
        <w:t>Chapter 7 — Reporting Up the Chain: The Three Email Chains (≈12 min.)</w:t>
      </w:r>
    </w:p>
    <w:p>
      <w:pPr>
        <w:spacing w:after="80"/>
      </w:pPr>
      <w:r>
        <w:rPr>
          <w:b w:val="0"/>
          <w:i/>
        </w:rPr>
        <w:t>Goal: Tell the notice-and-suppression story. Offer each chain complete (Order § III; FRE 106). For each response, lay the foundation first: identity, role, context (Order § XII(3)).</w:t>
      </w:r>
    </w:p>
    <w:p>
      <w:pPr>
        <w:spacing w:after="40"/>
      </w:pPr>
      <w:r>
        <w:rPr>
          <w:b/>
          <w:i w:val="0"/>
        </w:rPr>
        <w:t>7A. September 28, 2023 chain (CASCADE_EMAIL_003856–3857)</w:t>
      </w:r>
    </w:p>
    <w:p>
      <w:pPr>
        <w:spacing w:after="20"/>
        <w:ind w:left="432" w:hanging="432"/>
      </w:pPr>
      <w:r>
        <w:rPr>
          <w:b/>
        </w:rPr>
        <w:t>65.</w:t>
        <w:tab/>
        <w:t xml:space="preserve">Q: </w:t>
      </w:r>
      <w:r>
        <w:rPr>
          <w:b w:val="0"/>
          <w:i w:val="0"/>
        </w:rPr>
        <w:t>To whom did you first report what you found, and why that person?</w:t>
      </w:r>
    </w:p>
    <w:p>
      <w:pPr>
        <w:spacing w:after="60"/>
        <w:ind w:left="792"/>
      </w:pPr>
      <w:r>
        <w:rPr>
          <w:i/>
          <w:sz w:val="20"/>
        </w:rPr>
        <w:t xml:space="preserve">Expected: </w:t>
      </w:r>
      <w:r>
        <w:rPr>
          <w:sz w:val="20"/>
        </w:rPr>
        <w:t>Voss only — his direct supervisor; the issue appeared to involve operations above his department.</w:t>
      </w:r>
      <w:r>
        <w:rPr>
          <w:color w:val="444488"/>
          <w:sz w:val="20"/>
        </w:rPr>
        <w:t xml:space="preserve">  [Dep. 195]</w:t>
      </w:r>
    </w:p>
    <w:p>
      <w:pPr>
        <w:spacing w:after="20"/>
        <w:ind w:left="432" w:hanging="432"/>
      </w:pPr>
      <w:r>
        <w:rPr>
          <w:b/>
        </w:rPr>
        <w:t>66.</w:t>
        <w:tab/>
        <w:t xml:space="preserve">Q: </w:t>
      </w:r>
      <w:r>
        <w:rPr>
          <w:b w:val="0"/>
          <w:i w:val="0"/>
        </w:rPr>
        <w:t>[PX-__.] What is this?</w:t>
      </w:r>
    </w:p>
    <w:p>
      <w:pPr>
        <w:spacing w:after="60"/>
        <w:ind w:left="792"/>
      </w:pPr>
      <w:r>
        <w:rPr>
          <w:i/>
          <w:sz w:val="20"/>
        </w:rPr>
        <w:t xml:space="preserve">Expected: </w:t>
      </w:r>
      <w:r>
        <w:rPr>
          <w:sz w:val="20"/>
        </w:rPr>
        <w:t>His Sept. 28, 2023, 2:17 PM email to Voss, subject “Discrepancy in Q3 Shipment vs. Sales Data — Need to Discuss,” attaching the spreadsheet, and Voss’s 4:51 PM reply.</w:t>
      </w:r>
    </w:p>
    <w:p>
      <w:pPr>
        <w:spacing w:after="80"/>
      </w:pPr>
      <w:r>
        <w:rPr>
          <w:b/>
          <w:i w:val="0"/>
        </w:rPr>
        <w:t>Offer the complete chain</w:t>
      </w:r>
      <w:r>
        <w:rPr>
          <w:b w:val="0"/>
          <w:i w:val="0"/>
        </w:rPr>
        <w:t xml:space="preserve"> (801(d)(2)(D) / 801(d)(2)(A),(D); Order § III).</w:t>
      </w:r>
    </w:p>
    <w:p>
      <w:pPr>
        <w:spacing w:after="20"/>
        <w:ind w:left="432" w:hanging="432"/>
      </w:pPr>
      <w:r>
        <w:rPr>
          <w:b/>
        </w:rPr>
        <w:t>67.</w:t>
        <w:tab/>
        <w:t xml:space="preserve">Q: </w:t>
      </w:r>
      <w:r>
        <w:rPr>
          <w:b w:val="0"/>
          <w:i w:val="0"/>
        </w:rPr>
        <w:t>Please read the paragraph beginning “That leaves a gap.”</w:t>
      </w:r>
    </w:p>
    <w:p>
      <w:pPr>
        <w:spacing w:after="60"/>
        <w:ind w:left="792"/>
      </w:pPr>
      <w:r>
        <w:rPr>
          <w:i/>
          <w:sz w:val="20"/>
        </w:rPr>
        <w:t xml:space="preserve">Expected: </w:t>
      </w:r>
      <w:r>
        <w:rPr>
          <w:sz w:val="20"/>
        </w:rPr>
        <w:t>Reads: 1,113 units; checked returns, warranty, adjustments.</w:t>
      </w:r>
    </w:p>
    <w:p>
      <w:pPr>
        <w:spacing w:after="20"/>
        <w:ind w:left="432" w:hanging="432"/>
      </w:pPr>
      <w:r>
        <w:rPr>
          <w:b/>
        </w:rPr>
        <w:t>68.</w:t>
        <w:tab/>
        <w:t xml:space="preserve">Q: </w:t>
      </w:r>
      <w:r>
        <w:rPr>
          <w:b w:val="0"/>
          <w:i w:val="0"/>
        </w:rPr>
        <w:t>What were you asking Mr. Voss to do?</w:t>
      </w:r>
    </w:p>
    <w:p>
      <w:pPr>
        <w:spacing w:after="60"/>
        <w:ind w:left="792"/>
      </w:pPr>
      <w:r>
        <w:rPr>
          <w:i/>
          <w:sz w:val="20"/>
        </w:rPr>
        <w:t xml:space="preserve">Expected: </w:t>
      </w:r>
      <w:r>
        <w:rPr>
          <w:sz w:val="20"/>
        </w:rPr>
        <w:t>Sit down and discuss next steps before finalizing Q3 reports.</w:t>
      </w:r>
    </w:p>
    <w:p>
      <w:pPr>
        <w:spacing w:after="20"/>
        <w:ind w:left="432" w:hanging="432"/>
      </w:pPr>
      <w:r>
        <w:rPr>
          <w:b/>
        </w:rPr>
        <w:t>69.</w:t>
        <w:tab/>
        <w:t xml:space="preserve">Q: </w:t>
      </w:r>
      <w:r>
        <w:rPr>
          <w:b w:val="0"/>
          <w:i w:val="0"/>
        </w:rPr>
        <w:t>Who was Derek Voss at Cascade on Sept. 28, 2023? Did he respond?</w:t>
      </w:r>
    </w:p>
    <w:p>
      <w:pPr>
        <w:spacing w:after="60"/>
        <w:ind w:left="792"/>
      </w:pPr>
      <w:r>
        <w:rPr>
          <w:i/>
          <w:sz w:val="20"/>
        </w:rPr>
        <w:t xml:space="preserve">Expected: </w:t>
      </w:r>
      <w:r>
        <w:rPr>
          <w:sz w:val="20"/>
        </w:rPr>
        <w:t>CEO and Managing Member; his boss; replied same day.</w:t>
      </w:r>
    </w:p>
    <w:p>
      <w:pPr>
        <w:spacing w:after="20"/>
        <w:ind w:left="432" w:hanging="432"/>
      </w:pPr>
      <w:r>
        <w:rPr>
          <w:b/>
        </w:rPr>
        <w:t>70.</w:t>
        <w:tab/>
        <w:t xml:space="preserve">Q: </w:t>
      </w:r>
      <w:r>
        <w:rPr>
          <w:b w:val="0"/>
          <w:i w:val="0"/>
        </w:rPr>
        <w:t>Please read Mr. Voss’s response.</w:t>
      </w:r>
    </w:p>
    <w:p>
      <w:pPr>
        <w:spacing w:after="60"/>
        <w:ind w:left="792"/>
      </w:pPr>
      <w:r>
        <w:rPr>
          <w:i/>
          <w:sz w:val="20"/>
        </w:rPr>
        <w:t xml:space="preserve">Expected: </w:t>
      </w:r>
      <w:r>
        <w:rPr>
          <w:sz w:val="20"/>
        </w:rPr>
        <w:t>“I’ll look into it. Don’t share this with anyone else for now.”</w:t>
      </w:r>
    </w:p>
    <w:p>
      <w:pPr>
        <w:spacing w:after="20"/>
        <w:ind w:left="432" w:hanging="432"/>
      </w:pPr>
      <w:r>
        <w:rPr>
          <w:b/>
        </w:rPr>
        <w:t>71.</w:t>
        <w:tab/>
        <w:t xml:space="preserve">Q: </w:t>
      </w:r>
      <w:r>
        <w:rPr>
          <w:b w:val="0"/>
          <w:i w:val="0"/>
        </w:rPr>
        <w:t>Did you hear anything further from Mr. Voss in the following week?</w:t>
      </w:r>
    </w:p>
    <w:p>
      <w:pPr>
        <w:spacing w:after="60"/>
        <w:ind w:left="792"/>
      </w:pPr>
      <w:r>
        <w:rPr>
          <w:i/>
          <w:sz w:val="20"/>
        </w:rPr>
        <w:t xml:space="preserve">Expected: </w:t>
      </w:r>
      <w:r>
        <w:rPr>
          <w:sz w:val="20"/>
        </w:rPr>
        <w:t>No substantive response.</w:t>
      </w:r>
      <w:r>
        <w:rPr>
          <w:color w:val="444488"/>
          <w:sz w:val="20"/>
        </w:rPr>
        <w:t xml:space="preserve">  [Oct. 5 email]</w:t>
      </w:r>
    </w:p>
    <w:p>
      <w:pPr>
        <w:spacing w:after="40"/>
      </w:pPr>
      <w:r>
        <w:rPr>
          <w:b/>
          <w:i w:val="0"/>
        </w:rPr>
        <w:t>7B. October 5–6, 2023 chain (CASCADE_EMAIL_003852–3853)</w:t>
      </w:r>
    </w:p>
    <w:p>
      <w:pPr>
        <w:spacing w:after="20"/>
        <w:ind w:left="432" w:hanging="432"/>
      </w:pPr>
      <w:r>
        <w:rPr>
          <w:b/>
        </w:rPr>
        <w:t>72.</w:t>
        <w:tab/>
        <w:t xml:space="preserve">Q: </w:t>
      </w:r>
      <w:r>
        <w:rPr>
          <w:b w:val="0"/>
          <w:i w:val="0"/>
        </w:rPr>
        <w:t>What did you do next, and why did you add Ms. Trimble?</w:t>
      </w:r>
    </w:p>
    <w:p>
      <w:pPr>
        <w:spacing w:after="60"/>
        <w:ind w:left="792"/>
      </w:pPr>
      <w:r>
        <w:rPr>
          <w:i/>
          <w:sz w:val="20"/>
        </w:rPr>
        <w:t xml:space="preserve">Expected: </w:t>
      </w:r>
      <w:r>
        <w:rPr>
          <w:sz w:val="20"/>
        </w:rPr>
        <w:t>Follow-up to Voss and Trimble; the diverted shipments appeared to be excluded from royalty reports that the CFO certified.</w:t>
      </w:r>
      <w:r>
        <w:rPr>
          <w:color w:val="444488"/>
          <w:sz w:val="20"/>
        </w:rPr>
        <w:t xml:space="preserve">  [Oct. 5 email]</w:t>
      </w:r>
    </w:p>
    <w:p>
      <w:pPr>
        <w:spacing w:after="20"/>
        <w:ind w:left="432" w:hanging="432"/>
      </w:pPr>
      <w:r>
        <w:rPr>
          <w:b/>
        </w:rPr>
        <w:t>73.</w:t>
        <w:tab/>
        <w:t xml:space="preserve">Q: </w:t>
      </w:r>
      <w:r>
        <w:rPr>
          <w:b w:val="0"/>
          <w:i w:val="0"/>
        </w:rPr>
        <w:t>[PX-__.] What did this email report that was new?</w:t>
      </w:r>
    </w:p>
    <w:p>
      <w:pPr>
        <w:spacing w:after="60"/>
        <w:ind w:left="792"/>
      </w:pPr>
      <w:r>
        <w:rPr>
          <w:i/>
          <w:sz w:val="20"/>
        </w:rPr>
        <w:t xml:space="preserve">Expected: </w:t>
      </w:r>
      <w:r>
        <w:rPr>
          <w:sz w:val="20"/>
        </w:rPr>
        <w:t>MidAmerican POs; ship-to Great Lakes and Summit; not on sub-distributor list; no Ridgeline approval; attached PO analysis.</w:t>
      </w:r>
    </w:p>
    <w:p>
      <w:pPr>
        <w:spacing w:after="20"/>
        <w:ind w:left="432" w:hanging="432"/>
      </w:pPr>
      <w:r>
        <w:rPr>
          <w:b/>
        </w:rPr>
        <w:t>74.</w:t>
        <w:tab/>
        <w:t xml:space="preserve">Q: </w:t>
      </w:r>
      <w:r>
        <w:rPr>
          <w:b w:val="0"/>
          <w:i w:val="0"/>
        </w:rPr>
        <w:t>Who was Angela Trimble, and did she respond?</w:t>
      </w:r>
    </w:p>
    <w:p>
      <w:pPr>
        <w:spacing w:after="60"/>
        <w:ind w:left="792"/>
      </w:pPr>
      <w:r>
        <w:rPr>
          <w:i/>
          <w:sz w:val="20"/>
        </w:rPr>
        <w:t xml:space="preserve">Expected: </w:t>
      </w:r>
      <w:r>
        <w:rPr>
          <w:sz w:val="20"/>
        </w:rPr>
        <w:t>CFO; responded Oct. 6, 8:42 AM, cc Voss.</w:t>
      </w:r>
    </w:p>
    <w:p>
      <w:pPr>
        <w:spacing w:after="20"/>
        <w:ind w:left="432" w:hanging="432"/>
      </w:pPr>
      <w:r>
        <w:rPr>
          <w:b/>
        </w:rPr>
        <w:t>75.</w:t>
        <w:tab/>
        <w:t xml:space="preserve">Q: </w:t>
      </w:r>
      <w:r>
        <w:rPr>
          <w:b w:val="0"/>
          <w:i w:val="0"/>
        </w:rPr>
        <w:t>Please read Ms. Trimble’s response.</w:t>
      </w:r>
    </w:p>
    <w:p>
      <w:pPr>
        <w:spacing w:after="60"/>
        <w:ind w:left="792"/>
      </w:pPr>
      <w:r>
        <w:rPr>
          <w:i/>
          <w:sz w:val="20"/>
        </w:rPr>
        <w:t xml:space="preserve">Expected: </w:t>
      </w:r>
      <w:r>
        <w:rPr>
          <w:sz w:val="20"/>
        </w:rPr>
        <w:t>“Marcus, this is a finance matter and is being handled. Please focus on your sales targets.”</w:t>
      </w:r>
    </w:p>
    <w:p>
      <w:pPr>
        <w:spacing w:after="20"/>
        <w:ind w:left="432" w:hanging="432"/>
      </w:pPr>
      <w:r>
        <w:rPr>
          <w:b/>
        </w:rPr>
        <w:t>76.</w:t>
        <w:tab/>
        <w:t xml:space="preserve">Q: </w:t>
      </w:r>
      <w:r>
        <w:rPr>
          <w:b w:val="0"/>
          <w:i w:val="0"/>
        </w:rPr>
        <w:t>Did anyone ever tell you how it was being handled?</w:t>
      </w:r>
    </w:p>
    <w:p>
      <w:pPr>
        <w:spacing w:after="60"/>
        <w:ind w:left="792"/>
      </w:pPr>
      <w:r>
        <w:rPr>
          <w:i/>
          <w:sz w:val="20"/>
        </w:rPr>
        <w:t xml:space="preserve">Expected: </w:t>
      </w:r>
      <w:r>
        <w:rPr>
          <w:sz w:val="20"/>
        </w:rPr>
        <w:t>No.</w:t>
      </w:r>
      <w:r>
        <w:rPr>
          <w:color w:val="444488"/>
          <w:sz w:val="20"/>
        </w:rPr>
        <w:t xml:space="preserve">  [Nov. 15 email; Dep. 177]</w:t>
      </w:r>
    </w:p>
    <w:p>
      <w:pPr>
        <w:spacing w:after="40"/>
      </w:pPr>
      <w:r>
        <w:rPr>
          <w:b/>
          <w:i w:val="0"/>
        </w:rPr>
        <w:t>7C. October 10, 2023 — the closed-door meeting and the royalty report</w:t>
      </w:r>
    </w:p>
    <w:p>
      <w:pPr>
        <w:spacing w:after="20"/>
        <w:ind w:left="432" w:hanging="432"/>
      </w:pPr>
      <w:r>
        <w:rPr>
          <w:b/>
        </w:rPr>
        <w:t>77.</w:t>
        <w:tab/>
        <w:t xml:space="preserve">Q: </w:t>
      </w:r>
      <w:r>
        <w:rPr>
          <w:b w:val="0"/>
          <w:i w:val="0"/>
        </w:rPr>
        <w:t>On October 10, 2023, what did you see?</w:t>
      </w:r>
    </w:p>
    <w:p>
      <w:pPr>
        <w:spacing w:after="60"/>
        <w:ind w:left="792"/>
      </w:pPr>
      <w:r>
        <w:rPr>
          <w:i/>
          <w:sz w:val="20"/>
        </w:rPr>
        <w:t xml:space="preserve">Expected: </w:t>
      </w:r>
      <w:r>
        <w:rPr>
          <w:sz w:val="20"/>
        </w:rPr>
        <w:t>Voss and Trimble go into Voss’s office, close the door, ~45 minutes.</w:t>
      </w:r>
      <w:r>
        <w:rPr>
          <w:color w:val="444488"/>
          <w:sz w:val="20"/>
        </w:rPr>
        <w:t xml:space="preserve">  [Dep. 155]</w:t>
      </w:r>
    </w:p>
    <w:p>
      <w:pPr>
        <w:spacing w:after="20"/>
        <w:ind w:left="432" w:hanging="432"/>
      </w:pPr>
      <w:r>
        <w:rPr>
          <w:b/>
        </w:rPr>
        <w:t>78.</w:t>
        <w:tab/>
        <w:t xml:space="preserve">Q: </w:t>
      </w:r>
      <w:r>
        <w:rPr>
          <w:b w:val="0"/>
          <w:i w:val="0"/>
        </w:rPr>
        <w:t>Why do you remember the date?</w:t>
      </w:r>
    </w:p>
    <w:p>
      <w:pPr>
        <w:spacing w:after="60"/>
        <w:ind w:left="792"/>
      </w:pPr>
      <w:r>
        <w:rPr>
          <w:i/>
          <w:sz w:val="20"/>
        </w:rPr>
        <w:t xml:space="preserve">Expected: </w:t>
      </w:r>
      <w:r>
        <w:rPr>
          <w:sz w:val="20"/>
        </w:rPr>
        <w:t>Five days after his second email; he was watching for a response and noted it.</w:t>
      </w:r>
      <w:r>
        <w:rPr>
          <w:color w:val="444488"/>
          <w:sz w:val="20"/>
        </w:rPr>
        <w:t xml:space="preserve">  [Dep. 156]</w:t>
      </w:r>
    </w:p>
    <w:p>
      <w:pPr>
        <w:spacing w:after="20"/>
        <w:ind w:left="432" w:hanging="432"/>
      </w:pPr>
      <w:r>
        <w:rPr>
          <w:b/>
        </w:rPr>
        <w:t>79.</w:t>
        <w:tab/>
        <w:t xml:space="preserve">Q: </w:t>
      </w:r>
      <w:r>
        <w:rPr>
          <w:b w:val="0"/>
          <w:i w:val="0"/>
        </w:rPr>
        <w:t>When was the Q3 2023 royalty report to Ridgeline due?</w:t>
      </w:r>
    </w:p>
    <w:p>
      <w:pPr>
        <w:spacing w:after="60"/>
        <w:ind w:left="792"/>
      </w:pPr>
      <w:r>
        <w:rPr>
          <w:i/>
          <w:sz w:val="20"/>
        </w:rPr>
        <w:t xml:space="preserve">Expected: </w:t>
      </w:r>
      <w:r>
        <w:rPr>
          <w:sz w:val="20"/>
        </w:rPr>
        <w:t>Within 30 days of quarter-end — October 30, 2023.</w:t>
      </w:r>
      <w:r>
        <w:rPr>
          <w:color w:val="444488"/>
          <w:sz w:val="20"/>
        </w:rPr>
        <w:t xml:space="preserve">  [Dep. 157; EDA § 5.2]</w:t>
      </w:r>
    </w:p>
    <w:p>
      <w:pPr>
        <w:spacing w:after="20"/>
        <w:ind w:left="432" w:hanging="432"/>
      </w:pPr>
      <w:r>
        <w:rPr>
          <w:b/>
        </w:rPr>
        <w:t>80.</w:t>
        <w:tab/>
        <w:t xml:space="preserve">Q: </w:t>
      </w:r>
      <w:r>
        <w:rPr>
          <w:b w:val="0"/>
          <w:i w:val="0"/>
        </w:rPr>
        <w:t>In your five-plus years, had a quarterly Ridgeline royalty report ever been late?</w:t>
      </w:r>
    </w:p>
    <w:p>
      <w:pPr>
        <w:spacing w:after="60"/>
        <w:ind w:left="792"/>
      </w:pPr>
      <w:r>
        <w:rPr>
          <w:i/>
          <w:sz w:val="20"/>
        </w:rPr>
        <w:t xml:space="preserve">Expected: </w:t>
      </w:r>
      <w:r>
        <w:rPr>
          <w:sz w:val="20"/>
        </w:rPr>
        <w:t>Never; always on time.</w:t>
      </w:r>
      <w:r>
        <w:rPr>
          <w:color w:val="444488"/>
          <w:sz w:val="20"/>
        </w:rPr>
        <w:t xml:space="preserve">  [Dep. 163]</w:t>
      </w:r>
    </w:p>
    <w:p>
      <w:pPr>
        <w:spacing w:after="20"/>
        <w:ind w:left="432" w:hanging="432"/>
      </w:pPr>
      <w:r>
        <w:rPr>
          <w:b/>
        </w:rPr>
        <w:t>81.</w:t>
        <w:tab/>
        <w:t xml:space="preserve">Q: </w:t>
      </w:r>
      <w:r>
        <w:rPr>
          <w:b w:val="0"/>
          <w:i w:val="0"/>
        </w:rPr>
        <w:t>[Only if foundation laid and ruling obtained — see Part III.3.] Who is Karen Cho? What was her role in preparing the royalty report? On October 10, did she tell you anything about the Q3 report?</w:t>
      </w:r>
    </w:p>
    <w:p>
      <w:pPr>
        <w:spacing w:after="60"/>
        <w:ind w:left="792"/>
      </w:pPr>
      <w:r>
        <w:rPr>
          <w:i/>
          <w:sz w:val="20"/>
        </w:rPr>
        <w:t xml:space="preserve">Expected: </w:t>
      </w:r>
      <w:r>
        <w:rPr>
          <w:sz w:val="20"/>
        </w:rPr>
        <w:t>Accounting department; Cho said Trimble instructed accounting to hold the Q3 report.</w:t>
      </w:r>
      <w:r>
        <w:rPr>
          <w:color w:val="444488"/>
          <w:sz w:val="20"/>
        </w:rPr>
        <w:t xml:space="preserve">  [Dep. 156; FRE 801(d)(2)(D)/805]</w:t>
      </w:r>
    </w:p>
    <w:p>
      <w:pPr>
        <w:spacing w:after="20"/>
        <w:ind w:left="432" w:hanging="432"/>
      </w:pPr>
      <w:r>
        <w:rPr>
          <w:b/>
        </w:rPr>
        <w:t>82.</w:t>
        <w:tab/>
        <w:t xml:space="preserve">Q: </w:t>
      </w:r>
      <w:r>
        <w:rPr>
          <w:b w:val="0"/>
          <w:i w:val="0"/>
        </w:rPr>
        <w:t>Did anyone ever explain to you why the Q3 report was late?</w:t>
      </w:r>
    </w:p>
    <w:p>
      <w:pPr>
        <w:spacing w:after="60"/>
        <w:ind w:left="792"/>
      </w:pPr>
      <w:r>
        <w:rPr>
          <w:i/>
          <w:sz w:val="20"/>
        </w:rPr>
        <w:t xml:space="preserve">Expected: </w:t>
      </w:r>
      <w:r>
        <w:rPr>
          <w:sz w:val="20"/>
        </w:rPr>
        <w:t>No.</w:t>
      </w:r>
      <w:r>
        <w:rPr>
          <w:color w:val="444488"/>
          <w:sz w:val="20"/>
        </w:rPr>
        <w:t xml:space="preserve">  [Dep. 165]</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sz w:val="20"/>
              </w:rPr>
              <w:t xml:space="preserve">NOTE: </w:t>
            </w:r>
            <w:r>
              <w:rPr>
                <w:b w:val="0"/>
                <w:i w:val="0"/>
                <w:sz w:val="20"/>
              </w:rPr>
              <w:t>The Nov. 17 filing date should come in through the filing records or Kowalski (Kowalski § VIII). Do not ask Elliston what inference he drew from the timing (objection sustained-risk; Dep. 164).</w:t>
            </w:r>
          </w:p>
        </w:tc>
      </w:tr>
    </w:tbl>
    <w:p>
      <w:pPr>
        <w:spacing w:after="0"/>
      </w:pPr>
    </w:p>
    <w:p>
      <w:pPr>
        <w:spacing w:after="40"/>
      </w:pPr>
      <w:r>
        <w:rPr>
          <w:b/>
          <w:i w:val="0"/>
        </w:rPr>
        <w:t>7D. November 15, 2023 formal escalation and December 8 Greer memo (CASCADE_EMAIL_003847–3849)</w:t>
      </w:r>
    </w:p>
    <w:p>
      <w:pPr>
        <w:spacing w:after="20"/>
        <w:ind w:left="432" w:hanging="432"/>
      </w:pPr>
      <w:r>
        <w:rPr>
          <w:b/>
        </w:rPr>
        <w:t>83.</w:t>
        <w:tab/>
        <w:t xml:space="preserve">Q: </w:t>
      </w:r>
      <w:r>
        <w:rPr>
          <w:b w:val="0"/>
          <w:i w:val="0"/>
        </w:rPr>
        <w:t>Seven weeks after your first email, what did you do?</w:t>
      </w:r>
    </w:p>
    <w:p>
      <w:pPr>
        <w:spacing w:after="60"/>
        <w:ind w:left="792"/>
      </w:pPr>
      <w:r>
        <w:rPr>
          <w:i/>
          <w:sz w:val="20"/>
        </w:rPr>
        <w:t xml:space="preserve">Expected: </w:t>
      </w:r>
      <w:r>
        <w:rPr>
          <w:sz w:val="20"/>
        </w:rPr>
        <w:t>Formal escalation to Voss, Trimble and GC Greer.</w:t>
      </w:r>
      <w:r>
        <w:rPr>
          <w:color w:val="444488"/>
          <w:sz w:val="20"/>
        </w:rPr>
        <w:t xml:space="preserve">  [Dep. 168]</w:t>
      </w:r>
    </w:p>
    <w:p>
      <w:pPr>
        <w:spacing w:after="20"/>
        <w:ind w:left="432" w:hanging="432"/>
      </w:pPr>
      <w:r>
        <w:rPr>
          <w:b/>
        </w:rPr>
        <w:t>84.</w:t>
        <w:tab/>
        <w:t xml:space="preserve">Q: </w:t>
      </w:r>
      <w:r>
        <w:rPr>
          <w:b w:val="0"/>
          <w:i w:val="0"/>
        </w:rPr>
        <w:t>Why include the General Counsel?</w:t>
      </w:r>
    </w:p>
    <w:p>
      <w:pPr>
        <w:spacing w:after="60"/>
        <w:ind w:left="792"/>
      </w:pPr>
      <w:r>
        <w:rPr>
          <w:i/>
          <w:sz w:val="20"/>
        </w:rPr>
        <w:t xml:space="preserve">Expected: </w:t>
      </w:r>
      <w:r>
        <w:rPr>
          <w:sz w:val="20"/>
        </w:rPr>
        <w:t>Wanted legal counsel involved; no substantive response to prior emails.</w:t>
      </w:r>
      <w:r>
        <w:rPr>
          <w:color w:val="444488"/>
          <w:sz w:val="20"/>
        </w:rPr>
        <w:t xml:space="preserve">  [Dep. 170]</w:t>
      </w:r>
    </w:p>
    <w:p>
      <w:pPr>
        <w:spacing w:after="20"/>
        <w:ind w:left="432" w:hanging="432"/>
      </w:pPr>
      <w:r>
        <w:rPr>
          <w:b/>
        </w:rPr>
        <w:t>85.</w:t>
        <w:tab/>
        <w:t xml:space="preserve">Q: </w:t>
      </w:r>
      <w:r>
        <w:rPr>
          <w:b w:val="0"/>
          <w:i w:val="0"/>
        </w:rPr>
        <w:t>[PX-__.] Is this the email? What was the subject line?</w:t>
      </w:r>
    </w:p>
    <w:p>
      <w:pPr>
        <w:spacing w:after="60"/>
        <w:ind w:left="792"/>
      </w:pPr>
      <w:r>
        <w:rPr>
          <w:i/>
          <w:sz w:val="20"/>
        </w:rPr>
        <w:t xml:space="preserve">Expected: </w:t>
      </w:r>
      <w:r>
        <w:rPr>
          <w:sz w:val="20"/>
        </w:rPr>
        <w:t>“Formal Escalation — Potential Contract Violations and Reporting Irregularities.”</w:t>
      </w:r>
    </w:p>
    <w:p>
      <w:pPr>
        <w:spacing w:after="80"/>
      </w:pPr>
      <w:r>
        <w:rPr>
          <w:b/>
          <w:i w:val="0"/>
        </w:rPr>
        <w:t>Offer the complete chain,</w:t>
      </w:r>
      <w:r>
        <w:rPr>
          <w:b w:val="0"/>
          <w:i w:val="0"/>
        </w:rPr>
        <w:t xml:space="preserve"> including Greer’s Dec. 8 cover email and attached memo (FRE 106).</w:t>
      </w:r>
    </w:p>
    <w:p>
      <w:pPr>
        <w:spacing w:after="20"/>
        <w:ind w:left="432" w:hanging="432"/>
      </w:pPr>
      <w:r>
        <w:rPr>
          <w:b/>
        </w:rPr>
        <w:t>86.</w:t>
        <w:tab/>
        <w:t xml:space="preserve">Q: </w:t>
      </w:r>
      <w:r>
        <w:rPr>
          <w:b w:val="0"/>
          <w:i w:val="0"/>
        </w:rPr>
        <w:t>What three steps did you ask Cascade to take?</w:t>
      </w:r>
    </w:p>
    <w:p>
      <w:pPr>
        <w:spacing w:after="60"/>
        <w:ind w:left="792"/>
      </w:pPr>
      <w:r>
        <w:rPr>
          <w:i/>
          <w:sz w:val="20"/>
        </w:rPr>
        <w:t xml:space="preserve">Expected: </w:t>
      </w:r>
      <w:r>
        <w:rPr>
          <w:sz w:val="20"/>
        </w:rPr>
        <w:t>(a) Self-report to Ridgeline; (b) correct royalty reports for all affected periods; (c) implement controls.</w:t>
      </w:r>
    </w:p>
    <w:p>
      <w:pPr>
        <w:spacing w:after="20"/>
        <w:ind w:left="432" w:hanging="432"/>
      </w:pPr>
      <w:r>
        <w:rPr>
          <w:b/>
        </w:rPr>
        <w:t>87.</w:t>
        <w:tab/>
        <w:t xml:space="preserve">Q: </w:t>
      </w:r>
      <w:r>
        <w:rPr>
          <w:b w:val="0"/>
          <w:i w:val="0"/>
        </w:rPr>
        <w:t>Please read the second-to-last paragraph.</w:t>
      </w:r>
    </w:p>
    <w:p>
      <w:pPr>
        <w:spacing w:after="60"/>
        <w:ind w:left="792"/>
      </w:pPr>
      <w:r>
        <w:rPr>
          <w:i/>
          <w:sz w:val="20"/>
        </w:rPr>
        <w:t xml:space="preserve">Expected: </w:t>
      </w:r>
      <w:r>
        <w:rPr>
          <w:sz w:val="20"/>
        </w:rPr>
        <w:t>“I am raising this through the chain of command in good faith ... I have no interest other than ensuring that Cascade operates in compliance ....”</w:t>
      </w:r>
    </w:p>
    <w:p>
      <w:pPr>
        <w:spacing w:after="20"/>
        <w:ind w:left="432" w:hanging="432"/>
      </w:pPr>
      <w:r>
        <w:rPr>
          <w:b/>
        </w:rPr>
        <w:t>88.</w:t>
        <w:tab/>
        <w:t xml:space="preserve">Q: </w:t>
      </w:r>
      <w:r>
        <w:rPr>
          <w:b w:val="0"/>
          <w:i w:val="0"/>
        </w:rPr>
        <w:t>Did any of the three recipients respond to you in the days after November 15?</w:t>
      </w:r>
    </w:p>
    <w:p>
      <w:pPr>
        <w:spacing w:after="60"/>
        <w:ind w:left="792"/>
      </w:pPr>
      <w:r>
        <w:rPr>
          <w:i/>
          <w:sz w:val="20"/>
        </w:rPr>
        <w:t xml:space="preserve">Expected: </w:t>
      </w:r>
      <w:r>
        <w:rPr>
          <w:sz w:val="20"/>
        </w:rPr>
        <w:t>No.</w:t>
      </w:r>
      <w:r>
        <w:rPr>
          <w:color w:val="444488"/>
          <w:sz w:val="20"/>
        </w:rPr>
        <w:t xml:space="preserve">  [Dep. 171]</w:t>
      </w:r>
    </w:p>
    <w:p>
      <w:pPr>
        <w:spacing w:after="20"/>
        <w:ind w:left="432" w:hanging="432"/>
      </w:pPr>
      <w:r>
        <w:rPr>
          <w:b/>
        </w:rPr>
        <w:t>89.</w:t>
        <w:tab/>
        <w:t xml:space="preserve">Q: </w:t>
      </w:r>
      <w:r>
        <w:rPr>
          <w:b w:val="0"/>
          <w:i w:val="0"/>
        </w:rPr>
        <w:t>Who was Nathan Greer at Cascade? What did you receive from him on December 8, 2023?</w:t>
      </w:r>
    </w:p>
    <w:p>
      <w:pPr>
        <w:spacing w:after="60"/>
        <w:ind w:left="792"/>
      </w:pPr>
      <w:r>
        <w:rPr>
          <w:i/>
          <w:sz w:val="20"/>
        </w:rPr>
        <w:t xml:space="preserve">Expected: </w:t>
      </w:r>
      <w:r>
        <w:rPr>
          <w:sz w:val="20"/>
        </w:rPr>
        <w:t>General Counsel; email with attached memorandum.</w:t>
      </w:r>
      <w:r>
        <w:rPr>
          <w:color w:val="444488"/>
          <w:sz w:val="20"/>
        </w:rPr>
        <w:t xml:space="preserve">  [Dep. 174]</w:t>
      </w:r>
    </w:p>
    <w:p>
      <w:pPr>
        <w:spacing w:after="20"/>
        <w:ind w:left="432" w:hanging="432"/>
      </w:pPr>
      <w:r>
        <w:rPr>
          <w:b/>
        </w:rPr>
        <w:t>90.</w:t>
        <w:tab/>
        <w:t xml:space="preserve">Q: </w:t>
      </w:r>
      <w:r>
        <w:rPr>
          <w:b w:val="0"/>
          <w:i w:val="0"/>
        </w:rPr>
        <w:t>Please read the second paragraph and the direction in the third.</w:t>
      </w:r>
    </w:p>
    <w:p>
      <w:pPr>
        <w:spacing w:after="60"/>
        <w:ind w:left="792"/>
      </w:pPr>
      <w:r>
        <w:rPr>
          <w:i/>
          <w:sz w:val="20"/>
        </w:rPr>
        <w:t xml:space="preserve">Expected: </w:t>
      </w:r>
      <w:r>
        <w:rPr>
          <w:sz w:val="20"/>
        </w:rPr>
        <w:t>“reviewed and resolved by the appropriate personnel ...”; “I am directing you to refrain from further inquiries.”</w:t>
      </w:r>
    </w:p>
    <w:p>
      <w:pPr>
        <w:spacing w:after="20"/>
        <w:ind w:left="432" w:hanging="432"/>
      </w:pPr>
      <w:r>
        <w:rPr>
          <w:b/>
        </w:rPr>
        <w:t>91.</w:t>
        <w:tab/>
        <w:t xml:space="preserve">Q: </w:t>
      </w:r>
      <w:r>
        <w:rPr>
          <w:b w:val="0"/>
          <w:i w:val="0"/>
        </w:rPr>
        <w:t>What does the fourth paragraph say about reviewing records?</w:t>
      </w:r>
    </w:p>
    <w:p>
      <w:pPr>
        <w:spacing w:after="60"/>
        <w:ind w:left="792"/>
      </w:pPr>
      <w:r>
        <w:rPr>
          <w:i/>
          <w:sz w:val="20"/>
        </w:rPr>
        <w:t xml:space="preserve">Expected: </w:t>
      </w:r>
      <w:r>
        <w:rPr>
          <w:sz w:val="20"/>
        </w:rPr>
        <w:t>Warns that “unauthorized review of financial records ... could constitute a violation” of the Acceptable Use Policy; “I trust that further reminders on this point will not be necessary.”</w:t>
      </w:r>
    </w:p>
    <w:p>
      <w:pPr>
        <w:spacing w:after="20"/>
        <w:ind w:left="432" w:hanging="432"/>
      </w:pPr>
      <w:r>
        <w:rPr>
          <w:b/>
        </w:rPr>
        <w:t>92.</w:t>
        <w:tab/>
        <w:t xml:space="preserve">Q: </w:t>
      </w:r>
      <w:r>
        <w:rPr>
          <w:b w:val="0"/>
          <w:i w:val="0"/>
        </w:rPr>
        <w:t>Did the memo describe any investigation, any correction, or any notice to Ridgeline?</w:t>
      </w:r>
    </w:p>
    <w:p>
      <w:pPr>
        <w:spacing w:after="60"/>
        <w:ind w:left="792"/>
      </w:pPr>
      <w:r>
        <w:rPr>
          <w:i/>
          <w:sz w:val="20"/>
        </w:rPr>
        <w:t xml:space="preserve">Expected: </w:t>
      </w:r>
      <w:r>
        <w:rPr>
          <w:sz w:val="20"/>
        </w:rPr>
        <w:t>No.</w:t>
      </w:r>
      <w:r>
        <w:rPr>
          <w:color w:val="444488"/>
          <w:sz w:val="20"/>
        </w:rPr>
        <w:t xml:space="preserve">  [Dep. 175]</w:t>
      </w:r>
    </w:p>
    <w:p>
      <w:pPr>
        <w:spacing w:after="20"/>
        <w:ind w:left="432" w:hanging="432"/>
      </w:pPr>
      <w:r>
        <w:rPr>
          <w:b/>
        </w:rPr>
        <w:t>93.</w:t>
        <w:tab/>
        <w:t xml:space="preserve">Q: </w:t>
      </w:r>
      <w:r>
        <w:rPr>
          <w:b w:val="0"/>
          <w:i w:val="0"/>
        </w:rPr>
        <w:t>What did you do after receiving it? Why?</w:t>
      </w:r>
    </w:p>
    <w:p>
      <w:pPr>
        <w:spacing w:after="60"/>
        <w:ind w:left="792"/>
      </w:pPr>
      <w:r>
        <w:rPr>
          <w:i/>
          <w:sz w:val="20"/>
        </w:rPr>
        <w:t xml:space="preserve">Expected: </w:t>
      </w:r>
      <w:r>
        <w:rPr>
          <w:sz w:val="20"/>
        </w:rPr>
        <w:t>Stopped sending emails; he had gone to the CEO, CFO, and GC and been told to stop — no one left to go to.</w:t>
      </w:r>
      <w:r>
        <w:rPr>
          <w:color w:val="444488"/>
          <w:sz w:val="20"/>
        </w:rPr>
        <w:t xml:space="preserve">  [Dep. 176, 180]</w:t>
      </w:r>
    </w:p>
    <w:p>
      <w:pPr>
        <w:spacing w:after="20"/>
        <w:ind w:left="432" w:hanging="432"/>
      </w:pPr>
      <w:r>
        <w:rPr>
          <w:b/>
        </w:rPr>
        <w:t>94.</w:t>
        <w:tab/>
        <w:t xml:space="preserve">Q: </w:t>
      </w:r>
      <w:r>
        <w:rPr>
          <w:b w:val="0"/>
          <w:i w:val="0"/>
        </w:rPr>
        <w:t>Did anyone at Cascade ever tell you the problem had been corrected, or that Ridgeline had been told?</w:t>
      </w:r>
    </w:p>
    <w:p>
      <w:pPr>
        <w:spacing w:after="60"/>
        <w:ind w:left="792"/>
      </w:pPr>
      <w:r>
        <w:rPr>
          <w:i/>
          <w:sz w:val="20"/>
        </w:rPr>
        <w:t xml:space="preserve">Expected: </w:t>
      </w:r>
      <w:r>
        <w:rPr>
          <w:sz w:val="20"/>
        </w:rPr>
        <w:t>No.</w:t>
      </w:r>
      <w:r>
        <w:rPr>
          <w:color w:val="444488"/>
          <w:sz w:val="20"/>
        </w:rPr>
        <w:t xml:space="preserve">  [Dep. 177]</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sz w:val="20"/>
              </w:rPr>
              <w:t xml:space="preserve">NOTE: </w:t>
            </w:r>
            <w:r>
              <w:rPr>
                <w:b w:val="0"/>
                <w:i w:val="0"/>
                <w:sz w:val="20"/>
              </w:rPr>
              <w:t>Do not ask Elliston whether the transactions “violated § 7.3” as a present opinion. That is a legal conclusion, and the jury already has his contemporaneous emails. If needed: EDA § 7.3(e) required Cascade to notify Ridgeline promptly — argue this in closing, not through him.</w:t>
            </w:r>
          </w:p>
        </w:tc>
      </w:tr>
    </w:tbl>
    <w:p>
      <w:pPr>
        <w:spacing w:after="0"/>
      </w:pPr>
    </w:p>
    <w:p>
      <w:pPr>
        <w:pStyle w:val="Heading2"/>
      </w:pPr>
      <w:r>
        <w:t>Chapter 8 — Why He Did Not Go Outside the Company (≈2 min.)</w:t>
      </w:r>
    </w:p>
    <w:p>
      <w:pPr>
        <w:spacing w:after="20"/>
        <w:ind w:left="432" w:hanging="432"/>
      </w:pPr>
      <w:r>
        <w:rPr>
          <w:b/>
        </w:rPr>
        <w:t>95.</w:t>
        <w:tab/>
        <w:t xml:space="preserve">Q: </w:t>
      </w:r>
      <w:r>
        <w:rPr>
          <w:b w:val="0"/>
          <w:i w:val="0"/>
        </w:rPr>
        <w:t>Did you consider contacting Ridgeline directly while you were at Cascade? Why didn’t you?</w:t>
      </w:r>
    </w:p>
    <w:p>
      <w:pPr>
        <w:spacing w:after="60"/>
        <w:ind w:left="792"/>
      </w:pPr>
      <w:r>
        <w:rPr>
          <w:i/>
          <w:sz w:val="20"/>
        </w:rPr>
        <w:t xml:space="preserve">Expected: </w:t>
      </w:r>
      <w:r>
        <w:rPr>
          <w:sz w:val="20"/>
        </w:rPr>
        <w:t>Considered it; believed he owed his employer a chance to address it internally first through the chain of command.</w:t>
      </w:r>
      <w:r>
        <w:rPr>
          <w:color w:val="444488"/>
          <w:sz w:val="20"/>
        </w:rPr>
        <w:t xml:space="preserve">  [Dep. 179]</w:t>
      </w:r>
    </w:p>
    <w:p>
      <w:pPr>
        <w:pStyle w:val="Heading2"/>
      </w:pPr>
      <w:r>
        <w:t>Chapter 9 — The USB Drive (Inoculation) (≈4 min.)</w:t>
      </w:r>
    </w:p>
    <w:p>
      <w:pPr>
        <w:spacing w:after="80"/>
      </w:pPr>
      <w:r>
        <w:rPr>
          <w:b w:val="0"/>
          <w:i/>
        </w:rPr>
        <w:t>Goal: Own it. Facts, reasons, timing. Short and calm. Order § X.</w:t>
      </w:r>
    </w:p>
    <w:p>
      <w:pPr>
        <w:spacing w:after="20"/>
        <w:ind w:left="432" w:hanging="432"/>
      </w:pPr>
      <w:r>
        <w:rPr>
          <w:b/>
        </w:rPr>
        <w:t>96.</w:t>
        <w:tab/>
        <w:t xml:space="preserve">Q: </w:t>
      </w:r>
      <w:r>
        <w:rPr>
          <w:b w:val="0"/>
          <w:i w:val="0"/>
        </w:rPr>
        <w:t>On November 20, 2023, did you copy any documents to a personal USB drive?</w:t>
      </w:r>
    </w:p>
    <w:p>
      <w:pPr>
        <w:spacing w:after="60"/>
        <w:ind w:left="792"/>
      </w:pPr>
      <w:r>
        <w:rPr>
          <w:i/>
          <w:sz w:val="20"/>
        </w:rPr>
        <w:t xml:space="preserve">Expected: </w:t>
      </w:r>
      <w:r>
        <w:rPr>
          <w:sz w:val="20"/>
        </w:rPr>
        <w:t>Yes.</w:t>
      </w:r>
      <w:r>
        <w:rPr>
          <w:color w:val="444488"/>
          <w:sz w:val="20"/>
        </w:rPr>
        <w:t xml:space="preserve">  [Dep. 145]</w:t>
      </w:r>
    </w:p>
    <w:p>
      <w:pPr>
        <w:spacing w:after="20"/>
        <w:ind w:left="432" w:hanging="432"/>
      </w:pPr>
      <w:r>
        <w:rPr>
          <w:b/>
        </w:rPr>
        <w:t>97.</w:t>
        <w:tab/>
        <w:t xml:space="preserve">Q: </w:t>
      </w:r>
      <w:r>
        <w:rPr>
          <w:b w:val="0"/>
          <w:i w:val="0"/>
        </w:rPr>
        <w:t>What did you copy — and nothing else?</w:t>
      </w:r>
    </w:p>
    <w:p>
      <w:pPr>
        <w:spacing w:after="60"/>
        <w:ind w:left="792"/>
      </w:pPr>
      <w:r>
        <w:rPr>
          <w:i/>
          <w:sz w:val="20"/>
        </w:rPr>
        <w:t xml:space="preserve">Expected: </w:t>
      </w:r>
      <w:r>
        <w:rPr>
          <w:sz w:val="20"/>
        </w:rPr>
        <w:t>His own emails about the discrepancies and the spreadsheet he created (and related SAP screenshots). Nothing else.</w:t>
      </w:r>
      <w:r>
        <w:rPr>
          <w:color w:val="444488"/>
          <w:sz w:val="20"/>
        </w:rPr>
        <w:t xml:space="preserve">  [Dep. 146, 150, 135]</w:t>
      </w:r>
    </w:p>
    <w:p>
      <w:pPr>
        <w:spacing w:after="20"/>
        <w:ind w:left="432" w:hanging="432"/>
      </w:pPr>
      <w:r>
        <w:rPr>
          <w:b/>
        </w:rPr>
        <w:t>98.</w:t>
        <w:tab/>
        <w:t xml:space="preserve">Q: </w:t>
      </w:r>
      <w:r>
        <w:rPr>
          <w:b w:val="0"/>
          <w:i w:val="0"/>
        </w:rPr>
        <w:t>Did you ask anyone’s permission? Were you aware of Cascade’s data-security policy?</w:t>
      </w:r>
    </w:p>
    <w:p>
      <w:pPr>
        <w:spacing w:after="60"/>
        <w:ind w:left="792"/>
      </w:pPr>
      <w:r>
        <w:rPr>
          <w:i/>
          <w:sz w:val="20"/>
        </w:rPr>
        <w:t xml:space="preserve">Expected: </w:t>
      </w:r>
      <w:r>
        <w:rPr>
          <w:sz w:val="20"/>
        </w:rPr>
        <w:t>No; aware there was a policy.</w:t>
      </w:r>
      <w:r>
        <w:rPr>
          <w:color w:val="444488"/>
          <w:sz w:val="20"/>
        </w:rPr>
        <w:t xml:space="preserve">  [Dep. 146–147, 152]</w:t>
      </w:r>
    </w:p>
    <w:p>
      <w:pPr>
        <w:spacing w:after="20"/>
        <w:ind w:left="432" w:hanging="432"/>
      </w:pPr>
      <w:r>
        <w:rPr>
          <w:b/>
        </w:rPr>
        <w:t>99.</w:t>
        <w:tab/>
        <w:t xml:space="preserve">Q: </w:t>
      </w:r>
      <w:r>
        <w:rPr>
          <w:b w:val="0"/>
          <w:i w:val="0"/>
        </w:rPr>
        <w:t>Why did you do it?</w:t>
      </w:r>
    </w:p>
    <w:p>
      <w:pPr>
        <w:spacing w:after="60"/>
        <w:ind w:left="792"/>
      </w:pPr>
      <w:r>
        <w:rPr>
          <w:i/>
          <w:sz w:val="20"/>
        </w:rPr>
        <w:t xml:space="preserve">Expected: </w:t>
      </w:r>
      <w:r>
        <w:rPr>
          <w:sz w:val="20"/>
        </w:rPr>
        <w:t>Worried evidence would be suppressed or destroyed; he had escalated to the CEO, CFO and GC five days earlier with no response.</w:t>
      </w:r>
      <w:r>
        <w:rPr>
          <w:color w:val="444488"/>
          <w:sz w:val="20"/>
        </w:rPr>
        <w:t xml:space="preserve">  [Dep. 147–149]</w:t>
      </w:r>
    </w:p>
    <w:p>
      <w:pPr>
        <w:spacing w:after="20"/>
        <w:ind w:left="432" w:hanging="432"/>
      </w:pPr>
      <w:r>
        <w:rPr>
          <w:b/>
        </w:rPr>
        <w:t>100.</w:t>
        <w:tab/>
        <w:t xml:space="preserve">Q: </w:t>
      </w:r>
      <w:r>
        <w:rPr>
          <w:b w:val="0"/>
          <w:i w:val="0"/>
        </w:rPr>
        <w:t>As of November 20, had anyone responded to your November 15 email? Had anyone taken corrective action? Had Ridgeline been told?</w:t>
      </w:r>
    </w:p>
    <w:p>
      <w:pPr>
        <w:spacing w:after="60"/>
        <w:ind w:left="792"/>
      </w:pPr>
      <w:r>
        <w:rPr>
          <w:i/>
          <w:sz w:val="20"/>
        </w:rPr>
        <w:t xml:space="preserve">Expected: </w:t>
      </w:r>
      <w:r>
        <w:rPr>
          <w:sz w:val="20"/>
        </w:rPr>
        <w:t>No / Not to his knowledge / Not to his knowledge.</w:t>
      </w:r>
      <w:r>
        <w:rPr>
          <w:color w:val="444488"/>
          <w:sz w:val="20"/>
        </w:rPr>
        <w:t xml:space="preserve">  [Dep. 149]</w:t>
      </w:r>
    </w:p>
    <w:p>
      <w:pPr>
        <w:spacing w:after="20"/>
        <w:ind w:left="432" w:hanging="432"/>
      </w:pPr>
      <w:r>
        <w:rPr>
          <w:b/>
        </w:rPr>
        <w:t>101.</w:t>
        <w:tab/>
        <w:t xml:space="preserve">Q: </w:t>
      </w:r>
      <w:r>
        <w:rPr>
          <w:b w:val="0"/>
          <w:i w:val="0"/>
        </w:rPr>
        <w:t>Were you planning to leave Cascade at the time?</w:t>
      </w:r>
    </w:p>
    <w:p>
      <w:pPr>
        <w:spacing w:after="60"/>
        <w:ind w:left="792"/>
      </w:pPr>
      <w:r>
        <w:rPr>
          <w:i/>
          <w:sz w:val="20"/>
        </w:rPr>
        <w:t xml:space="preserve">Expected: </w:t>
      </w:r>
      <w:r>
        <w:rPr>
          <w:sz w:val="20"/>
        </w:rPr>
        <w:t>No.</w:t>
      </w:r>
      <w:r>
        <w:rPr>
          <w:color w:val="444488"/>
          <w:sz w:val="20"/>
        </w:rPr>
        <w:t xml:space="preserve">  [Dep. 148]</w:t>
      </w:r>
    </w:p>
    <w:p>
      <w:pPr>
        <w:spacing w:after="20"/>
        <w:ind w:left="432" w:hanging="432"/>
      </w:pPr>
      <w:r>
        <w:rPr>
          <w:b/>
        </w:rPr>
        <w:t>102.</w:t>
        <w:tab/>
        <w:t xml:space="preserve">Q: </w:t>
      </w:r>
      <w:r>
        <w:rPr>
          <w:b w:val="0"/>
          <w:i w:val="0"/>
        </w:rPr>
        <w:t>What eventually happened to those files?</w:t>
      </w:r>
    </w:p>
    <w:p>
      <w:pPr>
        <w:spacing w:after="60"/>
        <w:ind w:left="792"/>
      </w:pPr>
      <w:r>
        <w:rPr>
          <w:i/>
          <w:sz w:val="20"/>
        </w:rPr>
        <w:t xml:space="preserve">Expected: </w:t>
      </w:r>
      <w:r>
        <w:rPr>
          <w:sz w:val="20"/>
        </w:rPr>
        <w:t>Provided copies to Ridgeline’s counsel.</w:t>
      </w:r>
      <w:r>
        <w:rPr>
          <w:color w:val="444488"/>
          <w:sz w:val="20"/>
        </w:rPr>
        <w:t xml:space="preserve">  [Dep. 150]</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sz w:val="20"/>
              </w:rPr>
              <w:t xml:space="preserve">NOTE: </w:t>
            </w:r>
            <w:r>
              <w:rPr>
                <w:b w:val="0"/>
                <w:i w:val="0"/>
                <w:sz w:val="20"/>
              </w:rPr>
              <w:t>The Greer memo’s warning about “unauthorized review” came on Dec. 8 — after the copying. Stokes will argue Elliston “did not wait for the internal process.” The answer is in the chronology: no response to three emails over seven weeks.</w:t>
            </w:r>
          </w:p>
        </w:tc>
      </w:tr>
    </w:tbl>
    <w:p>
      <w:pPr>
        <w:spacing w:after="0"/>
      </w:pPr>
    </w:p>
    <w:p>
      <w:pPr>
        <w:pStyle w:val="Heading2"/>
      </w:pPr>
      <w:r>
        <w:t>Chapter 10 — The Commission Dispute (Inoculation) (≈3 min.)</w:t>
      </w:r>
    </w:p>
    <w:p>
      <w:pPr>
        <w:spacing w:after="20"/>
        <w:ind w:left="432" w:hanging="432"/>
      </w:pPr>
      <w:r>
        <w:rPr>
          <w:b/>
        </w:rPr>
        <w:t>103.</w:t>
        <w:tab/>
        <w:t xml:space="preserve">Q: </w:t>
      </w:r>
      <w:r>
        <w:rPr>
          <w:b w:val="0"/>
          <w:i w:val="0"/>
        </w:rPr>
        <w:t>Before September 2023, did you and Ms. Trimble ever disagree about anything?</w:t>
      </w:r>
    </w:p>
    <w:p>
      <w:pPr>
        <w:spacing w:after="60"/>
        <w:ind w:left="792"/>
      </w:pPr>
      <w:r>
        <w:rPr>
          <w:i/>
          <w:sz w:val="20"/>
        </w:rPr>
        <w:t xml:space="preserve">Expected: </w:t>
      </w:r>
      <w:r>
        <w:rPr>
          <w:sz w:val="20"/>
        </w:rPr>
        <w:t>Early 2023: he proposed adjusting regional sales manager commission tiers; she disagreed with his projections; Voss accepted her view; proposal did not proceed.</w:t>
      </w:r>
      <w:r>
        <w:rPr>
          <w:color w:val="444488"/>
          <w:sz w:val="20"/>
        </w:rPr>
        <w:t xml:space="preserve">  [Dep. 189–190]</w:t>
      </w:r>
    </w:p>
    <w:p>
      <w:pPr>
        <w:spacing w:after="20"/>
        <w:ind w:left="432" w:hanging="432"/>
      </w:pPr>
      <w:r>
        <w:rPr>
          <w:b/>
        </w:rPr>
        <w:t>104.</w:t>
        <w:tab/>
        <w:t xml:space="preserve">Q: </w:t>
      </w:r>
      <w:r>
        <w:rPr>
          <w:b w:val="0"/>
          <w:i w:val="0"/>
        </w:rPr>
        <w:t>How would you describe your working relationship with her afterward?</w:t>
      </w:r>
    </w:p>
    <w:p>
      <w:pPr>
        <w:spacing w:after="60"/>
        <w:ind w:left="792"/>
      </w:pPr>
      <w:r>
        <w:rPr>
          <w:i/>
          <w:sz w:val="20"/>
        </w:rPr>
        <w:t xml:space="preserve">Expected: </w:t>
      </w:r>
      <w:r>
        <w:rPr>
          <w:sz w:val="20"/>
        </w:rPr>
        <w:t>At times tense — normal finance/sales friction; disappointed, no grudge.</w:t>
      </w:r>
      <w:r>
        <w:rPr>
          <w:color w:val="444488"/>
          <w:sz w:val="20"/>
        </w:rPr>
        <w:t xml:space="preserve">  [Dep. 190–191]</w:t>
      </w:r>
    </w:p>
    <w:p>
      <w:pPr>
        <w:spacing w:after="20"/>
        <w:ind w:left="432" w:hanging="432"/>
      </w:pPr>
      <w:r>
        <w:rPr>
          <w:b/>
        </w:rPr>
        <w:t>105.</w:t>
        <w:tab/>
        <w:t xml:space="preserve">Q: </w:t>
      </w:r>
      <w:r>
        <w:rPr>
          <w:b w:val="0"/>
          <w:i w:val="0"/>
        </w:rPr>
        <w:t>Did that disagreement have anything to do with your reporting of the shipment gap?</w:t>
      </w:r>
    </w:p>
    <w:p>
      <w:pPr>
        <w:spacing w:after="60"/>
        <w:ind w:left="792"/>
      </w:pPr>
      <w:r>
        <w:rPr>
          <w:i/>
          <w:sz w:val="20"/>
        </w:rPr>
        <w:t xml:space="preserve">Expected: </w:t>
      </w:r>
      <w:r>
        <w:rPr>
          <w:sz w:val="20"/>
        </w:rPr>
        <w:t>No — unrelated; one is compensation, the other is missing inventory and unauthorized resellers.</w:t>
      </w:r>
      <w:r>
        <w:rPr>
          <w:color w:val="444488"/>
          <w:sz w:val="20"/>
        </w:rPr>
        <w:t xml:space="preserve">  [Dep. 191–192]</w:t>
      </w:r>
    </w:p>
    <w:p>
      <w:pPr>
        <w:spacing w:after="20"/>
        <w:ind w:left="432" w:hanging="432"/>
      </w:pPr>
      <w:r>
        <w:rPr>
          <w:b/>
        </w:rPr>
        <w:t>106.</w:t>
        <w:tab/>
        <w:t xml:space="preserve">Q: </w:t>
      </w:r>
      <w:r>
        <w:rPr>
          <w:b w:val="0"/>
          <w:i w:val="0"/>
        </w:rPr>
        <w:t>To whom did you send your first email about the gap?</w:t>
      </w:r>
    </w:p>
    <w:p>
      <w:pPr>
        <w:spacing w:after="60"/>
        <w:ind w:left="792"/>
      </w:pPr>
      <w:r>
        <w:rPr>
          <w:i/>
          <w:sz w:val="20"/>
        </w:rPr>
        <w:t xml:space="preserve">Expected: </w:t>
      </w:r>
      <w:r>
        <w:rPr>
          <w:sz w:val="20"/>
        </w:rPr>
        <w:t>Only Voss.</w:t>
      </w:r>
      <w:r>
        <w:rPr>
          <w:color w:val="444488"/>
          <w:sz w:val="20"/>
        </w:rPr>
        <w:t xml:space="preserve">  [Dep. 195]</w:t>
      </w:r>
    </w:p>
    <w:p>
      <w:pPr>
        <w:pStyle w:val="Heading2"/>
      </w:pPr>
      <w:r>
        <w:t>Chapter 11 — Termination and Severance (≈10 min.)</w:t>
      </w:r>
    </w:p>
    <w:p>
      <w:pPr>
        <w:spacing w:after="80"/>
      </w:pPr>
      <w:r>
        <w:rPr>
          <w:b w:val="0"/>
          <w:i/>
        </w:rPr>
        <w:t>Goal: Consciousness of guilt (Order §§ IV, VIII). Foundation for Voss statement as the Court directed. Avoid “retaliation.”</w:t>
      </w:r>
    </w:p>
    <w:p>
      <w:pPr>
        <w:spacing w:after="20"/>
        <w:ind w:left="432" w:hanging="432"/>
      </w:pPr>
      <w:r>
        <w:rPr>
          <w:b/>
        </w:rPr>
        <w:t>107.</w:t>
        <w:tab/>
        <w:t xml:space="preserve">Q: </w:t>
      </w:r>
      <w:r>
        <w:rPr>
          <w:b w:val="0"/>
          <w:i w:val="0"/>
        </w:rPr>
        <w:t>Between Dec. 8, 2023 and Jan. 12, 2024, were you placed on a performance plan, counseled, or warned about anything?</w:t>
      </w:r>
    </w:p>
    <w:p>
      <w:pPr>
        <w:spacing w:after="60"/>
        <w:ind w:left="792"/>
      </w:pPr>
      <w:r>
        <w:rPr>
          <w:i/>
          <w:sz w:val="20"/>
        </w:rPr>
        <w:t xml:space="preserve">Expected: </w:t>
      </w:r>
      <w:r>
        <w:rPr>
          <w:sz w:val="20"/>
        </w:rPr>
        <w:t>No, no, no.</w:t>
      </w:r>
      <w:r>
        <w:rPr>
          <w:color w:val="444488"/>
          <w:sz w:val="20"/>
        </w:rPr>
        <w:t xml:space="preserve">  [Dep. 99]</w:t>
      </w:r>
    </w:p>
    <w:p>
      <w:pPr>
        <w:spacing w:after="20"/>
        <w:ind w:left="432" w:hanging="432"/>
      </w:pPr>
      <w:r>
        <w:rPr>
          <w:b/>
        </w:rPr>
        <w:t>108.</w:t>
        <w:tab/>
        <w:t xml:space="preserve">Q: </w:t>
      </w:r>
      <w:r>
        <w:rPr>
          <w:b w:val="0"/>
          <w:i w:val="0"/>
        </w:rPr>
        <w:t>During that period, did your duties or responsibilities change?</w:t>
      </w:r>
    </w:p>
    <w:p>
      <w:pPr>
        <w:spacing w:after="60"/>
        <w:ind w:left="792"/>
      </w:pPr>
      <w:r>
        <w:rPr>
          <w:i/>
          <w:sz w:val="20"/>
        </w:rPr>
        <w:t xml:space="preserve">Expected: </w:t>
      </w:r>
      <w:r>
        <w:rPr>
          <w:sz w:val="20"/>
        </w:rPr>
        <w:t>No change; no sign his position was under review.</w:t>
      </w:r>
      <w:r>
        <w:rPr>
          <w:color w:val="444488"/>
          <w:sz w:val="20"/>
        </w:rPr>
        <w:t xml:space="preserve">  [Dep. 100–104]</w:t>
      </w:r>
    </w:p>
    <w:p>
      <w:pPr>
        <w:spacing w:after="20"/>
        <w:ind w:left="432" w:hanging="432"/>
      </w:pPr>
      <w:r>
        <w:rPr>
          <w:b/>
        </w:rPr>
        <w:t>109.</w:t>
        <w:tab/>
        <w:t xml:space="preserve">Q: </w:t>
      </w:r>
      <w:r>
        <w:rPr>
          <w:b w:val="0"/>
          <w:i w:val="0"/>
        </w:rPr>
        <w:t>Let’s turn to January 12, 2024. Where were you called, and at what time?</w:t>
      </w:r>
    </w:p>
    <w:p>
      <w:pPr>
        <w:spacing w:after="60"/>
        <w:ind w:left="792"/>
      </w:pPr>
      <w:r>
        <w:rPr>
          <w:i/>
          <w:sz w:val="20"/>
        </w:rPr>
        <w:t xml:space="preserve">Expected: </w:t>
      </w:r>
      <w:r>
        <w:rPr>
          <w:sz w:val="20"/>
        </w:rPr>
        <w:t>Voss’s office, ~10:00 AM.</w:t>
      </w:r>
      <w:r>
        <w:rPr>
          <w:color w:val="444488"/>
          <w:sz w:val="20"/>
        </w:rPr>
        <w:t xml:space="preserve">  [Dep. 105]</w:t>
      </w:r>
    </w:p>
    <w:p>
      <w:pPr>
        <w:spacing w:after="20"/>
        <w:ind w:left="432" w:hanging="432"/>
      </w:pPr>
      <w:r>
        <w:rPr>
          <w:b/>
        </w:rPr>
        <w:t>110.</w:t>
        <w:tab/>
        <w:t xml:space="preserve">Q: </w:t>
      </w:r>
      <w:r>
        <w:rPr>
          <w:b w:val="0"/>
          <w:i w:val="0"/>
        </w:rPr>
        <w:t>Who was present?</w:t>
      </w:r>
    </w:p>
    <w:p>
      <w:pPr>
        <w:spacing w:after="60"/>
        <w:ind w:left="792"/>
      </w:pPr>
      <w:r>
        <w:rPr>
          <w:i/>
          <w:sz w:val="20"/>
        </w:rPr>
        <w:t xml:space="preserve">Expected: </w:t>
      </w:r>
      <w:r>
        <w:rPr>
          <w:sz w:val="20"/>
        </w:rPr>
        <w:t>Derek Voss (CEO) at his desk; Susan Partlow, HR Director.</w:t>
      </w:r>
      <w:r>
        <w:rPr>
          <w:color w:val="444488"/>
          <w:sz w:val="20"/>
        </w:rPr>
        <w:t xml:space="preserve">  [Dep. 105]</w:t>
      </w:r>
    </w:p>
    <w:p>
      <w:pPr>
        <w:spacing w:after="20"/>
        <w:ind w:left="432" w:hanging="432"/>
      </w:pPr>
      <w:r>
        <w:rPr>
          <w:b/>
        </w:rPr>
        <w:t>111.</w:t>
        <w:tab/>
        <w:t xml:space="preserve">Q: </w:t>
      </w:r>
      <w:r>
        <w:rPr>
          <w:b w:val="0"/>
          <w:i w:val="0"/>
        </w:rPr>
        <w:t>What was the purpose of the meeting, as it was explained to you?</w:t>
      </w:r>
    </w:p>
    <w:p>
      <w:pPr>
        <w:spacing w:after="60"/>
        <w:ind w:left="792"/>
      </w:pPr>
      <w:r>
        <w:rPr>
          <w:i/>
          <w:sz w:val="20"/>
        </w:rPr>
        <w:t xml:space="preserve">Expected: </w:t>
      </w:r>
      <w:r>
        <w:rPr>
          <w:sz w:val="20"/>
        </w:rPr>
        <w:t>His position was being eliminated in an organizational restructuring of sales operations.</w:t>
      </w:r>
      <w:r>
        <w:rPr>
          <w:color w:val="444488"/>
          <w:sz w:val="20"/>
        </w:rPr>
        <w:t xml:space="preserve">  [Dep. 105]</w:t>
      </w:r>
    </w:p>
    <w:p>
      <w:pPr>
        <w:spacing w:after="20"/>
        <w:ind w:left="432" w:hanging="432"/>
      </w:pPr>
      <w:r>
        <w:rPr>
          <w:b/>
        </w:rPr>
        <w:t>112.</w:t>
        <w:tab/>
        <w:t xml:space="preserve">Q: </w:t>
      </w:r>
      <w:r>
        <w:rPr>
          <w:b w:val="0"/>
          <w:i w:val="0"/>
        </w:rPr>
        <w:t>What exactly did Mr. Voss say to you?</w:t>
      </w:r>
    </w:p>
    <w:p>
      <w:pPr>
        <w:spacing w:after="60"/>
        <w:ind w:left="792"/>
      </w:pPr>
      <w:r>
        <w:rPr>
          <w:i/>
          <w:sz w:val="20"/>
        </w:rPr>
        <w:t xml:space="preserve">Expected: </w:t>
      </w:r>
      <w:r>
        <w:rPr>
          <w:sz w:val="20"/>
        </w:rPr>
        <w:t>“Marcus, this is a business decision, nothing personal.”</w:t>
      </w:r>
      <w:r>
        <w:rPr>
          <w:color w:val="444488"/>
          <w:sz w:val="20"/>
        </w:rPr>
        <w:t xml:space="preserve">  [Dep. 105; Order § IV]</w:t>
      </w:r>
    </w:p>
    <w:p>
      <w:pPr>
        <w:spacing w:after="20"/>
        <w:ind w:left="432" w:hanging="432"/>
      </w:pPr>
      <w:r>
        <w:rPr>
          <w:b/>
        </w:rPr>
        <w:t>113.</w:t>
        <w:tab/>
        <w:t xml:space="preserve">Q: </w:t>
      </w:r>
      <w:r>
        <w:rPr>
          <w:b w:val="0"/>
          <w:i w:val="0"/>
        </w:rPr>
        <w:t>What happened next?</w:t>
      </w:r>
    </w:p>
    <w:p>
      <w:pPr>
        <w:spacing w:after="60"/>
        <w:ind w:left="792"/>
      </w:pPr>
      <w:r>
        <w:rPr>
          <w:i/>
          <w:sz w:val="20"/>
        </w:rPr>
        <w:t xml:space="preserve">Expected: </w:t>
      </w:r>
      <w:r>
        <w:rPr>
          <w:sz w:val="20"/>
        </w:rPr>
        <w:t>Partlow handed him a folder of separation paperwork.</w:t>
      </w:r>
      <w:r>
        <w:rPr>
          <w:color w:val="444488"/>
          <w:sz w:val="20"/>
        </w:rPr>
        <w:t xml:space="preserve">  [Dep. 105]</w:t>
      </w:r>
    </w:p>
    <w:p>
      <w:pPr>
        <w:spacing w:after="20"/>
        <w:ind w:left="432" w:hanging="432"/>
      </w:pPr>
      <w:r>
        <w:rPr>
          <w:b/>
        </w:rPr>
        <w:t>114.</w:t>
        <w:tab/>
        <w:t xml:space="preserve">Q: </w:t>
      </w:r>
      <w:r>
        <w:rPr>
          <w:b w:val="0"/>
          <w:i w:val="0"/>
        </w:rPr>
        <w:t>Did anyone give you any document, memo, or explanation of what the restructuring involved?</w:t>
      </w:r>
    </w:p>
    <w:p>
      <w:pPr>
        <w:spacing w:after="60"/>
        <w:ind w:left="792"/>
      </w:pPr>
      <w:r>
        <w:rPr>
          <w:i/>
          <w:sz w:val="20"/>
        </w:rPr>
        <w:t xml:space="preserve">Expected: </w:t>
      </w:r>
      <w:r>
        <w:rPr>
          <w:sz w:val="20"/>
        </w:rPr>
        <w:t>No.</w:t>
      </w:r>
      <w:r>
        <w:rPr>
          <w:color w:val="444488"/>
          <w:sz w:val="20"/>
        </w:rPr>
        <w:t xml:space="preserve">  [Dep. 106]</w:t>
      </w:r>
    </w:p>
    <w:p>
      <w:pPr>
        <w:spacing w:after="20"/>
        <w:ind w:left="432" w:hanging="432"/>
      </w:pPr>
      <w:r>
        <w:rPr>
          <w:b/>
        </w:rPr>
        <w:t>115.</w:t>
        <w:tab/>
        <w:t xml:space="preserve">Q: </w:t>
      </w:r>
      <w:r>
        <w:rPr>
          <w:b w:val="0"/>
          <w:i w:val="0"/>
        </w:rPr>
        <w:t>Did anyone mention the discrepancy, MidAmerican, Ridgeline, or royalties?</w:t>
      </w:r>
    </w:p>
    <w:p>
      <w:pPr>
        <w:spacing w:after="60"/>
        <w:ind w:left="792"/>
      </w:pPr>
      <w:r>
        <w:rPr>
          <w:i/>
          <w:sz w:val="20"/>
        </w:rPr>
        <w:t xml:space="preserve">Expected: </w:t>
      </w:r>
      <w:r>
        <w:rPr>
          <w:sz w:val="20"/>
        </w:rPr>
        <w:t>No.</w:t>
      </w:r>
      <w:r>
        <w:rPr>
          <w:color w:val="444488"/>
          <w:sz w:val="20"/>
        </w:rPr>
        <w:t xml:space="preserve">  [Dep. 106]</w:t>
      </w:r>
    </w:p>
    <w:p>
      <w:pPr>
        <w:spacing w:after="20"/>
        <w:ind w:left="432" w:hanging="432"/>
      </w:pPr>
      <w:r>
        <w:rPr>
          <w:b/>
        </w:rPr>
        <w:t>116.</w:t>
        <w:tab/>
        <w:t xml:space="preserve">Q: </w:t>
      </w:r>
      <w:r>
        <w:rPr>
          <w:b w:val="0"/>
          <w:i w:val="0"/>
        </w:rPr>
        <w:t>How many people were in the sales operations department on Jan. 12? As of the day you left, was anyone else in the department terminated?</w:t>
      </w:r>
    </w:p>
    <w:p>
      <w:pPr>
        <w:spacing w:after="60"/>
        <w:ind w:left="792"/>
      </w:pPr>
      <w:r>
        <w:rPr>
          <w:i/>
          <w:sz w:val="20"/>
        </w:rPr>
        <w:t xml:space="preserve">Expected: </w:t>
      </w:r>
      <w:r>
        <w:rPr>
          <w:sz w:val="20"/>
        </w:rPr>
        <w:t>23 (him + 22 RSMs); none, to his knowledge.</w:t>
      </w:r>
      <w:r>
        <w:rPr>
          <w:color w:val="444488"/>
          <w:sz w:val="20"/>
        </w:rPr>
        <w:t xml:space="preserve">  [Dep. 107–108]</w:t>
      </w:r>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sz w:val="20"/>
              </w:rPr>
              <w:t xml:space="preserve">NOTE: </w:t>
            </w:r>
            <w:r>
              <w:rPr>
                <w:b w:val="0"/>
                <w:i w:val="0"/>
                <w:sz w:val="20"/>
              </w:rPr>
              <w:t>Prove Hoffman’s Feb. 5, 2024 promotion by stipulation or Cascade witness — not through Elliston (hearsay; Dep. 109). Then argue: 24 days.</w:t>
            </w:r>
          </w:p>
        </w:tc>
      </w:tr>
    </w:tbl>
    <w:p>
      <w:pPr>
        <w:spacing w:after="0"/>
      </w:pPr>
    </w:p>
    <w:p>
      <w:pPr>
        <w:spacing w:after="20"/>
        <w:ind w:left="432" w:hanging="432"/>
      </w:pPr>
      <w:r>
        <w:rPr>
          <w:b/>
        </w:rPr>
        <w:t>117.</w:t>
        <w:tab/>
        <w:t xml:space="preserve">Q: </w:t>
      </w:r>
      <w:r>
        <w:rPr>
          <w:b w:val="0"/>
          <w:i w:val="0"/>
        </w:rPr>
        <w:t>[PX-__ Severance Agreement.] What is this document? When did you receive it and when did you sign it?</w:t>
      </w:r>
    </w:p>
    <w:p>
      <w:pPr>
        <w:spacing w:after="60"/>
        <w:ind w:left="792"/>
      </w:pPr>
      <w:r>
        <w:rPr>
          <w:i/>
          <w:sz w:val="20"/>
        </w:rPr>
        <w:t xml:space="preserve">Expected: </w:t>
      </w:r>
      <w:r>
        <w:rPr>
          <w:sz w:val="20"/>
        </w:rPr>
        <w:t>Severance Agreement and General Release; received Jan. 12; signed Jan. 19, 2024.</w:t>
      </w:r>
      <w:r>
        <w:rPr>
          <w:color w:val="444488"/>
          <w:sz w:val="20"/>
        </w:rPr>
        <w:t xml:space="preserve">  [Dep. 111; Agmt. § 11(b)]</w:t>
      </w:r>
    </w:p>
    <w:p>
      <w:pPr>
        <w:spacing w:after="80"/>
      </w:pPr>
      <w:r>
        <w:rPr>
          <w:b/>
          <w:i w:val="0"/>
        </w:rPr>
        <w:t>Offer for limited purpose; request the Court give the limiting instruction now</w:t>
      </w:r>
      <w:r>
        <w:rPr>
          <w:b w:val="0"/>
          <w:i w:val="0"/>
        </w:rPr>
        <w:t xml:space="preserve"> (Order § VI).</w:t>
      </w:r>
    </w:p>
    <w:p>
      <w:pPr>
        <w:spacing w:after="20"/>
        <w:ind w:left="432" w:hanging="432"/>
      </w:pPr>
      <w:r>
        <w:rPr>
          <w:b/>
        </w:rPr>
        <w:t>118.</w:t>
        <w:tab/>
        <w:t xml:space="preserve">Q: </w:t>
      </w:r>
      <w:r>
        <w:rPr>
          <w:b w:val="0"/>
          <w:i w:val="0"/>
        </w:rPr>
        <w:t>What did the agreement provide?</w:t>
      </w:r>
    </w:p>
    <w:p>
      <w:pPr>
        <w:spacing w:after="60"/>
        <w:ind w:left="792"/>
      </w:pPr>
      <w:r>
        <w:rPr>
          <w:i/>
          <w:sz w:val="20"/>
        </w:rPr>
        <w:t xml:space="preserve">Expected: </w:t>
      </w:r>
      <w:r>
        <w:rPr>
          <w:sz w:val="20"/>
        </w:rPr>
        <w:t>$87,500 — six months of $175,000 base salary — conditioned on general release and non-disparagement.</w:t>
      </w:r>
      <w:r>
        <w:rPr>
          <w:color w:val="444488"/>
          <w:sz w:val="20"/>
        </w:rPr>
        <w:t xml:space="preserve">  [Dep. 111; Agmt. §§ 2(a), 3, 6]</w:t>
      </w:r>
    </w:p>
    <w:p>
      <w:pPr>
        <w:spacing w:after="20"/>
        <w:ind w:left="432" w:hanging="432"/>
      </w:pPr>
      <w:r>
        <w:rPr>
          <w:b/>
        </w:rPr>
        <w:t>119.</w:t>
        <w:tab/>
        <w:t xml:space="preserve">Q: </w:t>
      </w:r>
      <w:r>
        <w:rPr>
          <w:b w:val="0"/>
          <w:i w:val="0"/>
        </w:rPr>
        <w:t>Did you have a lawyer review it? Why did you sign it, and on day 7 of 21?</w:t>
      </w:r>
    </w:p>
    <w:p>
      <w:pPr>
        <w:spacing w:after="60"/>
        <w:ind w:left="792"/>
      </w:pPr>
      <w:r>
        <w:rPr>
          <w:i/>
          <w:sz w:val="20"/>
        </w:rPr>
        <w:t xml:space="preserve">Expected: </w:t>
      </w:r>
      <w:r>
        <w:rPr>
          <w:sz w:val="20"/>
        </w:rPr>
        <w:t>No separate counsel; had just been terminated without warning; needed income; providing for his family.</w:t>
      </w:r>
      <w:r>
        <w:rPr>
          <w:color w:val="444488"/>
          <w:sz w:val="20"/>
        </w:rPr>
        <w:t xml:space="preserve">  [Dep. 112, 227–229]</w:t>
      </w:r>
    </w:p>
    <w:p>
      <w:pPr>
        <w:spacing w:after="20"/>
        <w:ind w:left="432" w:hanging="432"/>
      </w:pPr>
      <w:r>
        <w:rPr>
          <w:b/>
        </w:rPr>
        <w:t>120.</w:t>
        <w:tab/>
        <w:t xml:space="preserve">Q: </w:t>
      </w:r>
      <w:r>
        <w:rPr>
          <w:b w:val="0"/>
          <w:i w:val="0"/>
        </w:rPr>
        <w:t>By signing it, did you agree that the restructuring explanation was true?</w:t>
      </w:r>
    </w:p>
    <w:p>
      <w:pPr>
        <w:spacing w:after="60"/>
        <w:ind w:left="792"/>
      </w:pPr>
      <w:r>
        <w:rPr>
          <w:i/>
          <w:sz w:val="20"/>
        </w:rPr>
        <w:t xml:space="preserve">Expected: </w:t>
      </w:r>
      <w:r>
        <w:rPr>
          <w:sz w:val="20"/>
        </w:rPr>
        <w:t>No — signed to receive severance; did not accept the explanation.</w:t>
      </w:r>
      <w:r>
        <w:rPr>
          <w:color w:val="444488"/>
          <w:sz w:val="20"/>
        </w:rPr>
        <w:t xml:space="preserve">  [Dep. 228–229]</w:t>
      </w:r>
    </w:p>
    <w:p>
      <w:pPr>
        <w:spacing w:after="20"/>
        <w:ind w:left="432" w:hanging="432"/>
      </w:pPr>
      <w:r>
        <w:rPr>
          <w:b/>
        </w:rPr>
        <w:t>121.</w:t>
        <w:tab/>
        <w:t xml:space="preserve">Q: </w:t>
      </w:r>
      <w:r>
        <w:rPr>
          <w:b w:val="0"/>
          <w:i w:val="0"/>
        </w:rPr>
        <w:t>Does the agreement contain any provision about testifying? [Section 8(b).]</w:t>
      </w:r>
    </w:p>
    <w:p>
      <w:pPr>
        <w:spacing w:after="60"/>
        <w:ind w:left="792"/>
      </w:pPr>
      <w:r>
        <w:rPr>
          <w:i/>
          <w:sz w:val="20"/>
        </w:rPr>
        <w:t xml:space="preserve">Expected: </w:t>
      </w:r>
      <w:r>
        <w:rPr>
          <w:sz w:val="20"/>
        </w:rPr>
        <w:t>Yes — permits testimony compelled by legal process or provided voluntarily in civil litigation.</w:t>
      </w:r>
      <w:r>
        <w:rPr>
          <w:color w:val="444488"/>
          <w:sz w:val="20"/>
        </w:rPr>
        <w:t xml:space="preserve">  [Dep. 231–233; Agmt. § 8(b)]</w:t>
      </w:r>
    </w:p>
    <w:tbl>
      <w:tblPr>
        <w:tblStyle w:val="TableGrid"/>
        <w:tblW w:type="auto" w:w="0"/>
        <w:tblLook w:firstColumn="1" w:firstRow="1" w:lastColumn="0" w:lastRow="0" w:noHBand="0" w:noVBand="1" w:val="04A0"/>
      </w:tblPr>
      <w:tblGrid>
        <w:gridCol w:w="9360"/>
      </w:tblGrid>
      <w:tr>
        <w:tc>
          <w:tcPr>
            <w:tcW w:type="dxa" w:w="9360"/>
            <w:shd w:val="clear" w:color="auto" w:fill="F8D7DA"/>
          </w:tcPr>
          <w:p>
            <w:r>
              <w:rPr>
                <w:b/>
                <w:sz w:val="20"/>
              </w:rPr>
              <w:t xml:space="preserve">CAUTION: </w:t>
            </w:r>
            <w:r>
              <w:rPr>
                <w:b w:val="0"/>
                <w:i w:val="0"/>
                <w:sz w:val="20"/>
              </w:rPr>
              <w:t>Exhibit A certification (Part III.2). Decide in prep whether to add 2–3 non-leading questions here: “When you signed the severance papers, what did you understand about company property and files?” / “Did you still have the USB copies?” / “Why?” Only if his truthful answers are coherent. If fronted, keep it brief and move on to the close. If not fronted, prepare redirect (Part VI).</w:t>
            </w:r>
          </w:p>
        </w:tc>
      </w:tr>
    </w:tbl>
    <w:p>
      <w:pPr>
        <w:spacing w:after="0"/>
      </w:pPr>
    </w:p>
    <w:p>
      <w:pPr>
        <w:pStyle w:val="Heading2"/>
      </w:pPr>
      <w:r>
        <w:t>Chapter 12 — Closing Sequence (≈1 min.)</w:t>
      </w:r>
    </w:p>
    <w:p>
      <w:pPr>
        <w:spacing w:after="20"/>
        <w:ind w:left="432" w:hanging="432"/>
      </w:pPr>
      <w:r>
        <w:rPr>
          <w:b/>
        </w:rPr>
        <w:t>122.</w:t>
        <w:tab/>
        <w:t xml:space="preserve">Q: </w:t>
      </w:r>
      <w:r>
        <w:rPr>
          <w:b w:val="0"/>
          <w:i w:val="0"/>
        </w:rPr>
        <w:t>Mr. Elliston, where did the numbers you testified about — 4,217 and 3,104 — come from?</w:t>
      </w:r>
    </w:p>
    <w:p>
      <w:pPr>
        <w:spacing w:after="60"/>
        <w:ind w:left="792"/>
      </w:pPr>
      <w:r>
        <w:rPr>
          <w:i/>
          <w:sz w:val="20"/>
        </w:rPr>
        <w:t xml:space="preserve">Expected: </w:t>
      </w:r>
      <w:r>
        <w:rPr>
          <w:sz w:val="20"/>
        </w:rPr>
        <w:t>Cascade’s own SAP system of record.</w:t>
      </w:r>
      <w:r>
        <w:rPr>
          <w:color w:val="444488"/>
          <w:sz w:val="20"/>
        </w:rPr>
        <w:t xml:space="preserve">  [Dep. 89]</w:t>
      </w:r>
    </w:p>
    <w:p>
      <w:pPr>
        <w:spacing w:after="20"/>
        <w:ind w:left="432" w:hanging="432"/>
      </w:pPr>
      <w:r>
        <w:rPr>
          <w:b/>
        </w:rPr>
        <w:t>123.</w:t>
        <w:tab/>
        <w:t xml:space="preserve">Q: </w:t>
      </w:r>
      <w:r>
        <w:rPr>
          <w:b w:val="0"/>
          <w:i w:val="0"/>
        </w:rPr>
        <w:t>Whose user ID created the MidAmerican account?</w:t>
      </w:r>
    </w:p>
    <w:p>
      <w:pPr>
        <w:spacing w:after="60"/>
        <w:ind w:left="792"/>
      </w:pPr>
      <w:r>
        <w:rPr>
          <w:i/>
          <w:sz w:val="20"/>
        </w:rPr>
        <w:t xml:space="preserve">Expected: </w:t>
      </w:r>
      <w:r>
        <w:rPr>
          <w:sz w:val="20"/>
        </w:rPr>
        <w:t>DVOSS01 — Derek Voss.</w:t>
      </w:r>
    </w:p>
    <w:p>
      <w:pPr>
        <w:spacing w:after="20"/>
        <w:ind w:left="432" w:hanging="432"/>
      </w:pPr>
      <w:r>
        <w:rPr>
          <w:b/>
        </w:rPr>
        <w:t>124.</w:t>
        <w:tab/>
        <w:t xml:space="preserve">Q: </w:t>
      </w:r>
      <w:r>
        <w:rPr>
          <w:b w:val="0"/>
          <w:i w:val="0"/>
        </w:rPr>
        <w:t>After you reported it to the CEO, the CFO, and the General Counsel, what were you told to do?</w:t>
      </w:r>
    </w:p>
    <w:p>
      <w:pPr>
        <w:spacing w:after="60"/>
        <w:ind w:left="792"/>
      </w:pPr>
      <w:r>
        <w:rPr>
          <w:i/>
          <w:sz w:val="20"/>
        </w:rPr>
        <w:t xml:space="preserve">Expected: </w:t>
      </w:r>
      <w:r>
        <w:rPr>
          <w:sz w:val="20"/>
        </w:rPr>
        <w:t>“Refrain from further inquiries.”</w:t>
      </w:r>
    </w:p>
    <w:p>
      <w:pPr>
        <w:spacing w:after="80"/>
      </w:pPr>
      <w:r>
        <w:rPr>
          <w:b w:val="0"/>
          <w:i/>
        </w:rPr>
        <w:t>“Thank you, Mr. Elliston. Pass the witness.”</w:t>
      </w:r>
    </w:p>
    <w:p>
      <w:pPr>
        <w:pStyle w:val="Heading1"/>
      </w:pPr>
      <w:r>
        <w:t>Part V. Anticipated Cross-Examination and Responses</w:t>
      </w:r>
    </w:p>
    <w:p>
      <w:pPr>
        <w:spacing w:after="80"/>
      </w:pPr>
      <w:r>
        <w:rPr>
          <w:b w:val="0"/>
          <w:i/>
        </w:rPr>
        <w:t>Organized by the five prongs in Cascade’s Trial Brief § IV. For each: the expected attack, the objections to make, and the prep points for the witness (truthful, non-argumentative answers; he may explain when asked an open question; if a question is unfair, he should say he cannot answer yes/no and let redirect handle it).</w:t>
      </w:r>
    </w:p>
    <w:p>
      <w:pPr>
        <w:pStyle w:val="Heading2"/>
      </w:pPr>
      <w:r>
        <w:t>Prong 1 — Bias and animus (Trimble commission dispute; anger at Voss)</w:t>
      </w:r>
    </w:p>
    <w:p>
      <w:pPr>
        <w:spacing w:after="20"/>
      </w:pPr>
      <w:r>
        <w:rPr>
          <w:b/>
          <w:i w:val="0"/>
        </w:rPr>
        <w:t>Expected lines of attack:</w:t>
      </w:r>
    </w:p>
    <w:p>
      <w:pPr>
        <w:pStyle w:val="ListBullet"/>
        <w:spacing w:after="40"/>
      </w:pPr>
      <w:r>
        <w:rPr>
          <w:b w:val="0"/>
          <w:i w:val="0"/>
        </w:rPr>
        <w:t>“Protracted and bitter” commission dispute; “humiliation”; looking for “ammunition” against Trimble.</w:t>
      </w:r>
    </w:p>
    <w:p>
      <w:pPr>
        <w:pStyle w:val="ListBullet"/>
        <w:spacing w:after="40"/>
      </w:pPr>
      <w:r>
        <w:rPr>
          <w:b w:val="0"/>
          <w:i w:val="0"/>
        </w:rPr>
        <w:t>Oct. 5 email as an attack on Trimble’s department; bypassing the hotline.</w:t>
      </w:r>
    </w:p>
    <w:p>
      <w:pPr>
        <w:pStyle w:val="ListBullet"/>
        <w:spacing w:after="40"/>
      </w:pPr>
      <w:r>
        <w:rPr>
          <w:b w:val="0"/>
          <w:i w:val="0"/>
        </w:rPr>
        <w:t>“You’re angry at Voss”; “chance to get back at” Cascade; “wouldn’t mind if Cascade were held liable.”</w:t>
      </w:r>
    </w:p>
    <w:p>
      <w:pPr>
        <w:pStyle w:val="ListBullet"/>
        <w:spacing w:after="40"/>
      </w:pPr>
      <w:r>
        <w:rPr>
          <w:b w:val="0"/>
          <w:i w:val="0"/>
        </w:rPr>
        <w:t>Voluntary cooperation with Ridgeline = motive.</w:t>
      </w:r>
    </w:p>
    <w:p>
      <w:pPr>
        <w:spacing w:after="20"/>
      </w:pPr>
      <w:r>
        <w:rPr>
          <w:b/>
          <w:i w:val="0"/>
        </w:rPr>
        <w:t>Objections / counsel responses:</w:t>
      </w:r>
    </w:p>
    <w:p>
      <w:pPr>
        <w:pStyle w:val="ListBullet"/>
        <w:spacing w:after="40"/>
      </w:pPr>
      <w:r>
        <w:rPr>
          <w:b w:val="0"/>
          <w:i w:val="0"/>
        </w:rPr>
        <w:t>Argumentative / asked and answered (FRE 611(a)) — Dep. 239–240 drew the same objections.</w:t>
      </w:r>
    </w:p>
    <w:p>
      <w:pPr>
        <w:pStyle w:val="ListBullet"/>
        <w:spacing w:after="40"/>
      </w:pPr>
      <w:r>
        <w:rPr>
          <w:b w:val="0"/>
          <w:i w:val="0"/>
        </w:rPr>
        <w:t>Any undisclosed “realities of sales management” email: object to use of an unproduced document; demand it; FRE 106 completeness if excerpted.</w:t>
      </w:r>
    </w:p>
    <w:p>
      <w:pPr>
        <w:pStyle w:val="ListBullet"/>
        <w:spacing w:after="40"/>
      </w:pPr>
      <w:r>
        <w:rPr>
          <w:b w:val="0"/>
          <w:i w:val="0"/>
        </w:rPr>
        <w:t>Mischaracterization of testimony (e.g., that Trimble’s “framework was adopted”) — Dep. 190 says Elliston made the proposal and Trimble opposed it.</w:t>
      </w:r>
    </w:p>
    <w:p>
      <w:pPr>
        <w:spacing w:after="20"/>
      </w:pPr>
      <w:r>
        <w:rPr>
          <w:b/>
          <w:i w:val="0"/>
        </w:rPr>
        <w:t>Witness prep points and record support:</w:t>
      </w:r>
    </w:p>
    <w:p>
      <w:pPr>
        <w:pStyle w:val="ListBullet"/>
        <w:spacing w:after="40"/>
      </w:pPr>
      <w:r>
        <w:rPr>
          <w:b w:val="0"/>
          <w:i w:val="0"/>
        </w:rPr>
        <w:t>First email went only to Voss (Dep. 195). He added Trimble only because she certified the royalty reports (Oct. 5 email).</w:t>
      </w:r>
    </w:p>
    <w:p>
      <w:pPr>
        <w:pStyle w:val="ListBullet"/>
        <w:spacing w:after="40"/>
      </w:pPr>
      <w:r>
        <w:rPr>
          <w:b w:val="0"/>
          <w:i w:val="0"/>
        </w:rPr>
        <w:t>Disappointed, not a grudge; finance/sales friction is normal (Dep. 190–191).</w:t>
      </w:r>
    </w:p>
    <w:p>
      <w:pPr>
        <w:pStyle w:val="ListBullet"/>
        <w:spacing w:after="40"/>
      </w:pPr>
      <w:r>
        <w:rPr>
          <w:b w:val="0"/>
          <w:i w:val="0"/>
        </w:rPr>
        <w:t>“I feel I was terminated for doing the right thing” — acceptable if asked; don’t volunteer “retaliation” (Order § VIII limitation).</w:t>
      </w:r>
    </w:p>
    <w:p>
      <w:pPr>
        <w:pStyle w:val="ListBullet"/>
        <w:spacing w:after="40"/>
      </w:pPr>
      <w:r>
        <w:rPr>
          <w:b w:val="0"/>
          <w:i w:val="0"/>
        </w:rPr>
        <w:t>His concern is corroborated independently: Kowalski confirmed 4,217/3,104/1,113 and DVOSS01 (Kowalski § IV.D, Op. 9).</w:t>
      </w:r>
    </w:p>
    <w:p>
      <w:pPr>
        <w:pStyle w:val="Heading2"/>
      </w:pPr>
      <w:r>
        <w:t>Prong 2 — USB drive / “misappropriation” / policy violation (FRE 608(b))</w:t>
      </w:r>
    </w:p>
    <w:p>
      <w:pPr>
        <w:spacing w:after="20"/>
      </w:pPr>
      <w:r>
        <w:rPr>
          <w:b/>
          <w:i w:val="0"/>
        </w:rPr>
        <w:t>Expected lines of attack:</w:t>
      </w:r>
    </w:p>
    <w:p>
      <w:pPr>
        <w:pStyle w:val="ListBullet"/>
        <w:spacing w:after="40"/>
      </w:pPr>
      <w:r>
        <w:rPr>
          <w:b w:val="0"/>
          <w:i w:val="0"/>
        </w:rPr>
        <w:t>“Theft”; violation of the Data Policy (Ex. D-14) and his acknowledgment on hire.</w:t>
      </w:r>
    </w:p>
    <w:p>
      <w:pPr>
        <w:pStyle w:val="ListBullet"/>
        <w:spacing w:after="40"/>
      </w:pPr>
      <w:r>
        <w:rPr>
          <w:b w:val="0"/>
          <w:i w:val="0"/>
        </w:rPr>
        <w:t>Timing: five days after escalation — “building a file” and planning to leave.</w:t>
      </w:r>
    </w:p>
    <w:p>
      <w:pPr>
        <w:pStyle w:val="ListBullet"/>
        <w:spacing w:after="40"/>
      </w:pPr>
      <w:r>
        <w:rPr>
          <w:b/>
          <w:i w:val="0"/>
        </w:rPr>
        <w:t>Exhibit A certification and § 9(c)</w:t>
      </w:r>
      <w:r>
        <w:rPr>
          <w:b w:val="0"/>
          <w:i w:val="0"/>
        </w:rPr>
        <w:t xml:space="preserve"> — signed that he returned all USB drives and retained nothing; “you lied in writing to get $87,500.”</w:t>
      </w:r>
    </w:p>
    <w:p>
      <w:pPr>
        <w:spacing w:after="20"/>
      </w:pPr>
      <w:r>
        <w:rPr>
          <w:b/>
          <w:i w:val="0"/>
        </w:rPr>
        <w:t>Objections / counsel responses:</w:t>
      </w:r>
    </w:p>
    <w:p>
      <w:pPr>
        <w:pStyle w:val="ListBullet"/>
        <w:spacing w:after="40"/>
      </w:pPr>
      <w:r>
        <w:rPr>
          <w:b w:val="0"/>
          <w:i w:val="0"/>
        </w:rPr>
        <w:t>“Theft” — argumentative; calls for legal conclusion.</w:t>
      </w:r>
    </w:p>
    <w:p>
      <w:pPr>
        <w:pStyle w:val="ListBullet"/>
        <w:spacing w:after="40"/>
      </w:pPr>
      <w:r>
        <w:rPr>
          <w:b w:val="0"/>
          <w:i w:val="0"/>
        </w:rPr>
        <w:t>FRE 608(b): no extrinsic evidence of the specific instance to prove character for untruthfulness. Stokes can ask questions but, for 608(b) purposes, cannot offer the policy document or IT logs to prove the conduct (though the severance agreement is already in evidence for a limited purpose — request that the limiting instruction be repeated).</w:t>
      </w:r>
    </w:p>
    <w:p>
      <w:pPr>
        <w:pStyle w:val="ListBullet"/>
        <w:spacing w:after="40"/>
      </w:pPr>
      <w:r>
        <w:rPr>
          <w:b w:val="0"/>
          <w:i w:val="0"/>
        </w:rPr>
        <w:t>Order § X: “avoid collateral proceedings about Cascade’s IT policies” — object to extended questioning on policy details.</w:t>
      </w:r>
    </w:p>
    <w:p>
      <w:pPr>
        <w:pStyle w:val="ListBullet"/>
        <w:spacing w:after="40"/>
      </w:pPr>
      <w:r>
        <w:rPr>
          <w:b w:val="0"/>
          <w:i w:val="0"/>
        </w:rPr>
        <w:t>Request that the Order § VI limiting instruction be repeated if Cascade uses the severance agreement for character purposes; argue the Order limits that exhibit to “circumstances of departure.”</w:t>
      </w:r>
    </w:p>
    <w:p>
      <w:pPr>
        <w:spacing w:after="20"/>
      </w:pPr>
      <w:r>
        <w:rPr>
          <w:b/>
          <w:i w:val="0"/>
        </w:rPr>
        <w:t>Witness prep points and record support:</w:t>
      </w:r>
    </w:p>
    <w:p>
      <w:pPr>
        <w:pStyle w:val="ListBullet"/>
        <w:spacing w:after="40"/>
      </w:pPr>
      <w:r>
        <w:rPr>
          <w:b w:val="0"/>
          <w:i w:val="0"/>
        </w:rPr>
        <w:t>Copied only his own emails, his own spreadsheet and related screenshots (Dep. 146, 150, 135).</w:t>
      </w:r>
    </w:p>
    <w:p>
      <w:pPr>
        <w:pStyle w:val="ListBullet"/>
        <w:spacing w:after="40"/>
      </w:pPr>
      <w:r>
        <w:rPr>
          <w:b w:val="0"/>
          <w:i w:val="0"/>
        </w:rPr>
        <w:t>Reason: fear that evidence would be deleted after no response from the CEO, CFO and GC (Dep. 148–149). No plans to leave (Dep. 148).</w:t>
      </w:r>
    </w:p>
    <w:p>
      <w:pPr>
        <w:pStyle w:val="ListBullet"/>
        <w:spacing w:after="40"/>
      </w:pPr>
      <w:r>
        <w:rPr>
          <w:b w:val="0"/>
          <w:i w:val="0"/>
        </w:rPr>
        <w:t>Exhibit A: answer honestly; do not argue; the explanation (if any) comes out on redirect.</w:t>
      </w:r>
    </w:p>
    <w:p>
      <w:pPr>
        <w:pStyle w:val="ListBullet"/>
        <w:spacing w:after="40"/>
      </w:pPr>
      <w:r>
        <w:rPr>
          <w:b w:val="0"/>
          <w:i w:val="0"/>
        </w:rPr>
        <w:t>Everything he copied was later produced by Cascade itself (CASCADE_EMAIL_003847–3859), which shows he did not alter anything.</w:t>
      </w:r>
    </w:p>
    <w:p>
      <w:pPr>
        <w:pStyle w:val="Heading2"/>
      </w:pPr>
      <w:r>
        <w:t>Prong 3 — Prior inconsistent statements (FRE 613 / 801(d)(1)(A))</w:t>
      </w:r>
    </w:p>
    <w:p>
      <w:pPr>
        <w:spacing w:after="20"/>
      </w:pPr>
      <w:r>
        <w:rPr>
          <w:b/>
          <w:i w:val="0"/>
        </w:rPr>
        <w:t>Expected lines of attack:</w:t>
      </w:r>
    </w:p>
    <w:p>
      <w:pPr>
        <w:pStyle w:val="ListBullet"/>
        <w:spacing w:after="40"/>
      </w:pPr>
      <w:r>
        <w:rPr>
          <w:b w:val="0"/>
          <w:i w:val="0"/>
        </w:rPr>
        <w:t>Date: “Sept. 25” (Dep. 72) vs. “last week” (email) vs. Sept. 22 metadata.</w:t>
      </w:r>
    </w:p>
    <w:p>
      <w:pPr>
        <w:pStyle w:val="ListBullet"/>
        <w:spacing w:after="40"/>
      </w:pPr>
      <w:r>
        <w:rPr>
          <w:b w:val="0"/>
          <w:i w:val="0"/>
        </w:rPr>
        <w:t>“Approximately 1,100” (alleged Dep. 187) vs. 1,113.</w:t>
      </w:r>
    </w:p>
    <w:p>
      <w:pPr>
        <w:pStyle w:val="ListBullet"/>
        <w:spacing w:after="40"/>
      </w:pPr>
      <w:r>
        <w:rPr>
          <w:b w:val="0"/>
          <w:i w:val="0"/>
        </w:rPr>
        <w:t>Sept. 28 email (“do not have an explanation”) vs. Dep. 78 (MidAmerican POs found before Sept. 28).</w:t>
      </w:r>
    </w:p>
    <w:p>
      <w:pPr>
        <w:pStyle w:val="ListBullet"/>
        <w:spacing w:after="40"/>
      </w:pPr>
      <w:r>
        <w:rPr>
          <w:b w:val="0"/>
          <w:i w:val="0"/>
        </w:rPr>
        <w:t>Spreadsheet contents that postdate Sept. 28 (Sept. 29–30 rows; commentary; DVOSS01 finding) — “you told us under oath this was the same version.”</w:t>
      </w:r>
    </w:p>
    <w:p>
      <w:pPr>
        <w:pStyle w:val="ListBullet"/>
        <w:spacing w:after="40"/>
      </w:pPr>
      <w:r>
        <w:rPr>
          <w:b w:val="0"/>
          <w:i w:val="0"/>
        </w:rPr>
        <w:t>Detail tab totals 3,503; line-item value $1,500,395 vs. $1,415,001.42; 36 POs vs. Kowalski’s 8.</w:t>
      </w:r>
    </w:p>
    <w:p>
      <w:pPr>
        <w:spacing w:after="20"/>
      </w:pPr>
      <w:r>
        <w:rPr>
          <w:b/>
          <w:i w:val="0"/>
        </w:rPr>
        <w:t>Objections / counsel responses:</w:t>
      </w:r>
    </w:p>
    <w:p>
      <w:pPr>
        <w:pStyle w:val="ListBullet"/>
        <w:spacing w:after="40"/>
      </w:pPr>
      <w:r>
        <w:rPr>
          <w:b w:val="0"/>
          <w:i w:val="0"/>
        </w:rPr>
        <w:t>§ XII(4): Stokes must direct the witness to page and line; insist on it.</w:t>
      </w:r>
    </w:p>
    <w:p>
      <w:pPr>
        <w:pStyle w:val="ListBullet"/>
        <w:spacing w:after="40"/>
      </w:pPr>
      <w:r>
        <w:rPr>
          <w:b w:val="0"/>
          <w:i w:val="0"/>
        </w:rPr>
        <w:t>Completeness (FRE 106 / FRCP 32(a)(6)): require that Dep. 73–74 (his explanation) be read with Dep. 72, and Dep. 83 (“began it on or about September 22”).</w:t>
      </w:r>
    </w:p>
    <w:p>
      <w:pPr>
        <w:pStyle w:val="ListBullet"/>
        <w:spacing w:after="40"/>
      </w:pPr>
      <w:r>
        <w:rPr>
          <w:b w:val="0"/>
          <w:i w:val="0"/>
        </w:rPr>
        <w:t>“Approximately 1,100” is not inconsistent with 1,113 — not a proper FRE 613 inconsistency; object to cumulative/argumentative use.</w:t>
      </w:r>
    </w:p>
    <w:p>
      <w:pPr>
        <w:pStyle w:val="ListBullet"/>
        <w:spacing w:after="40"/>
      </w:pPr>
      <w:r>
        <w:rPr>
          <w:b w:val="0"/>
          <w:i w:val="0"/>
        </w:rPr>
        <w:t>If the metadata is raised without a sponsoring witness: foundation/authentication objection.</w:t>
      </w:r>
    </w:p>
    <w:p>
      <w:pPr>
        <w:spacing w:after="20"/>
      </w:pPr>
      <w:r>
        <w:rPr>
          <w:b/>
          <w:i w:val="0"/>
        </w:rPr>
        <w:t>Witness prep points and record support:</w:t>
      </w:r>
    </w:p>
    <w:p>
      <w:pPr>
        <w:pStyle w:val="ListBullet"/>
        <w:spacing w:after="40"/>
      </w:pPr>
      <w:r>
        <w:rPr>
          <w:b w:val="0"/>
          <w:i w:val="0"/>
        </w:rPr>
        <w:t>Discovery was a process over several days; he never claimed an exact date (Dep. 74). The metadata (Sept. 22) matches his own testimony about when he began (Dep. 83).</w:t>
      </w:r>
    </w:p>
    <w:p>
      <w:pPr>
        <w:pStyle w:val="ListBullet"/>
        <w:spacing w:after="40"/>
      </w:pPr>
      <w:r>
        <w:rPr>
          <w:b w:val="0"/>
          <w:i w:val="0"/>
        </w:rPr>
        <w:t>Always 1,113 in his emails, spreadsheet, and testimony (Dep. 66, 85, 218).</w:t>
      </w:r>
    </w:p>
    <w:p>
      <w:pPr>
        <w:pStyle w:val="ListBullet"/>
        <w:spacing w:after="40"/>
      </w:pPr>
      <w:r>
        <w:rPr>
          <w:b w:val="0"/>
          <w:i w:val="0"/>
        </w:rPr>
        <w:t>Spreadsheet history: testify truthfully per the Part III.1 investigation. If the file evolved, say so plainly; the core numbers never changed.</w:t>
      </w:r>
    </w:p>
    <w:p>
      <w:pPr>
        <w:pStyle w:val="Heading2"/>
      </w:pPr>
      <w:r>
        <w:t>Prong 4 — Lack of financial expertise (FRE 701/702)</w:t>
      </w:r>
    </w:p>
    <w:p>
      <w:pPr>
        <w:spacing w:after="20"/>
      </w:pPr>
      <w:r>
        <w:rPr>
          <w:b/>
          <w:i w:val="0"/>
        </w:rPr>
        <w:t>Expected lines of attack:</w:t>
      </w:r>
    </w:p>
    <w:p>
      <w:pPr>
        <w:pStyle w:val="ListBullet"/>
        <w:spacing w:after="40"/>
      </w:pPr>
      <w:r>
        <w:rPr>
          <w:b w:val="0"/>
          <w:i w:val="0"/>
        </w:rPr>
        <w:t>No CPA/CMA/CFA; sales, not finance; never did forensic accounting; never an expert witness; no published articles.</w:t>
      </w:r>
    </w:p>
    <w:p>
      <w:pPr>
        <w:pStyle w:val="ListBullet"/>
        <w:spacing w:after="40"/>
      </w:pPr>
      <w:r>
        <w:rPr>
          <w:b w:val="0"/>
          <w:i w:val="0"/>
        </w:rPr>
        <w:t>Did not rule out returns in transit, samples, consignment, inter-facility transfers.</w:t>
      </w:r>
    </w:p>
    <w:p>
      <w:pPr>
        <w:pStyle w:val="ListBullet"/>
        <w:spacing w:after="40"/>
      </w:pPr>
      <w:r>
        <w:rPr>
          <w:b w:val="0"/>
          <w:i w:val="0"/>
        </w:rPr>
        <w:t>SAP “user, not administrator”; cannot rule out others using DVOSS01 (Dep. 131–134).</w:t>
      </w:r>
    </w:p>
    <w:p>
      <w:pPr>
        <w:pStyle w:val="ListBullet"/>
        <w:spacing w:after="40"/>
      </w:pPr>
      <w:r>
        <w:rPr>
          <w:b w:val="0"/>
          <w:i w:val="0"/>
        </w:rPr>
        <w:t>Ridgeline’s hiring of Kowalski “admits” Elliston’s work isn’t reliable.</w:t>
      </w:r>
    </w:p>
    <w:p>
      <w:pPr>
        <w:spacing w:after="20"/>
      </w:pPr>
      <w:r>
        <w:rPr>
          <w:b/>
          <w:i w:val="0"/>
        </w:rPr>
        <w:t>Objections / counsel responses:</w:t>
      </w:r>
    </w:p>
    <w:p>
      <w:pPr>
        <w:pStyle w:val="ListBullet"/>
        <w:spacing w:after="40"/>
      </w:pPr>
      <w:r>
        <w:rPr>
          <w:b w:val="0"/>
          <w:i w:val="0"/>
        </w:rPr>
        <w:t>If Stokes asks Elliston about aggregate damages, the seven quarters, or the bank records, object: outside scope of direct (FRE 611(b)) and beyond the Order § VII limits. Cascade cannot open the door and then impeach his lack of expertise on it.</w:t>
      </w:r>
    </w:p>
    <w:p>
      <w:pPr>
        <w:pStyle w:val="ListBullet"/>
        <w:spacing w:after="40"/>
      </w:pPr>
      <w:r>
        <w:rPr>
          <w:b w:val="0"/>
          <w:i w:val="0"/>
        </w:rPr>
        <w:t>Mischaracterization: the brief’s claim that he “did not investigate” alternatives is contradicted by Dep. 66 and the Sept. 28 email.</w:t>
      </w:r>
    </w:p>
    <w:p>
      <w:pPr>
        <w:pStyle w:val="ListBullet"/>
        <w:spacing w:after="40"/>
      </w:pPr>
      <w:r>
        <w:rPr>
          <w:b w:val="0"/>
          <w:i w:val="0"/>
        </w:rPr>
        <w:t>Brief’s “2012 MBA” is wrong (2003) — correct it if used.</w:t>
      </w:r>
    </w:p>
    <w:p>
      <w:pPr>
        <w:spacing w:after="20"/>
      </w:pPr>
      <w:r>
        <w:rPr>
          <w:b/>
          <w:i w:val="0"/>
        </w:rPr>
        <w:t>Witness prep points and record support:</w:t>
      </w:r>
    </w:p>
    <w:p>
      <w:pPr>
        <w:pStyle w:val="ListBullet"/>
        <w:spacing w:after="40"/>
      </w:pPr>
      <w:r>
        <w:rPr>
          <w:b w:val="0"/>
          <w:i w:val="0"/>
        </w:rPr>
        <w:t>It was a reconciliation he did routinely for about 4.5 years; “it requires the ability to compare two numbers” (Dep. 212–213, 218).</w:t>
      </w:r>
    </w:p>
    <w:p>
      <w:pPr>
        <w:pStyle w:val="ListBullet"/>
        <w:spacing w:after="40"/>
      </w:pPr>
      <w:r>
        <w:rPr>
          <w:b w:val="0"/>
          <w:i w:val="0"/>
        </w:rPr>
        <w:t>He is not offering a damages opinion; those calculations “are for others” (Dep. 217).</w:t>
      </w:r>
    </w:p>
    <w:p>
      <w:pPr>
        <w:pStyle w:val="ListBullet"/>
        <w:spacing w:after="40"/>
      </w:pPr>
      <w:r>
        <w:rPr>
          <w:b w:val="0"/>
          <w:i w:val="0"/>
        </w:rPr>
        <w:t>DVOSS01: he can only say what the system recorded; policy barred sharing; he never saw anyone else use it (Dep. 131–133). Do not overstate.</w:t>
      </w:r>
    </w:p>
    <w:p>
      <w:pPr>
        <w:pStyle w:val="ListBullet"/>
        <w:spacing w:after="40"/>
      </w:pPr>
      <w:r>
        <w:rPr>
          <w:b w:val="0"/>
          <w:i w:val="0"/>
        </w:rPr>
        <w:t>Returns/warranty/transfers were checked and were zero (Summary tab; Sept. 28 email). Consignment and samples: confirm in prep whether SAP would record them as sales or transfers.</w:t>
      </w:r>
    </w:p>
    <w:p>
      <w:pPr>
        <w:pStyle w:val="Heading2"/>
      </w:pPr>
      <w:r>
        <w:t>Prong 5 — Legitimate restructuring; release shows he accepted it</w:t>
      </w:r>
    </w:p>
    <w:p>
      <w:pPr>
        <w:spacing w:after="20"/>
      </w:pPr>
      <w:r>
        <w:rPr>
          <w:b/>
          <w:i w:val="0"/>
        </w:rPr>
        <w:t>Expected lines of attack:</w:t>
      </w:r>
    </w:p>
    <w:p>
      <w:pPr>
        <w:pStyle w:val="ListBullet"/>
        <w:spacing w:after="40"/>
      </w:pPr>
      <w:r>
        <w:rPr>
          <w:b w:val="0"/>
          <w:i w:val="0"/>
        </w:rPr>
        <w:t>Restructuring “under discussion since late 2023”; 340 employees; cost pressure; Hoffman had a “collaborative orientation toward finance.”</w:t>
      </w:r>
    </w:p>
    <w:p>
      <w:pPr>
        <w:pStyle w:val="ListBullet"/>
        <w:spacing w:after="40"/>
      </w:pPr>
      <w:r>
        <w:rPr>
          <w:b w:val="0"/>
          <w:i w:val="0"/>
        </w:rPr>
        <w:t>Signed release voluntarily, 7 days into 21; “could have declined”; did not sue.</w:t>
      </w:r>
    </w:p>
    <w:p>
      <w:pPr>
        <w:pStyle w:val="ListBullet"/>
        <w:spacing w:after="40"/>
      </w:pPr>
      <w:r>
        <w:rPr>
          <w:b w:val="0"/>
          <w:i w:val="0"/>
        </w:rPr>
        <w:t>Carve-out is “boilerplate”; non-disparagement gives him an incentive to “confine accusations” to litigation.</w:t>
      </w:r>
    </w:p>
    <w:p>
      <w:pPr>
        <w:spacing w:after="20"/>
      </w:pPr>
      <w:r>
        <w:rPr>
          <w:b/>
          <w:i w:val="0"/>
        </w:rPr>
        <w:t>Objections / counsel responses:</w:t>
      </w:r>
    </w:p>
    <w:p>
      <w:pPr>
        <w:pStyle w:val="ListBullet"/>
        <w:spacing w:after="40"/>
      </w:pPr>
      <w:r>
        <w:rPr>
          <w:b w:val="0"/>
          <w:i w:val="0"/>
        </w:rPr>
        <w:t>Order § VI: the Court “will not entertain any argument” that his testimony is barred by or inconsistent with the release — object at once to any such suggestion.</w:t>
      </w:r>
    </w:p>
    <w:p>
      <w:pPr>
        <w:pStyle w:val="ListBullet"/>
        <w:spacing w:after="40"/>
      </w:pPr>
      <w:r>
        <w:rPr>
          <w:b w:val="0"/>
          <w:i w:val="0"/>
        </w:rPr>
        <w:t>Elliston lacks personal knowledge of executive restructuring discussions — object to questions that ask him to confirm facts outside his knowledge (FRE 602); those are Cascade’s burden to prove through its own witnesses.</w:t>
      </w:r>
    </w:p>
    <w:p>
      <w:pPr>
        <w:pStyle w:val="ListBullet"/>
        <w:spacing w:after="40"/>
      </w:pPr>
      <w:r>
        <w:rPr>
          <w:b w:val="0"/>
          <w:i w:val="0"/>
        </w:rPr>
        <w:t>The brief’s claim that he had the opportunity to consult “counsel of his choosing” — he retained none (Dep. 227).</w:t>
      </w:r>
    </w:p>
    <w:p>
      <w:pPr>
        <w:spacing w:after="20"/>
      </w:pPr>
      <w:r>
        <w:rPr>
          <w:b/>
          <w:i w:val="0"/>
        </w:rPr>
        <w:t>Witness prep points and record support:</w:t>
      </w:r>
    </w:p>
    <w:p>
      <w:pPr>
        <w:pStyle w:val="ListBullet"/>
        <w:spacing w:after="40"/>
      </w:pPr>
      <w:r>
        <w:rPr>
          <w:b w:val="0"/>
          <w:i w:val="0"/>
        </w:rPr>
        <w:t>He was never told of any restructuring plan; no documents were given to him (Dep. 106, 110). He agrees he wasn’t in management discussions — that is fine.</w:t>
      </w:r>
    </w:p>
    <w:p>
      <w:pPr>
        <w:pStyle w:val="ListBullet"/>
        <w:spacing w:after="40"/>
      </w:pPr>
      <w:r>
        <w:rPr>
          <w:b w:val="0"/>
          <w:i w:val="0"/>
        </w:rPr>
        <w:t>Signed because he needed income; did not accept the explanation (Dep. 228–229).</w:t>
      </w:r>
    </w:p>
    <w:p>
      <w:pPr>
        <w:pStyle w:val="ListBullet"/>
        <w:spacing w:after="40"/>
      </w:pPr>
      <w:r>
        <w:rPr>
          <w:b w:val="0"/>
          <w:i w:val="0"/>
        </w:rPr>
        <w:t>He has not sued; he is not seeking anything here (Dep. 236–237).</w:t>
      </w:r>
    </w:p>
    <w:p>
      <w:pPr>
        <w:pStyle w:val="Heading1"/>
      </w:pPr>
      <w:r>
        <w:t>Part VI. Redirect Examination Modules</w:t>
      </w:r>
    </w:p>
    <w:p>
      <w:pPr>
        <w:spacing w:after="80"/>
      </w:pPr>
      <w:r>
        <w:rPr>
          <w:b w:val="0"/>
          <w:i/>
        </w:rPr>
        <w:t>Use only the modules that cross opens. Each is 3–6 non-leading questions. Scope is limited to cross (FRE 611(b)).</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9E2F3"/>
          </w:tcPr>
          <w:p>
            <w:r/>
            <w:r>
              <w:rPr>
                <w:b/>
                <w:i w:val="0"/>
                <w:sz w:val="20"/>
              </w:rPr>
              <w:t>If cross attacks…</w:t>
            </w:r>
          </w:p>
        </w:tc>
        <w:tc>
          <w:tcPr>
            <w:tcW w:type="dxa" w:w="5184"/>
            <w:shd w:val="clear" w:color="auto" w:fill="D9E2F3"/>
          </w:tcPr>
          <w:p>
            <w:r/>
            <w:r>
              <w:rPr>
                <w:b/>
                <w:i w:val="0"/>
                <w:sz w:val="20"/>
              </w:rPr>
              <w:t>Redirect questions (non-leading)</w:t>
            </w:r>
          </w:p>
        </w:tc>
        <w:tc>
          <w:tcPr>
            <w:tcW w:type="dxa" w:w="2160"/>
            <w:shd w:val="clear" w:color="auto" w:fill="D9E2F3"/>
          </w:tcPr>
          <w:p>
            <w:r/>
            <w:r>
              <w:rPr>
                <w:b/>
                <w:i w:val="0"/>
                <w:sz w:val="20"/>
              </w:rPr>
              <w:t>Support</w:t>
            </w:r>
          </w:p>
        </w:tc>
      </w:tr>
      <w:tr>
        <w:tc>
          <w:tcPr>
            <w:tcW w:type="dxa" w:w="2016"/>
          </w:tcPr>
          <w:p>
            <w:r/>
            <w:r>
              <w:rPr>
                <w:b w:val="0"/>
                <w:i w:val="0"/>
                <w:sz w:val="20"/>
              </w:rPr>
              <w:t>Discovery date</w:t>
            </w:r>
          </w:p>
        </w:tc>
        <w:tc>
          <w:tcPr>
            <w:tcW w:type="dxa" w:w="5184"/>
          </w:tcPr>
          <w:p>
            <w:r/>
            <w:r>
              <w:rPr>
                <w:b w:val="0"/>
                <w:i w:val="0"/>
                <w:sz w:val="20"/>
              </w:rPr>
              <w:t>“When you wrote ‘last week’ on Sept. 28, what were you referring to?” / “What did you mean by ‘as I mentioned when we briefly spoke on Monday’?” / “When did you start the spreadsheet?” / “Has the 1,113 figure ever changed?”</w:t>
            </w:r>
          </w:p>
        </w:tc>
        <w:tc>
          <w:tcPr>
            <w:tcW w:type="dxa" w:w="2160"/>
          </w:tcPr>
          <w:p>
            <w:r/>
            <w:r>
              <w:rPr>
                <w:b w:val="0"/>
                <w:i w:val="0"/>
                <w:sz w:val="20"/>
              </w:rPr>
              <w:t>Sept. 28 email; Dep. 73–74, 83</w:t>
            </w:r>
          </w:p>
        </w:tc>
      </w:tr>
      <w:tr>
        <w:tc>
          <w:tcPr>
            <w:tcW w:type="dxa" w:w="2016"/>
          </w:tcPr>
          <w:p>
            <w:r/>
            <w:r>
              <w:rPr>
                <w:b w:val="0"/>
                <w:i w:val="0"/>
                <w:sz w:val="20"/>
              </w:rPr>
              <w:t>Motive / Trimble</w:t>
            </w:r>
          </w:p>
        </w:tc>
        <w:tc>
          <w:tcPr>
            <w:tcW w:type="dxa" w:w="5184"/>
          </w:tcPr>
          <w:p>
            <w:r/>
            <w:r>
              <w:rPr>
                <w:b w:val="0"/>
                <w:i w:val="0"/>
                <w:sz w:val="20"/>
              </w:rPr>
              <w:t>“Who received your first email?” / “Why only Mr. Voss?” / “Why did you later add Ms. Trimble?” / “What did Ms. Trimble tell you on Oct. 6?”</w:t>
            </w:r>
          </w:p>
        </w:tc>
        <w:tc>
          <w:tcPr>
            <w:tcW w:type="dxa" w:w="2160"/>
          </w:tcPr>
          <w:p>
            <w:r/>
            <w:r>
              <w:rPr>
                <w:b w:val="0"/>
                <w:i w:val="0"/>
                <w:sz w:val="20"/>
              </w:rPr>
              <w:t>Dep. 195; Oct. 5–6 chain</w:t>
            </w:r>
          </w:p>
        </w:tc>
      </w:tr>
      <w:tr>
        <w:tc>
          <w:tcPr>
            <w:tcW w:type="dxa" w:w="2016"/>
          </w:tcPr>
          <w:p>
            <w:r/>
            <w:r>
              <w:rPr>
                <w:b w:val="0"/>
                <w:i w:val="0"/>
                <w:sz w:val="20"/>
              </w:rPr>
              <w:t>USB / “theft”</w:t>
            </w:r>
          </w:p>
        </w:tc>
        <w:tc>
          <w:tcPr>
            <w:tcW w:type="dxa" w:w="5184"/>
          </w:tcPr>
          <w:p>
            <w:r/>
            <w:r>
              <w:rPr>
                <w:b w:val="0"/>
                <w:i w:val="0"/>
                <w:sz w:val="20"/>
              </w:rPr>
              <w:t>“What had happened to your three emails before Nov. 20?” / “What were you afraid of?” / “Who produced these same emails in this lawsuit?” / “Did you change anything in the files?”</w:t>
            </w:r>
          </w:p>
        </w:tc>
        <w:tc>
          <w:tcPr>
            <w:tcW w:type="dxa" w:w="2160"/>
          </w:tcPr>
          <w:p>
            <w:r/>
            <w:r>
              <w:rPr>
                <w:b w:val="0"/>
                <w:i w:val="0"/>
                <w:sz w:val="20"/>
              </w:rPr>
              <w:t>Dep. 148–149; Bates CASCADE_EMAIL_003847–3859; Dep. 88</w:t>
            </w:r>
          </w:p>
        </w:tc>
      </w:tr>
      <w:tr>
        <w:tc>
          <w:tcPr>
            <w:tcW w:type="dxa" w:w="2016"/>
          </w:tcPr>
          <w:p>
            <w:r/>
            <w:r>
              <w:rPr>
                <w:b w:val="0"/>
                <w:i w:val="0"/>
                <w:sz w:val="20"/>
              </w:rPr>
              <w:t>Exhibit A certification</w:t>
            </w:r>
          </w:p>
        </w:tc>
        <w:tc>
          <w:tcPr>
            <w:tcW w:type="dxa" w:w="5184"/>
          </w:tcPr>
          <w:p>
            <w:r/>
            <w:r>
              <w:rPr>
                <w:b w:val="0"/>
                <w:i w:val="0"/>
                <w:sz w:val="20"/>
              </w:rPr>
              <w:t>“When you signed on Jan. 19, what did you understand ‘company property’ to mean?” / “What had Mr. Greer told you about the matter on Dec. 8?” / “Why did you keep those particular files?” / “What did you do with them when asked in this case?”</w:t>
            </w:r>
          </w:p>
        </w:tc>
        <w:tc>
          <w:tcPr>
            <w:tcW w:type="dxa" w:w="2160"/>
          </w:tcPr>
          <w:p>
            <w:r/>
            <w:r>
              <w:rPr>
                <w:b w:val="0"/>
                <w:i w:val="0"/>
                <w:sz w:val="20"/>
              </w:rPr>
              <w:t>Prep-dependent; Dep. 150; Greer memo</w:t>
            </w:r>
          </w:p>
        </w:tc>
      </w:tr>
      <w:tr>
        <w:tc>
          <w:tcPr>
            <w:tcW w:type="dxa" w:w="2016"/>
          </w:tcPr>
          <w:p>
            <w:r/>
            <w:r>
              <w:rPr>
                <w:b w:val="0"/>
                <w:i w:val="0"/>
                <w:sz w:val="20"/>
              </w:rPr>
              <w:t>Expertise</w:t>
            </w:r>
          </w:p>
        </w:tc>
        <w:tc>
          <w:tcPr>
            <w:tcW w:type="dxa" w:w="5184"/>
          </w:tcPr>
          <w:p>
            <w:r/>
            <w:r>
              <w:rPr>
                <w:b w:val="0"/>
                <w:i w:val="0"/>
                <w:sz w:val="20"/>
              </w:rPr>
              <w:t>“How often did you perform shipment-vs-sales reconciliations?” / “Who reviewed them?” / “Was your work ever found wrong?” / “What does it take to subtract 3,104 from 4,217?”</w:t>
            </w:r>
          </w:p>
        </w:tc>
        <w:tc>
          <w:tcPr>
            <w:tcW w:type="dxa" w:w="2160"/>
          </w:tcPr>
          <w:p>
            <w:r/>
            <w:r>
              <w:rPr>
                <w:b w:val="0"/>
                <w:i w:val="0"/>
                <w:sz w:val="20"/>
              </w:rPr>
              <w:t>Dep. 215–216, 218</w:t>
            </w:r>
          </w:p>
        </w:tc>
      </w:tr>
      <w:tr>
        <w:tc>
          <w:tcPr>
            <w:tcW w:type="dxa" w:w="2016"/>
          </w:tcPr>
          <w:p>
            <w:r/>
            <w:r>
              <w:rPr>
                <w:b w:val="0"/>
                <w:i w:val="0"/>
                <w:sz w:val="20"/>
              </w:rPr>
              <w:t>DVOSS01 “someone else could have”</w:t>
            </w:r>
          </w:p>
        </w:tc>
        <w:tc>
          <w:tcPr>
            <w:tcW w:type="dxa" w:w="5184"/>
          </w:tcPr>
          <w:p>
            <w:r/>
            <w:r>
              <w:rPr>
                <w:b w:val="0"/>
                <w:i w:val="0"/>
                <w:sz w:val="20"/>
              </w:rPr>
              <w:t>“In five and a half years, did you ever see anyone else use DVOSS01?” / “What did Cascade policy say about sharing credentials?”</w:t>
            </w:r>
          </w:p>
        </w:tc>
        <w:tc>
          <w:tcPr>
            <w:tcW w:type="dxa" w:w="2160"/>
          </w:tcPr>
          <w:p>
            <w:r/>
            <w:r>
              <w:rPr>
                <w:b w:val="0"/>
                <w:i w:val="0"/>
                <w:sz w:val="20"/>
              </w:rPr>
              <w:t>Dep. 121, 123, 131</w:t>
            </w:r>
          </w:p>
        </w:tc>
      </w:tr>
      <w:tr>
        <w:tc>
          <w:tcPr>
            <w:tcW w:type="dxa" w:w="2016"/>
          </w:tcPr>
          <w:p>
            <w:r/>
            <w:r>
              <w:rPr>
                <w:b w:val="0"/>
                <w:i w:val="0"/>
                <w:sz w:val="20"/>
              </w:rPr>
              <w:t>Release / accepted restructuring</w:t>
            </w:r>
          </w:p>
        </w:tc>
        <w:tc>
          <w:tcPr>
            <w:tcW w:type="dxa" w:w="5184"/>
          </w:tcPr>
          <w:p>
            <w:r/>
            <w:r>
              <w:rPr>
                <w:b w:val="0"/>
                <w:i w:val="0"/>
                <w:sz w:val="20"/>
              </w:rPr>
              <w:t>“Why did you sign?” / “Did anyone ever show you a restructuring plan?” / “Had anyone else in your department lost their job when you left?”</w:t>
            </w:r>
          </w:p>
        </w:tc>
        <w:tc>
          <w:tcPr>
            <w:tcW w:type="dxa" w:w="2160"/>
          </w:tcPr>
          <w:p>
            <w:r/>
            <w:r>
              <w:rPr>
                <w:b w:val="0"/>
                <w:i w:val="0"/>
                <w:sz w:val="20"/>
              </w:rPr>
              <w:t>Dep. 106–107, 228–229</w:t>
            </w:r>
          </w:p>
        </w:tc>
      </w:tr>
      <w:tr>
        <w:tc>
          <w:tcPr>
            <w:tcW w:type="dxa" w:w="2016"/>
          </w:tcPr>
          <w:p>
            <w:r/>
            <w:r>
              <w:rPr>
                <w:b w:val="0"/>
                <w:i w:val="0"/>
                <w:sz w:val="20"/>
              </w:rPr>
              <w:t>Did not use hotline / go to Ridgeline</w:t>
            </w:r>
          </w:p>
        </w:tc>
        <w:tc>
          <w:tcPr>
            <w:tcW w:type="dxa" w:w="5184"/>
          </w:tcPr>
          <w:p>
            <w:r/>
            <w:r>
              <w:rPr>
                <w:b w:val="0"/>
                <w:i w:val="0"/>
                <w:sz w:val="20"/>
              </w:rPr>
              <w:t>“Whom did you report to?” / “Who was the most senior lawyer at Cascade?” / “What did he tell you to do?”</w:t>
            </w:r>
          </w:p>
        </w:tc>
        <w:tc>
          <w:tcPr>
            <w:tcW w:type="dxa" w:w="2160"/>
          </w:tcPr>
          <w:p>
            <w:r/>
            <w:r>
              <w:rPr>
                <w:b w:val="0"/>
                <w:i w:val="0"/>
                <w:sz w:val="20"/>
              </w:rPr>
              <w:t>Dep. 170, 176; Greer memo</w:t>
            </w:r>
          </w:p>
        </w:tc>
      </w:tr>
    </w:tbl>
    <w:p>
      <w:pPr>
        <w:spacing w:after="40"/>
      </w:pPr>
    </w:p>
    <w:p>
      <w:pPr>
        <w:pStyle w:val="Heading1"/>
      </w:pPr>
      <w:r>
        <w:t>Part VII. Objections Plaintiff Should Anticipate on Direct — and Responses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D9E2F3"/>
          </w:tcPr>
          <w:p>
            <w:r/>
            <w:r>
              <w:rPr>
                <w:b/>
                <w:i w:val="0"/>
                <w:sz w:val="20"/>
              </w:rPr>
              <w:t>Likely objection</w:t>
            </w:r>
          </w:p>
        </w:tc>
        <w:tc>
          <w:tcPr>
            <w:tcW w:type="dxa" w:w="1296"/>
            <w:shd w:val="clear" w:color="auto" w:fill="D9E2F3"/>
          </w:tcPr>
          <w:p>
            <w:r/>
            <w:r>
              <w:rPr>
                <w:b/>
                <w:i w:val="0"/>
                <w:sz w:val="20"/>
              </w:rPr>
              <w:t>Where</w:t>
            </w:r>
          </w:p>
        </w:tc>
        <w:tc>
          <w:tcPr>
            <w:tcW w:type="dxa" w:w="5184"/>
            <w:shd w:val="clear" w:color="auto" w:fill="D9E2F3"/>
          </w:tcPr>
          <w:p>
            <w:r/>
            <w:r>
              <w:rPr>
                <w:b/>
                <w:i w:val="0"/>
                <w:sz w:val="20"/>
              </w:rPr>
              <w:t>Response / cure</w:t>
            </w:r>
          </w:p>
        </w:tc>
      </w:tr>
      <w:tr>
        <w:tc>
          <w:tcPr>
            <w:tcW w:type="dxa" w:w="2880"/>
          </w:tcPr>
          <w:p>
            <w:r/>
            <w:r>
              <w:rPr>
                <w:b w:val="0"/>
                <w:i w:val="0"/>
                <w:sz w:val="20"/>
              </w:rPr>
              <w:t>Hearsay (Elliston’s own emails)</w:t>
            </w:r>
          </w:p>
        </w:tc>
        <w:tc>
          <w:tcPr>
            <w:tcW w:type="dxa" w:w="1296"/>
          </w:tcPr>
          <w:p>
            <w:r/>
            <w:r>
              <w:rPr>
                <w:b w:val="0"/>
                <w:i w:val="0"/>
                <w:sz w:val="20"/>
              </w:rPr>
              <w:t>Ch. 7</w:t>
            </w:r>
          </w:p>
        </w:tc>
        <w:tc>
          <w:tcPr>
            <w:tcW w:type="dxa" w:w="5184"/>
          </w:tcPr>
          <w:p>
            <w:r/>
            <w:r>
              <w:rPr>
                <w:b w:val="0"/>
                <w:i w:val="0"/>
                <w:sz w:val="20"/>
              </w:rPr>
              <w:t>Order § III: 801(d)(2)(D); already ruled admissible.</w:t>
            </w:r>
          </w:p>
        </w:tc>
      </w:tr>
      <w:tr>
        <w:tc>
          <w:tcPr>
            <w:tcW w:type="dxa" w:w="2880"/>
          </w:tcPr>
          <w:p>
            <w:r/>
            <w:r>
              <w:rPr>
                <w:b w:val="0"/>
                <w:i w:val="0"/>
                <w:sz w:val="20"/>
              </w:rPr>
              <w:t>Hearsay (Voss, Trimble, Greer)</w:t>
            </w:r>
          </w:p>
        </w:tc>
        <w:tc>
          <w:tcPr>
            <w:tcW w:type="dxa" w:w="1296"/>
          </w:tcPr>
          <w:p>
            <w:r/>
            <w:r>
              <w:rPr>
                <w:b w:val="0"/>
                <w:i w:val="0"/>
                <w:sz w:val="20"/>
              </w:rPr>
              <w:t>Ch. 7, 11</w:t>
            </w:r>
          </w:p>
        </w:tc>
        <w:tc>
          <w:tcPr>
            <w:tcW w:type="dxa" w:w="5184"/>
          </w:tcPr>
          <w:p>
            <w:r/>
            <w:r>
              <w:rPr>
                <w:b w:val="0"/>
                <w:i w:val="0"/>
                <w:sz w:val="20"/>
              </w:rPr>
              <w:t>801(d)(2)(A),(D); lay identity/role/context first (Order §§ IV, XII(3)).</w:t>
            </w:r>
          </w:p>
        </w:tc>
      </w:tr>
      <w:tr>
        <w:tc>
          <w:tcPr>
            <w:tcW w:type="dxa" w:w="2880"/>
          </w:tcPr>
          <w:p>
            <w:r/>
            <w:r>
              <w:rPr>
                <w:b w:val="0"/>
                <w:i w:val="0"/>
                <w:sz w:val="20"/>
              </w:rPr>
              <w:t>Partial writing (FRE 106)</w:t>
            </w:r>
          </w:p>
        </w:tc>
        <w:tc>
          <w:tcPr>
            <w:tcW w:type="dxa" w:w="1296"/>
          </w:tcPr>
          <w:p>
            <w:r/>
            <w:r>
              <w:rPr>
                <w:b w:val="0"/>
                <w:i w:val="0"/>
                <w:sz w:val="20"/>
              </w:rPr>
              <w:t>Ch. 7</w:t>
            </w:r>
          </w:p>
        </w:tc>
        <w:tc>
          <w:tcPr>
            <w:tcW w:type="dxa" w:w="5184"/>
          </w:tcPr>
          <w:p>
            <w:r/>
            <w:r>
              <w:rPr>
                <w:b w:val="0"/>
                <w:i w:val="0"/>
                <w:sz w:val="20"/>
              </w:rPr>
              <w:t>Offer complete chains; include Greer cover email and memo.</w:t>
            </w:r>
          </w:p>
        </w:tc>
      </w:tr>
      <w:tr>
        <w:tc>
          <w:tcPr>
            <w:tcW w:type="dxa" w:w="2880"/>
          </w:tcPr>
          <w:p>
            <w:r/>
            <w:r>
              <w:rPr>
                <w:b w:val="0"/>
                <w:i w:val="0"/>
                <w:sz w:val="20"/>
              </w:rPr>
              <w:t>FRE 701/702 — dollar figures</w:t>
            </w:r>
          </w:p>
        </w:tc>
        <w:tc>
          <w:tcPr>
            <w:tcW w:type="dxa" w:w="1296"/>
          </w:tcPr>
          <w:p>
            <w:r/>
            <w:r>
              <w:rPr>
                <w:b w:val="0"/>
                <w:i w:val="0"/>
                <w:sz w:val="20"/>
              </w:rPr>
              <w:t>Ch. 3, 6</w:t>
            </w:r>
          </w:p>
        </w:tc>
        <w:tc>
          <w:tcPr>
            <w:tcW w:type="dxa" w:w="5184"/>
          </w:tcPr>
          <w:p>
            <w:r/>
            <w:r>
              <w:rPr>
                <w:b w:val="0"/>
                <w:i w:val="0"/>
                <w:sz w:val="20"/>
              </w:rPr>
              <w:t>Only $1,271.34 per unit elicited; no multiplication; redact dollar columns.</w:t>
            </w:r>
          </w:p>
        </w:tc>
      </w:tr>
      <w:tr>
        <w:tc>
          <w:tcPr>
            <w:tcW w:type="dxa" w:w="2880"/>
          </w:tcPr>
          <w:p>
            <w:r/>
            <w:r>
              <w:rPr>
                <w:b w:val="0"/>
                <w:i w:val="0"/>
                <w:sz w:val="20"/>
              </w:rPr>
              <w:t>Lack of foundation — DVOSS01</w:t>
            </w:r>
          </w:p>
        </w:tc>
        <w:tc>
          <w:tcPr>
            <w:tcW w:type="dxa" w:w="1296"/>
          </w:tcPr>
          <w:p>
            <w:r/>
            <w:r>
              <w:rPr>
                <w:b w:val="0"/>
                <w:i w:val="0"/>
                <w:sz w:val="20"/>
              </w:rPr>
              <w:t>Ch. 5</w:t>
            </w:r>
          </w:p>
        </w:tc>
        <w:tc>
          <w:tcPr>
            <w:tcW w:type="dxa" w:w="5184"/>
          </w:tcPr>
          <w:p>
            <w:r/>
            <w:r>
              <w:rPr>
                <w:b w:val="0"/>
                <w:i w:val="0"/>
                <w:sz w:val="20"/>
              </w:rPr>
              <w:t>Lay user-ID convention, own ID, policy, personal observation before the “created by” question (Order § VII(3)–(4)).</w:t>
            </w:r>
          </w:p>
        </w:tc>
      </w:tr>
      <w:tr>
        <w:tc>
          <w:tcPr>
            <w:tcW w:type="dxa" w:w="2880"/>
          </w:tcPr>
          <w:p>
            <w:r/>
            <w:r>
              <w:rPr>
                <w:b w:val="0"/>
                <w:i w:val="0"/>
                <w:sz w:val="20"/>
              </w:rPr>
              <w:t>Authentication — spreadsheet</w:t>
            </w:r>
          </w:p>
        </w:tc>
        <w:tc>
          <w:tcPr>
            <w:tcW w:type="dxa" w:w="1296"/>
          </w:tcPr>
          <w:p>
            <w:r/>
            <w:r>
              <w:rPr>
                <w:b w:val="0"/>
                <w:i w:val="0"/>
                <w:sz w:val="20"/>
              </w:rPr>
              <w:t>Ch. 6</w:t>
            </w:r>
          </w:p>
        </w:tc>
        <w:tc>
          <w:tcPr>
            <w:tcW w:type="dxa" w:w="5184"/>
          </w:tcPr>
          <w:p>
            <w:r/>
            <w:r>
              <w:rPr>
                <w:b w:val="0"/>
                <w:i w:val="0"/>
                <w:sz w:val="20"/>
              </w:rPr>
              <w:t>Four-element foundation (Order § IX); Cascade-produced native attachment; 901(b)(4).</w:t>
            </w:r>
          </w:p>
        </w:tc>
      </w:tr>
      <w:tr>
        <w:tc>
          <w:tcPr>
            <w:tcW w:type="dxa" w:w="2880"/>
          </w:tcPr>
          <w:p>
            <w:r/>
            <w:r>
              <w:rPr>
                <w:b w:val="0"/>
                <w:i w:val="0"/>
                <w:sz w:val="20"/>
              </w:rPr>
              <w:t>Hearsay — Karen Cho</w:t>
            </w:r>
          </w:p>
        </w:tc>
        <w:tc>
          <w:tcPr>
            <w:tcW w:type="dxa" w:w="1296"/>
          </w:tcPr>
          <w:p>
            <w:r/>
            <w:r>
              <w:rPr>
                <w:b w:val="0"/>
                <w:i w:val="0"/>
                <w:sz w:val="20"/>
              </w:rPr>
              <w:t>Ch. 7C</w:t>
            </w:r>
          </w:p>
        </w:tc>
        <w:tc>
          <w:tcPr>
            <w:tcW w:type="dxa" w:w="5184"/>
          </w:tcPr>
          <w:p>
            <w:r/>
            <w:r>
              <w:rPr>
                <w:b w:val="0"/>
                <w:i w:val="0"/>
                <w:sz w:val="20"/>
              </w:rPr>
              <w:t>801(d)(2)(D) foundation for both layers; otherwise withdraw and rely on records/Kowalski.</w:t>
            </w:r>
          </w:p>
        </w:tc>
      </w:tr>
      <w:tr>
        <w:tc>
          <w:tcPr>
            <w:tcW w:type="dxa" w:w="2880"/>
          </w:tcPr>
          <w:p>
            <w:r/>
            <w:r>
              <w:rPr>
                <w:b w:val="0"/>
                <w:i w:val="0"/>
                <w:sz w:val="20"/>
              </w:rPr>
              <w:t>Speculation — reasons for late report or termination</w:t>
            </w:r>
          </w:p>
        </w:tc>
        <w:tc>
          <w:tcPr>
            <w:tcW w:type="dxa" w:w="1296"/>
          </w:tcPr>
          <w:p>
            <w:r/>
            <w:r>
              <w:rPr>
                <w:b w:val="0"/>
                <w:i w:val="0"/>
                <w:sz w:val="20"/>
              </w:rPr>
              <w:t>Ch. 7C, 11</w:t>
            </w:r>
          </w:p>
        </w:tc>
        <w:tc>
          <w:tcPr>
            <w:tcW w:type="dxa" w:w="5184"/>
          </w:tcPr>
          <w:p>
            <w:r/>
            <w:r>
              <w:rPr>
                <w:b w:val="0"/>
                <w:i w:val="0"/>
                <w:sz w:val="20"/>
              </w:rPr>
              <w:t>Do not ask; argue from facts in closing.</w:t>
            </w:r>
          </w:p>
        </w:tc>
      </w:tr>
      <w:tr>
        <w:tc>
          <w:tcPr>
            <w:tcW w:type="dxa" w:w="2880"/>
          </w:tcPr>
          <w:p>
            <w:r/>
            <w:r>
              <w:rPr>
                <w:b w:val="0"/>
                <w:i w:val="0"/>
                <w:sz w:val="20"/>
              </w:rPr>
              <w:t>Legal conclusion — “violated § 7.3,” “fraud,” “shell”</w:t>
            </w:r>
          </w:p>
        </w:tc>
        <w:tc>
          <w:tcPr>
            <w:tcW w:type="dxa" w:w="1296"/>
          </w:tcPr>
          <w:p>
            <w:r/>
            <w:r>
              <w:rPr>
                <w:b w:val="0"/>
                <w:i w:val="0"/>
                <w:sz w:val="20"/>
              </w:rPr>
              <w:t>Ch. 4–5, 7</w:t>
            </w:r>
          </w:p>
        </w:tc>
        <w:tc>
          <w:tcPr>
            <w:tcW w:type="dxa" w:w="5184"/>
          </w:tcPr>
          <w:p>
            <w:r/>
            <w:r>
              <w:rPr>
                <w:b w:val="0"/>
                <w:i w:val="0"/>
                <w:sz w:val="20"/>
              </w:rPr>
              <w:t>Stick to observations; the emails speak for themselves.</w:t>
            </w:r>
          </w:p>
        </w:tc>
      </w:tr>
      <w:tr>
        <w:tc>
          <w:tcPr>
            <w:tcW w:type="dxa" w:w="2880"/>
          </w:tcPr>
          <w:p>
            <w:r/>
            <w:r>
              <w:rPr>
                <w:b w:val="0"/>
                <w:i w:val="0"/>
                <w:sz w:val="20"/>
              </w:rPr>
              <w:t>Leading</w:t>
            </w:r>
          </w:p>
        </w:tc>
        <w:tc>
          <w:tcPr>
            <w:tcW w:type="dxa" w:w="1296"/>
          </w:tcPr>
          <w:p>
            <w:r/>
            <w:r>
              <w:rPr>
                <w:b w:val="0"/>
                <w:i w:val="0"/>
                <w:sz w:val="20"/>
              </w:rPr>
              <w:t>Throughout</w:t>
            </w:r>
          </w:p>
        </w:tc>
        <w:tc>
          <w:tcPr>
            <w:tcW w:type="dxa" w:w="5184"/>
          </w:tcPr>
          <w:p>
            <w:r/>
            <w:r>
              <w:rPr>
                <w:b w:val="0"/>
                <w:i w:val="0"/>
                <w:sz w:val="20"/>
              </w:rPr>
              <w:t>Rephrase with who/what/when/why; he is a friendly witness.</w:t>
            </w:r>
          </w:p>
        </w:tc>
      </w:tr>
      <w:tr>
        <w:tc>
          <w:tcPr>
            <w:tcW w:type="dxa" w:w="2880"/>
          </w:tcPr>
          <w:p>
            <w:r/>
            <w:r>
              <w:rPr>
                <w:b w:val="0"/>
                <w:i w:val="0"/>
                <w:sz w:val="20"/>
              </w:rPr>
              <w:t>Improper argument re retaliation</w:t>
            </w:r>
          </w:p>
        </w:tc>
        <w:tc>
          <w:tcPr>
            <w:tcW w:type="dxa" w:w="1296"/>
          </w:tcPr>
          <w:p>
            <w:r/>
            <w:r>
              <w:rPr>
                <w:b w:val="0"/>
                <w:i w:val="0"/>
                <w:sz w:val="20"/>
              </w:rPr>
              <w:t>Ch. 11</w:t>
            </w:r>
          </w:p>
        </w:tc>
        <w:tc>
          <w:tcPr>
            <w:tcW w:type="dxa" w:w="5184"/>
          </w:tcPr>
          <w:p>
            <w:r/>
            <w:r>
              <w:rPr>
                <w:b w:val="0"/>
                <w:i w:val="0"/>
                <w:sz w:val="20"/>
              </w:rPr>
              <w:t>Use “termination,” not “retaliation” (Order § VIII limitation).</w:t>
            </w:r>
          </w:p>
        </w:tc>
      </w:tr>
    </w:tbl>
    <w:p>
      <w:pPr>
        <w:spacing w:after="40"/>
      </w:pPr>
    </w:p>
    <w:p>
      <w:pPr>
        <w:pStyle w:val="Heading1"/>
      </w:pPr>
      <w:r>
        <w:t>Part VIII. Key Chronology (Counsel Reference)</w:t>
      </w:r>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D9E2F3"/>
          </w:tcPr>
          <w:p>
            <w:r/>
            <w:r>
              <w:rPr>
                <w:b/>
                <w:i w:val="0"/>
                <w:sz w:val="20"/>
              </w:rPr>
              <w:t>Date</w:t>
            </w:r>
          </w:p>
        </w:tc>
        <w:tc>
          <w:tcPr>
            <w:tcW w:type="dxa" w:w="5616"/>
            <w:shd w:val="clear" w:color="auto" w:fill="D9E2F3"/>
          </w:tcPr>
          <w:p>
            <w:r/>
            <w:r>
              <w:rPr>
                <w:b/>
                <w:i w:val="0"/>
                <w:sz w:val="20"/>
              </w:rPr>
              <w:t>Event</w:t>
            </w:r>
          </w:p>
        </w:tc>
        <w:tc>
          <w:tcPr>
            <w:tcW w:type="dxa" w:w="1872"/>
            <w:shd w:val="clear" w:color="auto" w:fill="D9E2F3"/>
          </w:tcPr>
          <w:p>
            <w:r/>
            <w:r>
              <w:rPr>
                <w:b/>
                <w:i w:val="0"/>
                <w:sz w:val="20"/>
              </w:rPr>
              <w:t>Source</w:t>
            </w:r>
          </w:p>
        </w:tc>
      </w:tr>
      <w:tr>
        <w:tc>
          <w:tcPr>
            <w:tcW w:type="dxa" w:w="1872"/>
          </w:tcPr>
          <w:p>
            <w:r/>
            <w:r>
              <w:rPr>
                <w:b w:val="0"/>
                <w:i w:val="0"/>
                <w:sz w:val="20"/>
              </w:rPr>
              <w:t>Aug. 2018</w:t>
            </w:r>
          </w:p>
        </w:tc>
        <w:tc>
          <w:tcPr>
            <w:tcW w:type="dxa" w:w="5616"/>
          </w:tcPr>
          <w:p>
            <w:r/>
            <w:r>
              <w:rPr>
                <w:b w:val="0"/>
                <w:i w:val="0"/>
                <w:sz w:val="20"/>
              </w:rPr>
              <w:t>Elliston joins Cascade; SAP training</w:t>
            </w:r>
          </w:p>
        </w:tc>
        <w:tc>
          <w:tcPr>
            <w:tcW w:type="dxa" w:w="1872"/>
          </w:tcPr>
          <w:p>
            <w:r/>
            <w:r>
              <w:rPr>
                <w:b w:val="0"/>
                <w:i w:val="0"/>
                <w:sz w:val="20"/>
              </w:rPr>
              <w:t>Dep. 15, 17</w:t>
            </w:r>
          </w:p>
        </w:tc>
      </w:tr>
      <w:tr>
        <w:tc>
          <w:tcPr>
            <w:tcW w:type="dxa" w:w="1872"/>
          </w:tcPr>
          <w:p>
            <w:r/>
            <w:r>
              <w:rPr>
                <w:b w:val="0"/>
                <w:i w:val="0"/>
                <w:sz w:val="20"/>
              </w:rPr>
              <w:t>Mar. 15, 2019</w:t>
            </w:r>
          </w:p>
        </w:tc>
        <w:tc>
          <w:tcPr>
            <w:tcW w:type="dxa" w:w="5616"/>
          </w:tcPr>
          <w:p>
            <w:r/>
            <w:r>
              <w:rPr>
                <w:b w:val="0"/>
                <w:i w:val="0"/>
                <w:sz w:val="20"/>
              </w:rPr>
              <w:t>EDA executed (term to Mar. 14, 2024)</w:t>
            </w:r>
          </w:p>
        </w:tc>
        <w:tc>
          <w:tcPr>
            <w:tcW w:type="dxa" w:w="1872"/>
          </w:tcPr>
          <w:p>
            <w:r/>
            <w:r>
              <w:rPr>
                <w:b w:val="0"/>
                <w:i w:val="0"/>
                <w:sz w:val="20"/>
              </w:rPr>
              <w:t>EDA § 3.1</w:t>
            </w:r>
          </w:p>
        </w:tc>
      </w:tr>
      <w:tr>
        <w:tc>
          <w:tcPr>
            <w:tcW w:type="dxa" w:w="1872"/>
          </w:tcPr>
          <w:p>
            <w:r/>
            <w:r>
              <w:rPr>
                <w:b w:val="0"/>
                <w:i w:val="0"/>
                <w:sz w:val="20"/>
              </w:rPr>
              <w:t>Apr. 3, 2022</w:t>
            </w:r>
          </w:p>
        </w:tc>
        <w:tc>
          <w:tcPr>
            <w:tcW w:type="dxa" w:w="5616"/>
          </w:tcPr>
          <w:p>
            <w:r/>
            <w:r>
              <w:rPr>
                <w:b w:val="0"/>
                <w:i w:val="0"/>
                <w:sz w:val="20"/>
              </w:rPr>
              <w:t>MidAmerican formed in Delaware (not through Elliston)</w:t>
            </w:r>
          </w:p>
        </w:tc>
        <w:tc>
          <w:tcPr>
            <w:tcW w:type="dxa" w:w="1872"/>
          </w:tcPr>
          <w:p>
            <w:r/>
            <w:r>
              <w:rPr>
                <w:b w:val="0"/>
                <w:i w:val="0"/>
                <w:sz w:val="20"/>
              </w:rPr>
              <w:t>Order § II; Kowalski</w:t>
            </w:r>
          </w:p>
        </w:tc>
      </w:tr>
      <w:tr>
        <w:tc>
          <w:tcPr>
            <w:tcW w:type="dxa" w:w="1872"/>
          </w:tcPr>
          <w:p>
            <w:r/>
            <w:r>
              <w:rPr>
                <w:b w:val="0"/>
                <w:i w:val="0"/>
                <w:sz w:val="20"/>
              </w:rPr>
              <w:t>Apr. 18, 2022</w:t>
            </w:r>
          </w:p>
        </w:tc>
        <w:tc>
          <w:tcPr>
            <w:tcW w:type="dxa" w:w="5616"/>
          </w:tcPr>
          <w:p>
            <w:r/>
            <w:r>
              <w:rPr>
                <w:b w:val="0"/>
                <w:i w:val="0"/>
                <w:sz w:val="20"/>
              </w:rPr>
              <w:t>MidAmerican SAP account created by DVOSS01</w:t>
            </w:r>
          </w:p>
        </w:tc>
        <w:tc>
          <w:tcPr>
            <w:tcW w:type="dxa" w:w="1872"/>
          </w:tcPr>
          <w:p>
            <w:r/>
            <w:r>
              <w:rPr>
                <w:b w:val="0"/>
                <w:i w:val="0"/>
                <w:sz w:val="20"/>
              </w:rPr>
              <w:t>Dep. 125–126</w:t>
            </w:r>
          </w:p>
        </w:tc>
      </w:tr>
      <w:tr>
        <w:tc>
          <w:tcPr>
            <w:tcW w:type="dxa" w:w="1872"/>
          </w:tcPr>
          <w:p>
            <w:r/>
            <w:r>
              <w:rPr>
                <w:b w:val="0"/>
                <w:i w:val="0"/>
                <w:sz w:val="20"/>
              </w:rPr>
              <w:t>Early 2023</w:t>
            </w:r>
          </w:p>
        </w:tc>
        <w:tc>
          <w:tcPr>
            <w:tcW w:type="dxa" w:w="5616"/>
          </w:tcPr>
          <w:p>
            <w:r/>
            <w:r>
              <w:rPr>
                <w:b w:val="0"/>
                <w:i w:val="0"/>
                <w:sz w:val="20"/>
              </w:rPr>
              <w:t>Commission-tier disagreement with Trimble</w:t>
            </w:r>
          </w:p>
        </w:tc>
        <w:tc>
          <w:tcPr>
            <w:tcW w:type="dxa" w:w="1872"/>
          </w:tcPr>
          <w:p>
            <w:r/>
            <w:r>
              <w:rPr>
                <w:b w:val="0"/>
                <w:i w:val="0"/>
                <w:sz w:val="20"/>
              </w:rPr>
              <w:t>Dep. 189–190</w:t>
            </w:r>
          </w:p>
        </w:tc>
      </w:tr>
      <w:tr>
        <w:tc>
          <w:tcPr>
            <w:tcW w:type="dxa" w:w="1872"/>
          </w:tcPr>
          <w:p>
            <w:r/>
            <w:r>
              <w:rPr>
                <w:b w:val="0"/>
                <w:i w:val="0"/>
                <w:sz w:val="20"/>
              </w:rPr>
              <w:t>July 2023</w:t>
            </w:r>
          </w:p>
        </w:tc>
        <w:tc>
          <w:tcPr>
            <w:tcW w:type="dxa" w:w="5616"/>
          </w:tcPr>
          <w:p>
            <w:r/>
            <w:r>
              <w:rPr>
                <w:b w:val="0"/>
                <w:i w:val="0"/>
                <w:sz w:val="20"/>
              </w:rPr>
              <w:t>Performance review: “exceeds expectations”</w:t>
            </w:r>
          </w:p>
        </w:tc>
        <w:tc>
          <w:tcPr>
            <w:tcW w:type="dxa" w:w="1872"/>
          </w:tcPr>
          <w:p>
            <w:r/>
            <w:r>
              <w:rPr>
                <w:b w:val="0"/>
                <w:i w:val="0"/>
                <w:sz w:val="20"/>
              </w:rPr>
              <w:t>Dep. 99</w:t>
            </w:r>
          </w:p>
        </w:tc>
      </w:tr>
      <w:tr>
        <w:tc>
          <w:tcPr>
            <w:tcW w:type="dxa" w:w="1872"/>
          </w:tcPr>
          <w:p>
            <w:r/>
            <w:r>
              <w:rPr>
                <w:b w:val="0"/>
                <w:i w:val="0"/>
                <w:sz w:val="20"/>
              </w:rPr>
              <w:t>~Sept. 21–22, 2023</w:t>
            </w:r>
          </w:p>
        </w:tc>
        <w:tc>
          <w:tcPr>
            <w:tcW w:type="dxa" w:w="5616"/>
          </w:tcPr>
          <w:p>
            <w:r/>
            <w:r>
              <w:rPr>
                <w:b w:val="0"/>
                <w:i w:val="0"/>
                <w:sz w:val="20"/>
              </w:rPr>
              <w:t>Gap first noticed; spreadsheet begun (metadata Sept. 22)</w:t>
            </w:r>
          </w:p>
        </w:tc>
        <w:tc>
          <w:tcPr>
            <w:tcW w:type="dxa" w:w="1872"/>
          </w:tcPr>
          <w:p>
            <w:r/>
            <w:r>
              <w:rPr>
                <w:b w:val="0"/>
                <w:i w:val="0"/>
                <w:sz w:val="20"/>
              </w:rPr>
              <w:t>Dep. 73–74, 83</w:t>
            </w:r>
          </w:p>
        </w:tc>
      </w:tr>
      <w:tr>
        <w:tc>
          <w:tcPr>
            <w:tcW w:type="dxa" w:w="1872"/>
          </w:tcPr>
          <w:p>
            <w:r/>
            <w:r>
              <w:rPr>
                <w:b w:val="0"/>
                <w:i w:val="0"/>
                <w:sz w:val="20"/>
              </w:rPr>
              <w:t>Mon., Sept. 25, 2023</w:t>
            </w:r>
          </w:p>
        </w:tc>
        <w:tc>
          <w:tcPr>
            <w:tcW w:type="dxa" w:w="5616"/>
          </w:tcPr>
          <w:p>
            <w:r/>
            <w:r>
              <w:rPr>
                <w:b w:val="0"/>
                <w:i w:val="0"/>
                <w:sz w:val="20"/>
              </w:rPr>
              <w:t>Confirms gap; brief conversation with Voss</w:t>
            </w:r>
          </w:p>
        </w:tc>
        <w:tc>
          <w:tcPr>
            <w:tcW w:type="dxa" w:w="1872"/>
          </w:tcPr>
          <w:p>
            <w:r/>
            <w:r>
              <w:rPr>
                <w:b w:val="0"/>
                <w:i w:val="0"/>
                <w:sz w:val="20"/>
              </w:rPr>
              <w:t>Dep. 72; Sept. 28 email</w:t>
            </w:r>
          </w:p>
        </w:tc>
      </w:tr>
      <w:tr>
        <w:tc>
          <w:tcPr>
            <w:tcW w:type="dxa" w:w="1872"/>
          </w:tcPr>
          <w:p>
            <w:r/>
            <w:r>
              <w:rPr>
                <w:b w:val="0"/>
                <w:i w:val="0"/>
                <w:sz w:val="20"/>
              </w:rPr>
              <w:t>Thu., Sept. 28, 2023</w:t>
            </w:r>
          </w:p>
        </w:tc>
        <w:tc>
          <w:tcPr>
            <w:tcW w:type="dxa" w:w="5616"/>
          </w:tcPr>
          <w:p>
            <w:r/>
            <w:r>
              <w:rPr>
                <w:b w:val="0"/>
                <w:i w:val="0"/>
                <w:sz w:val="20"/>
              </w:rPr>
              <w:t>Email #1 to Voss (2:17 PM); Voss: “Don’t share this with anyone else for now” (4:51 PM)</w:t>
            </w:r>
          </w:p>
        </w:tc>
        <w:tc>
          <w:tcPr>
            <w:tcW w:type="dxa" w:w="1872"/>
          </w:tcPr>
          <w:p>
            <w:r/>
            <w:r>
              <w:rPr>
                <w:b w:val="0"/>
                <w:i w:val="0"/>
                <w:sz w:val="20"/>
              </w:rPr>
              <w:t>CASCADE_EMAIL_003856–57</w:t>
            </w:r>
          </w:p>
        </w:tc>
      </w:tr>
      <w:tr>
        <w:tc>
          <w:tcPr>
            <w:tcW w:type="dxa" w:w="1872"/>
          </w:tcPr>
          <w:p>
            <w:r/>
            <w:r>
              <w:rPr>
                <w:b w:val="0"/>
                <w:i w:val="0"/>
                <w:sz w:val="20"/>
              </w:rPr>
              <w:t>Thu., Oct. 5, 2023</w:t>
            </w:r>
          </w:p>
        </w:tc>
        <w:tc>
          <w:tcPr>
            <w:tcW w:type="dxa" w:w="5616"/>
          </w:tcPr>
          <w:p>
            <w:r/>
            <w:r>
              <w:rPr>
                <w:b w:val="0"/>
                <w:i w:val="0"/>
                <w:sz w:val="20"/>
              </w:rPr>
              <w:t>Email #2 to Voss + Trimble: MidAmerican, Great Lakes, Summit</w:t>
            </w:r>
          </w:p>
        </w:tc>
        <w:tc>
          <w:tcPr>
            <w:tcW w:type="dxa" w:w="1872"/>
          </w:tcPr>
          <w:p>
            <w:r/>
            <w:r>
              <w:rPr>
                <w:b w:val="0"/>
                <w:i w:val="0"/>
                <w:sz w:val="20"/>
              </w:rPr>
              <w:t>CASCADE_EMAIL_003853</w:t>
            </w:r>
          </w:p>
        </w:tc>
      </w:tr>
      <w:tr>
        <w:tc>
          <w:tcPr>
            <w:tcW w:type="dxa" w:w="1872"/>
          </w:tcPr>
          <w:p>
            <w:r/>
            <w:r>
              <w:rPr>
                <w:b w:val="0"/>
                <w:i w:val="0"/>
                <w:sz w:val="20"/>
              </w:rPr>
              <w:t>Fri., Oct. 6, 2023</w:t>
            </w:r>
          </w:p>
        </w:tc>
        <w:tc>
          <w:tcPr>
            <w:tcW w:type="dxa" w:w="5616"/>
          </w:tcPr>
          <w:p>
            <w:r/>
            <w:r>
              <w:rPr>
                <w:b w:val="0"/>
                <w:i w:val="0"/>
                <w:sz w:val="20"/>
              </w:rPr>
              <w:t>Trimble: “finance matter ... being handled ... focus on your sales targets”</w:t>
            </w:r>
          </w:p>
        </w:tc>
        <w:tc>
          <w:tcPr>
            <w:tcW w:type="dxa" w:w="1872"/>
          </w:tcPr>
          <w:p>
            <w:r/>
            <w:r>
              <w:rPr>
                <w:b w:val="0"/>
                <w:i w:val="0"/>
                <w:sz w:val="20"/>
              </w:rPr>
              <w:t>CASCADE_EMAIL_003852</w:t>
            </w:r>
          </w:p>
        </w:tc>
      </w:tr>
      <w:tr>
        <w:tc>
          <w:tcPr>
            <w:tcW w:type="dxa" w:w="1872"/>
          </w:tcPr>
          <w:p>
            <w:r/>
            <w:r>
              <w:rPr>
                <w:b w:val="0"/>
                <w:i w:val="0"/>
                <w:sz w:val="20"/>
              </w:rPr>
              <w:t>Tue., Oct. 10, 2023</w:t>
            </w:r>
          </w:p>
        </w:tc>
        <w:tc>
          <w:tcPr>
            <w:tcW w:type="dxa" w:w="5616"/>
          </w:tcPr>
          <w:p>
            <w:r/>
            <w:r>
              <w:rPr>
                <w:b w:val="0"/>
                <w:i w:val="0"/>
                <w:sz w:val="20"/>
              </w:rPr>
              <w:t>Voss–Trimble 45-min closed-door meeting; Cho report of “hold”</w:t>
            </w:r>
          </w:p>
        </w:tc>
        <w:tc>
          <w:tcPr>
            <w:tcW w:type="dxa" w:w="1872"/>
          </w:tcPr>
          <w:p>
            <w:r/>
            <w:r>
              <w:rPr>
                <w:b w:val="0"/>
                <w:i w:val="0"/>
                <w:sz w:val="20"/>
              </w:rPr>
              <w:t>Dep. 155–156</w:t>
            </w:r>
          </w:p>
        </w:tc>
      </w:tr>
      <w:tr>
        <w:tc>
          <w:tcPr>
            <w:tcW w:type="dxa" w:w="1872"/>
          </w:tcPr>
          <w:p>
            <w:r/>
            <w:r>
              <w:rPr>
                <w:b w:val="0"/>
                <w:i w:val="0"/>
                <w:sz w:val="20"/>
              </w:rPr>
              <w:t>Oct. 30, 2023</w:t>
            </w:r>
          </w:p>
        </w:tc>
        <w:tc>
          <w:tcPr>
            <w:tcW w:type="dxa" w:w="5616"/>
          </w:tcPr>
          <w:p>
            <w:r/>
            <w:r>
              <w:rPr>
                <w:b w:val="0"/>
                <w:i w:val="0"/>
                <w:sz w:val="20"/>
              </w:rPr>
              <w:t>Q3 royalty report deadline passes</w:t>
            </w:r>
          </w:p>
        </w:tc>
        <w:tc>
          <w:tcPr>
            <w:tcW w:type="dxa" w:w="1872"/>
          </w:tcPr>
          <w:p>
            <w:r/>
            <w:r>
              <w:rPr>
                <w:b w:val="0"/>
                <w:i w:val="0"/>
                <w:sz w:val="20"/>
              </w:rPr>
              <w:t>EDA § 5.2; Kowalski § VIII</w:t>
            </w:r>
          </w:p>
        </w:tc>
      </w:tr>
      <w:tr>
        <w:tc>
          <w:tcPr>
            <w:tcW w:type="dxa" w:w="1872"/>
          </w:tcPr>
          <w:p>
            <w:r/>
            <w:r>
              <w:rPr>
                <w:b w:val="0"/>
                <w:i w:val="0"/>
                <w:sz w:val="20"/>
              </w:rPr>
              <w:t>Wed., Nov. 15, 2023</w:t>
            </w:r>
          </w:p>
        </w:tc>
        <w:tc>
          <w:tcPr>
            <w:tcW w:type="dxa" w:w="5616"/>
          </w:tcPr>
          <w:p>
            <w:r/>
            <w:r>
              <w:rPr>
                <w:b w:val="0"/>
                <w:i w:val="0"/>
                <w:sz w:val="20"/>
              </w:rPr>
              <w:t>Email #3 formal escalation to Voss, Trimble, Greer</w:t>
            </w:r>
          </w:p>
        </w:tc>
        <w:tc>
          <w:tcPr>
            <w:tcW w:type="dxa" w:w="1872"/>
          </w:tcPr>
          <w:p>
            <w:r/>
            <w:r>
              <w:rPr>
                <w:b w:val="0"/>
                <w:i w:val="0"/>
                <w:sz w:val="20"/>
              </w:rPr>
              <w:t>CASCADE_EMAIL_003849</w:t>
            </w:r>
          </w:p>
        </w:tc>
      </w:tr>
      <w:tr>
        <w:tc>
          <w:tcPr>
            <w:tcW w:type="dxa" w:w="1872"/>
          </w:tcPr>
          <w:p>
            <w:r/>
            <w:r>
              <w:rPr>
                <w:b w:val="0"/>
                <w:i w:val="0"/>
                <w:sz w:val="20"/>
              </w:rPr>
              <w:t>Fri., Nov. 17, 2023</w:t>
            </w:r>
          </w:p>
        </w:tc>
        <w:tc>
          <w:tcPr>
            <w:tcW w:type="dxa" w:w="5616"/>
          </w:tcPr>
          <w:p>
            <w:r/>
            <w:r>
              <w:rPr>
                <w:b w:val="0"/>
                <w:i w:val="0"/>
                <w:sz w:val="20"/>
              </w:rPr>
              <w:t>Q3 royalty report filed (18 days late; still omits MidAmerican)</w:t>
            </w:r>
          </w:p>
        </w:tc>
        <w:tc>
          <w:tcPr>
            <w:tcW w:type="dxa" w:w="1872"/>
          </w:tcPr>
          <w:p>
            <w:r/>
            <w:r>
              <w:rPr>
                <w:b w:val="0"/>
                <w:i w:val="0"/>
                <w:sz w:val="20"/>
              </w:rPr>
              <w:t>Kowalski § VIII</w:t>
            </w:r>
          </w:p>
        </w:tc>
      </w:tr>
      <w:tr>
        <w:tc>
          <w:tcPr>
            <w:tcW w:type="dxa" w:w="1872"/>
          </w:tcPr>
          <w:p>
            <w:r/>
            <w:r>
              <w:rPr>
                <w:b w:val="0"/>
                <w:i w:val="0"/>
                <w:sz w:val="20"/>
              </w:rPr>
              <w:t>Mon., Nov. 20, 2023</w:t>
            </w:r>
          </w:p>
        </w:tc>
        <w:tc>
          <w:tcPr>
            <w:tcW w:type="dxa" w:w="5616"/>
          </w:tcPr>
          <w:p>
            <w:r/>
            <w:r>
              <w:rPr>
                <w:b w:val="0"/>
                <w:i w:val="0"/>
                <w:sz w:val="20"/>
              </w:rPr>
              <w:t>USB copying</w:t>
            </w:r>
          </w:p>
        </w:tc>
        <w:tc>
          <w:tcPr>
            <w:tcW w:type="dxa" w:w="1872"/>
          </w:tcPr>
          <w:p>
            <w:r/>
            <w:r>
              <w:rPr>
                <w:b w:val="0"/>
                <w:i w:val="0"/>
                <w:sz w:val="20"/>
              </w:rPr>
              <w:t>Dep. 145</w:t>
            </w:r>
          </w:p>
        </w:tc>
      </w:tr>
      <w:tr>
        <w:tc>
          <w:tcPr>
            <w:tcW w:type="dxa" w:w="1872"/>
          </w:tcPr>
          <w:p>
            <w:r/>
            <w:r>
              <w:rPr>
                <w:b w:val="0"/>
                <w:i w:val="0"/>
                <w:sz w:val="20"/>
              </w:rPr>
              <w:t>Fri., Dec. 8, 2023</w:t>
            </w:r>
          </w:p>
        </w:tc>
        <w:tc>
          <w:tcPr>
            <w:tcW w:type="dxa" w:w="5616"/>
          </w:tcPr>
          <w:p>
            <w:r/>
            <w:r>
              <w:rPr>
                <w:b w:val="0"/>
                <w:i w:val="0"/>
                <w:sz w:val="20"/>
              </w:rPr>
              <w:t>Greer memo: “reviewed and resolved”; “refrain from further inquiries”</w:t>
            </w:r>
          </w:p>
        </w:tc>
        <w:tc>
          <w:tcPr>
            <w:tcW w:type="dxa" w:w="1872"/>
          </w:tcPr>
          <w:p>
            <w:r/>
            <w:r>
              <w:rPr>
                <w:b w:val="0"/>
                <w:i w:val="0"/>
                <w:sz w:val="20"/>
              </w:rPr>
              <w:t>CASCADE_EMAIL_003847–48</w:t>
            </w:r>
          </w:p>
        </w:tc>
      </w:tr>
      <w:tr>
        <w:tc>
          <w:tcPr>
            <w:tcW w:type="dxa" w:w="1872"/>
          </w:tcPr>
          <w:p>
            <w:r/>
            <w:r>
              <w:rPr>
                <w:b w:val="0"/>
                <w:i w:val="0"/>
                <w:sz w:val="20"/>
              </w:rPr>
              <w:t>Fri., Jan. 12, 2024</w:t>
            </w:r>
          </w:p>
        </w:tc>
        <w:tc>
          <w:tcPr>
            <w:tcW w:type="dxa" w:w="5616"/>
          </w:tcPr>
          <w:p>
            <w:r/>
            <w:r>
              <w:rPr>
                <w:b w:val="0"/>
                <w:i w:val="0"/>
                <w:sz w:val="20"/>
              </w:rPr>
              <w:t>Termination meeting (Voss, Partlow); “business decision, nothing personal”</w:t>
            </w:r>
          </w:p>
        </w:tc>
        <w:tc>
          <w:tcPr>
            <w:tcW w:type="dxa" w:w="1872"/>
          </w:tcPr>
          <w:p>
            <w:r/>
            <w:r>
              <w:rPr>
                <w:b w:val="0"/>
                <w:i w:val="0"/>
                <w:sz w:val="20"/>
              </w:rPr>
              <w:t>Dep. 105</w:t>
            </w:r>
          </w:p>
        </w:tc>
      </w:tr>
      <w:tr>
        <w:tc>
          <w:tcPr>
            <w:tcW w:type="dxa" w:w="1872"/>
          </w:tcPr>
          <w:p>
            <w:r/>
            <w:r>
              <w:rPr>
                <w:b w:val="0"/>
                <w:i w:val="0"/>
                <w:sz w:val="20"/>
              </w:rPr>
              <w:t>Fri., Jan. 19, 2024</w:t>
            </w:r>
          </w:p>
        </w:tc>
        <w:tc>
          <w:tcPr>
            <w:tcW w:type="dxa" w:w="5616"/>
          </w:tcPr>
          <w:p>
            <w:r/>
            <w:r>
              <w:rPr>
                <w:b w:val="0"/>
                <w:i w:val="0"/>
                <w:sz w:val="20"/>
              </w:rPr>
              <w:t>Severance Agreement signed; Exhibit A certification</w:t>
            </w:r>
          </w:p>
        </w:tc>
        <w:tc>
          <w:tcPr>
            <w:tcW w:type="dxa" w:w="1872"/>
          </w:tcPr>
          <w:p>
            <w:r/>
            <w:r>
              <w:rPr>
                <w:b w:val="0"/>
                <w:i w:val="0"/>
                <w:sz w:val="20"/>
              </w:rPr>
              <w:t>Agmt.; Dep. 111</w:t>
            </w:r>
          </w:p>
        </w:tc>
      </w:tr>
      <w:tr>
        <w:tc>
          <w:tcPr>
            <w:tcW w:type="dxa" w:w="1872"/>
          </w:tcPr>
          <w:p>
            <w:r/>
            <w:r>
              <w:rPr>
                <w:b w:val="0"/>
                <w:i w:val="0"/>
                <w:sz w:val="20"/>
              </w:rPr>
              <w:t>Mon., Feb. 5, 2024</w:t>
            </w:r>
          </w:p>
        </w:tc>
        <w:tc>
          <w:tcPr>
            <w:tcW w:type="dxa" w:w="5616"/>
          </w:tcPr>
          <w:p>
            <w:r/>
            <w:r>
              <w:rPr>
                <w:b w:val="0"/>
                <w:i w:val="0"/>
                <w:sz w:val="20"/>
              </w:rPr>
              <w:t>Hoffman promoted to VP Sales Ops (24 days) — prove via Cascade</w:t>
            </w:r>
          </w:p>
        </w:tc>
        <w:tc>
          <w:tcPr>
            <w:tcW w:type="dxa" w:w="1872"/>
          </w:tcPr>
          <w:p>
            <w:r/>
            <w:r>
              <w:rPr>
                <w:b w:val="0"/>
                <w:i w:val="0"/>
                <w:sz w:val="20"/>
              </w:rPr>
              <w:t>Order §§ IV, VIII</w:t>
            </w:r>
          </w:p>
        </w:tc>
      </w:tr>
      <w:tr>
        <w:tc>
          <w:tcPr>
            <w:tcW w:type="dxa" w:w="1872"/>
          </w:tcPr>
          <w:p>
            <w:r/>
            <w:r>
              <w:rPr>
                <w:b w:val="0"/>
                <w:i w:val="0"/>
                <w:sz w:val="20"/>
              </w:rPr>
              <w:t>May 3, 2024</w:t>
            </w:r>
          </w:p>
        </w:tc>
        <w:tc>
          <w:tcPr>
            <w:tcW w:type="dxa" w:w="5616"/>
          </w:tcPr>
          <w:p>
            <w:r/>
            <w:r>
              <w:rPr>
                <w:b w:val="0"/>
                <w:i w:val="0"/>
                <w:sz w:val="20"/>
              </w:rPr>
              <w:t>Complaint filed</w:t>
            </w:r>
          </w:p>
        </w:tc>
        <w:tc>
          <w:tcPr>
            <w:tcW w:type="dxa" w:w="1872"/>
          </w:tcPr>
          <w:p>
            <w:r/>
            <w:r>
              <w:rPr>
                <w:b w:val="0"/>
                <w:i w:val="0"/>
                <w:sz w:val="20"/>
              </w:rPr>
              <w:t>Order § II</w:t>
            </w:r>
          </w:p>
        </w:tc>
      </w:tr>
      <w:tr>
        <w:tc>
          <w:tcPr>
            <w:tcW w:type="dxa" w:w="1872"/>
          </w:tcPr>
          <w:p>
            <w:r/>
            <w:r>
              <w:rPr>
                <w:b w:val="0"/>
                <w:i w:val="0"/>
                <w:sz w:val="20"/>
              </w:rPr>
              <w:t>Dec. 3, 2024</w:t>
            </w:r>
          </w:p>
        </w:tc>
        <w:tc>
          <w:tcPr>
            <w:tcW w:type="dxa" w:w="5616"/>
          </w:tcPr>
          <w:p>
            <w:r/>
            <w:r>
              <w:rPr>
                <w:b w:val="0"/>
                <w:i w:val="0"/>
                <w:sz w:val="20"/>
              </w:rPr>
              <w:t>Elliston deposition (signed Dec. 20, 2024; no errata)</w:t>
            </w:r>
          </w:p>
        </w:tc>
        <w:tc>
          <w:tcPr>
            <w:tcW w:type="dxa" w:w="1872"/>
          </w:tcPr>
          <w:p>
            <w:r/>
            <w:r>
              <w:rPr>
                <w:b w:val="0"/>
                <w:i w:val="0"/>
                <w:sz w:val="20"/>
              </w:rPr>
              <w:t>Dep.</w:t>
            </w:r>
          </w:p>
        </w:tc>
      </w:tr>
      <w:tr>
        <w:tc>
          <w:tcPr>
            <w:tcW w:type="dxa" w:w="1872"/>
          </w:tcPr>
          <w:p>
            <w:r/>
            <w:r>
              <w:rPr>
                <w:b w:val="0"/>
                <w:i w:val="0"/>
                <w:sz w:val="20"/>
              </w:rPr>
              <w:t>Aug. 22, 2025</w:t>
            </w:r>
          </w:p>
        </w:tc>
        <w:tc>
          <w:tcPr>
            <w:tcW w:type="dxa" w:w="5616"/>
          </w:tcPr>
          <w:p>
            <w:r/>
            <w:r>
              <w:rPr>
                <w:b w:val="0"/>
                <w:i w:val="0"/>
                <w:sz w:val="20"/>
              </w:rPr>
              <w:t>Pretrial Order on MILs</w:t>
            </w:r>
          </w:p>
        </w:tc>
        <w:tc>
          <w:tcPr>
            <w:tcW w:type="dxa" w:w="1872"/>
          </w:tcPr>
          <w:p>
            <w:r/>
            <w:r>
              <w:rPr>
                <w:b w:val="0"/>
                <w:i w:val="0"/>
                <w:sz w:val="20"/>
              </w:rPr>
              <w:t>Order</w:t>
            </w:r>
          </w:p>
        </w:tc>
      </w:tr>
      <w:tr>
        <w:tc>
          <w:tcPr>
            <w:tcW w:type="dxa" w:w="1872"/>
          </w:tcPr>
          <w:p>
            <w:r/>
            <w:r>
              <w:rPr>
                <w:b w:val="0"/>
                <w:i w:val="0"/>
                <w:sz w:val="20"/>
              </w:rPr>
              <w:t>Oct. 14, 2025</w:t>
            </w:r>
          </w:p>
        </w:tc>
        <w:tc>
          <w:tcPr>
            <w:tcW w:type="dxa" w:w="5616"/>
          </w:tcPr>
          <w:p>
            <w:r/>
            <w:r>
              <w:rPr>
                <w:b w:val="0"/>
                <w:i w:val="0"/>
                <w:sz w:val="20"/>
              </w:rPr>
              <w:t>Trial</w:t>
            </w:r>
          </w:p>
        </w:tc>
        <w:tc>
          <w:tcPr>
            <w:tcW w:type="dxa" w:w="1872"/>
          </w:tcPr>
          <w:p>
            <w:r/>
            <w:r>
              <w:rPr>
                <w:b w:val="0"/>
                <w:i w:val="0"/>
                <w:sz w:val="20"/>
              </w:rPr>
              <w:t>Order</w:t>
            </w:r>
          </w:p>
        </w:tc>
      </w:tr>
    </w:tbl>
    <w:p>
      <w:pPr>
        <w:spacing w:after="40"/>
      </w:pPr>
    </w:p>
    <w:p>
      <w:pPr>
        <w:pStyle w:val="Heading1"/>
      </w:pPr>
      <w:r>
        <w:t>Part IX. Witness Preparation Checklist</w:t>
      </w:r>
    </w:p>
    <w:p>
      <w:pPr>
        <w:pStyle w:val="ListBullet"/>
        <w:spacing w:after="40"/>
      </w:pPr>
      <w:r>
        <w:rPr>
          <w:b w:val="0"/>
          <w:i w:val="0"/>
        </w:rPr>
        <w:t>Review, with the witness: full deposition transcript (not just excerpts); all three email chains; the clean spreadsheet version(s); the Severance Agreement including Exhibit A; EDA §§ 5 and 7.</w:t>
      </w:r>
    </w:p>
    <w:p>
      <w:pPr>
        <w:pStyle w:val="ListBullet"/>
        <w:spacing w:after="40"/>
      </w:pPr>
      <w:r>
        <w:rPr>
          <w:b w:val="0"/>
          <w:i w:val="0"/>
        </w:rPr>
        <w:t>Explain the Order’s limits in plain terms: no totals, no other quarters, no royalty totals, no bank records, no “fraud/retaliation” labels; answer only the question asked; say “I don’t know” when true.</w:t>
      </w:r>
    </w:p>
    <w:p>
      <w:pPr>
        <w:pStyle w:val="ListBullet"/>
        <w:spacing w:after="40"/>
      </w:pPr>
      <w:r>
        <w:rPr>
          <w:b w:val="0"/>
          <w:i w:val="0"/>
        </w:rPr>
        <w:t>Walk through the discovery chronology and the spreadsheet history. Record his unprompted account; do not suggest dates.</w:t>
      </w:r>
    </w:p>
    <w:p>
      <w:pPr>
        <w:pStyle w:val="ListBullet"/>
        <w:spacing w:after="40"/>
      </w:pPr>
      <w:r>
        <w:rPr>
          <w:b w:val="0"/>
          <w:i w:val="0"/>
        </w:rPr>
        <w:t>Discuss Exhibit A and the § 9(c) representation; get his truthful explanation; decide whether to front it.</w:t>
      </w:r>
    </w:p>
    <w:p>
      <w:pPr>
        <w:pStyle w:val="ListBullet"/>
        <w:spacing w:after="40"/>
      </w:pPr>
      <w:r>
        <w:rPr>
          <w:b w:val="0"/>
          <w:i w:val="0"/>
        </w:rPr>
        <w:t>Practice the Voss statement foundation sequence (date → place → participants → purpose → words).</w:t>
      </w:r>
    </w:p>
    <w:p>
      <w:pPr>
        <w:pStyle w:val="ListBullet"/>
        <w:spacing w:after="40"/>
      </w:pPr>
      <w:r>
        <w:rPr>
          <w:b w:val="0"/>
          <w:i w:val="0"/>
        </w:rPr>
        <w:t>Mock cross on all five prongs, including the exact deposition passages Stokes will use (Dep. 72–74, 131–134, 145–152, 189–195, 210–218, 225–240).</w:t>
      </w:r>
    </w:p>
    <w:p>
      <w:pPr>
        <w:pStyle w:val="ListBullet"/>
        <w:spacing w:after="40"/>
      </w:pPr>
      <w:r>
        <w:rPr>
          <w:b w:val="0"/>
          <w:i w:val="0"/>
        </w:rPr>
        <w:t>Demeanor: calm, measured, no sarcasm; concede the obvious (no CPA, no permission for USB, signed the release); do not argue with counsel.</w:t>
      </w:r>
    </w:p>
    <w:p>
      <w:pPr>
        <w:pStyle w:val="ListBullet"/>
        <w:spacing w:after="40"/>
      </w:pPr>
      <w:r>
        <w:rPr>
          <w:b w:val="0"/>
          <w:i w:val="0"/>
        </w:rPr>
        <w:t>Logistics: trial subpoena served; § 8(c) notice to Cascade confirmed; travel arranged; expense records kept; witness knows sequestration rule (FRE 615) — no discussing testimony with other witnesses, no reading trial transcripts.</w:t>
      </w:r>
    </w:p>
    <w:p>
      <w:pPr>
        <w:pStyle w:val="ListBullet"/>
        <w:spacing w:after="40"/>
      </w:pPr>
      <w:r>
        <w:rPr>
          <w:b w:val="0"/>
          <w:i w:val="0"/>
        </w:rPr>
        <w:t>Confirm stipulations or alternative proof for: Hoffman promotion date; Q3 report filing date; EDA authenticity; Cascade business-records status of the email production.</w:t>
      </w:r>
    </w:p>
    <w:p>
      <w:pPr>
        <w:spacing w:after="80"/>
      </w:pPr>
    </w:p>
    <w:p>
      <w:pPr>
        <w:spacing w:after="80"/>
      </w:pPr>
      <w:r>
        <w:rPr>
          <w:b w:val="0"/>
          <w:i/>
          <w:sz w:val="18"/>
        </w:rPr>
        <w:t>Prepared for Whitfield &amp; Crane LLP trial team. Draft — verify all page cites against the certified full transcript before use in court.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Elliston Examination Outline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