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b/>
          <w:color w:val="17365D"/>
          <w:sz w:val="38"/>
        </w:rPr>
        <w:t>ADMISSION SUMMARY MEMORANDUM</w:t>
      </w:r>
    </w:p>
    <w:p>
      <w:pPr>
        <w:spacing w:after="200"/>
      </w:pPr>
      <w:r>
        <w:rPr>
          <w:i/>
          <w:color w:val="5B6573"/>
          <w:sz w:val="21"/>
        </w:rPr>
        <w:t>Corbin Machining Solutions, Inc. v. Derek Yoon and Pinnacle Automation Group, LLC</w:t>
      </w:r>
    </w:p>
    <w:tbl>
      <w:tblPr>
        <w:tblW w:type="auto" w:w="0"/>
        <w:jc w:val="left"/>
        <w:tblLayout w:type="fixed"/>
        <w:tblLook w:firstColumn="1" w:firstRow="1" w:lastColumn="0" w:lastRow="0" w:noHBand="0" w:noVBand="1" w:val="04A0"/>
      </w:tblPr>
      <w:tblGrid>
        <w:gridCol w:w="1123"/>
        <w:gridCol w:w="10008"/>
      </w:tblGrid>
      <w:tr>
        <w:tc>
          <w:tcPr>
            <w:tcW w:type="dxa" w:w="1123"/>
            <w:tcMar>
              <w:top w:w="25" w:type="dxa"/>
              <w:start w:w="20" w:type="dxa"/>
              <w:bottom w:w="25" w:type="dxa"/>
              <w:end w:w="40" w:type="dxa"/>
            </w:tcMar>
            <w:vAlign w:val="center"/>
            <w:tcBorders>
              <w:top w:val="nil"/>
              <w:left w:val="nil"/>
              <w:bottom w:val="nil"/>
              <w:right w:val="nil"/>
              <w:insideH w:val="nil"/>
              <w:insideV w:val="nil"/>
            </w:tcBorders>
          </w:tcPr>
          <w:p>
            <w:pPr>
              <w:spacing w:after="0"/>
            </w:pPr>
            <w:r>
              <w:rPr>
                <w:b/>
                <w:color w:val="1F4E79"/>
                <w:sz w:val="17"/>
              </w:rPr>
              <w:t>TO</w:t>
            </w:r>
          </w:p>
        </w:tc>
        <w:tc>
          <w:tcPr>
            <w:tcW w:type="dxa" w:w="10008"/>
            <w:tcMar>
              <w:top w:w="25" w:type="dxa"/>
              <w:start w:w="20" w:type="dxa"/>
              <w:bottom w:w="25" w:type="dxa"/>
              <w:end w:w="40" w:type="dxa"/>
            </w:tcMar>
            <w:vAlign w:val="center"/>
            <w:tcBorders>
              <w:top w:val="nil"/>
              <w:left w:val="nil"/>
              <w:bottom w:val="nil"/>
              <w:right w:val="nil"/>
              <w:insideH w:val="nil"/>
              <w:insideV w:val="nil"/>
            </w:tcBorders>
          </w:tcPr>
          <w:p>
            <w:pPr>
              <w:spacing w:after="0"/>
            </w:pPr>
            <w:r>
              <w:rPr>
                <w:sz w:val="18"/>
              </w:rPr>
              <w:t>CMS Litigation Team</w:t>
            </w:r>
          </w:p>
        </w:tc>
      </w:tr>
      <w:tr>
        <w:tc>
          <w:tcPr>
            <w:tcW w:type="dxa" w:w="1123"/>
            <w:tcMar>
              <w:top w:w="25" w:type="dxa"/>
              <w:start w:w="20" w:type="dxa"/>
              <w:bottom w:w="25" w:type="dxa"/>
              <w:end w:w="40" w:type="dxa"/>
            </w:tcMar>
            <w:vAlign w:val="center"/>
            <w:tcBorders>
              <w:top w:val="nil"/>
              <w:left w:val="nil"/>
              <w:bottom w:val="nil"/>
              <w:right w:val="nil"/>
              <w:insideH w:val="nil"/>
              <w:insideV w:val="nil"/>
            </w:tcBorders>
          </w:tcPr>
          <w:p>
            <w:pPr>
              <w:spacing w:after="0"/>
            </w:pPr>
            <w:r>
              <w:rPr>
                <w:b/>
                <w:color w:val="1F4E79"/>
                <w:sz w:val="17"/>
              </w:rPr>
              <w:t>FROM</w:t>
            </w:r>
          </w:p>
        </w:tc>
        <w:tc>
          <w:tcPr>
            <w:tcW w:type="dxa" w:w="10008"/>
            <w:tcMar>
              <w:top w:w="25" w:type="dxa"/>
              <w:start w:w="20" w:type="dxa"/>
              <w:bottom w:w="25" w:type="dxa"/>
              <w:end w:w="40" w:type="dxa"/>
            </w:tcMar>
            <w:vAlign w:val="center"/>
            <w:tcBorders>
              <w:top w:val="nil"/>
              <w:left w:val="nil"/>
              <w:bottom w:val="nil"/>
              <w:right w:val="nil"/>
              <w:insideH w:val="nil"/>
              <w:insideV w:val="nil"/>
            </w:tcBorders>
          </w:tcPr>
          <w:p>
            <w:pPr>
              <w:spacing w:after="0"/>
            </w:pPr>
            <w:r>
              <w:rPr>
                <w:sz w:val="18"/>
              </w:rPr>
              <w:t>Prepared for Counsel</w:t>
            </w:r>
          </w:p>
        </w:tc>
      </w:tr>
      <w:tr>
        <w:tc>
          <w:tcPr>
            <w:tcW w:type="dxa" w:w="1123"/>
            <w:tcMar>
              <w:top w:w="25" w:type="dxa"/>
              <w:start w:w="20" w:type="dxa"/>
              <w:bottom w:w="25" w:type="dxa"/>
              <w:end w:w="40" w:type="dxa"/>
            </w:tcMar>
            <w:vAlign w:val="center"/>
            <w:tcBorders>
              <w:top w:val="nil"/>
              <w:left w:val="nil"/>
              <w:bottom w:val="nil"/>
              <w:right w:val="nil"/>
              <w:insideH w:val="nil"/>
              <w:insideV w:val="nil"/>
            </w:tcBorders>
          </w:tcPr>
          <w:p>
            <w:pPr>
              <w:spacing w:after="0"/>
            </w:pPr>
            <w:r>
              <w:rPr>
                <w:b/>
                <w:color w:val="1F4E79"/>
                <w:sz w:val="17"/>
              </w:rPr>
              <w:t>DATE</w:t>
            </w:r>
          </w:p>
        </w:tc>
        <w:tc>
          <w:tcPr>
            <w:tcW w:type="dxa" w:w="10008"/>
            <w:tcMar>
              <w:top w:w="25" w:type="dxa"/>
              <w:start w:w="20" w:type="dxa"/>
              <w:bottom w:w="25" w:type="dxa"/>
              <w:end w:w="40" w:type="dxa"/>
            </w:tcMar>
            <w:vAlign w:val="center"/>
            <w:tcBorders>
              <w:top w:val="nil"/>
              <w:left w:val="nil"/>
              <w:bottom w:val="nil"/>
              <w:right w:val="nil"/>
              <w:insideH w:val="nil"/>
              <w:insideV w:val="nil"/>
            </w:tcBorders>
          </w:tcPr>
          <w:p>
            <w:pPr>
              <w:spacing w:after="0"/>
            </w:pPr>
            <w:r>
              <w:rPr>
                <w:sz w:val="18"/>
              </w:rPr>
              <w:t>Post-deposition review (depositions taken January 14–15, 2025)</w:t>
            </w:r>
          </w:p>
        </w:tc>
      </w:tr>
      <w:tr>
        <w:tc>
          <w:tcPr>
            <w:tcW w:type="dxa" w:w="1123"/>
            <w:tcMar>
              <w:top w:w="25" w:type="dxa"/>
              <w:start w:w="20" w:type="dxa"/>
              <w:bottom w:w="25" w:type="dxa"/>
              <w:end w:w="40" w:type="dxa"/>
            </w:tcMar>
            <w:vAlign w:val="center"/>
            <w:tcBorders>
              <w:top w:val="nil"/>
              <w:left w:val="nil"/>
              <w:bottom w:val="nil"/>
              <w:right w:val="nil"/>
              <w:insideH w:val="nil"/>
              <w:insideV w:val="nil"/>
            </w:tcBorders>
          </w:tcPr>
          <w:p>
            <w:pPr>
              <w:spacing w:after="0"/>
            </w:pPr>
            <w:r>
              <w:rPr>
                <w:b/>
                <w:color w:val="1F4E79"/>
                <w:sz w:val="17"/>
              </w:rPr>
              <w:t>RE</w:t>
            </w:r>
          </w:p>
        </w:tc>
        <w:tc>
          <w:tcPr>
            <w:tcW w:type="dxa" w:w="10008"/>
            <w:tcMar>
              <w:top w:w="25" w:type="dxa"/>
              <w:start w:w="20" w:type="dxa"/>
              <w:bottom w:w="25" w:type="dxa"/>
              <w:end w:w="40" w:type="dxa"/>
            </w:tcMar>
            <w:vAlign w:val="center"/>
            <w:tcBorders>
              <w:top w:val="nil"/>
              <w:left w:val="nil"/>
              <w:bottom w:val="nil"/>
              <w:right w:val="nil"/>
              <w:insideH w:val="nil"/>
              <w:insideV w:val="nil"/>
            </w:tcBorders>
          </w:tcPr>
          <w:p>
            <w:pPr>
              <w:spacing w:after="0"/>
            </w:pPr>
            <w:r>
              <w:rPr>
                <w:sz w:val="18"/>
              </w:rPr>
              <w:t>Derek Yoon — admissions, contradictions, and recommended next steps | Kent County Circuit Court No. 24-CV-10583</w:t>
            </w:r>
          </w:p>
        </w:tc>
      </w:tr>
    </w:tbl>
    <w:tbl>
      <w:tblPr>
        <w:tblW w:type="auto" w:w="0"/>
        <w:jc w:val="center"/>
        <w:tblLook w:firstColumn="1" w:firstRow="1" w:lastColumn="0" w:lastRow="0" w:noHBand="0" w:noVBand="1" w:val="04A0"/>
      </w:tblPr>
      <w:tblGrid>
        <w:gridCol w:w="10166"/>
      </w:tblGrid>
      <w:tr>
        <w:tc>
          <w:tcPr>
            <w:tcW w:type="dxa" w:w="10166"/>
            <w:shd w:fill="EAF0F6"/>
            <w:tcMar>
              <w:top w:w="130" w:type="dxa"/>
              <w:start w:w="170" w:type="dxa"/>
              <w:bottom w:w="130" w:type="dxa"/>
              <w:end w:w="170" w:type="dxa"/>
            </w:tcMar>
          </w:tcPr>
          <w:p>
            <w:pPr>
              <w:spacing w:after="0" w:line="250" w:lineRule="auto"/>
            </w:pPr>
            <w:r>
              <w:rPr>
                <w:b/>
                <w:color w:val="17365D"/>
              </w:rPr>
              <w:t xml:space="preserve">BOTTOM LINE. </w:t>
            </w:r>
            <w:r>
              <w:t>Yoon admitted that he copied 3,847 files (about 2.3 GB) from CMS repository directories to a personal USB drive without reviewing each file, emailed the Blue Book to his personal Gmail, did not return the USB, signed a broad return/no-transfer certification, and factory-reset his phone after receiving CMS’s preservation demand. He also acknowledged substantial pre-hire contact with PAG and post-hire technical involvement in MillEdge Pro despite narrower sworn interrogatory answers. The strongest proof presently concerns access, transfer, certification, notice, and product involvement. The present record does not yet establish that PAG received or used CMS files, that a specific CMS secret was incorporated into MillEdge Pro, or that the phone reset was intended to destroy evidence; Yoon denies those points and PAG describes independent, pre-existing development.</w:t>
            </w:r>
          </w:p>
        </w:tc>
      </w:tr>
    </w:tbl>
    <w:p>
      <w:r>
        <w:t>This is a record-focused internal summary, not a determination of admissibility, credibility, trade-secret status, or enforceability of the restrictive covenants. Pinpoint citations below use the page labels appearing in the transcript body; see the citation/pagination note at the end.</w:t>
      </w:r>
    </w:p>
    <w:p>
      <w:pPr>
        <w:pStyle w:val="Heading1"/>
      </w:pPr>
      <w:r>
        <w:t>1. Most material admissions</w:t>
      </w:r>
    </w:p>
    <w:p>
      <w:pPr>
        <w:pStyle w:val="ListBullet"/>
        <w:keepLines/>
      </w:pPr>
      <w:r>
        <w:rPr>
          <w:b/>
          <w:i w:val="0"/>
          <w:color w:val="17365D"/>
        </w:rPr>
        <w:t xml:space="preserve">Access and sensitivity. </w:t>
      </w:r>
      <w:r>
        <w:rPr>
          <w:b w:val="0"/>
          <w:i w:val="0"/>
        </w:rPr>
        <w:t>As CMS CTO, Yoon had access to OptiMill Suite source repositories, HarmonicPath, AdaptGrip product/IP materials, pricing data including the Blue Book, and R&amp;D plans. He led OptiMill v3.0 development and had access to its code; he was an inventor on all four issued AdaptGrip patents and both pending applications. (Vol. I at 40–46; Employment Agreement §§5, 8–9.)</w:t>
      </w:r>
    </w:p>
    <w:p>
      <w:pPr>
        <w:pStyle w:val="ListBullet"/>
        <w:keepLines/>
      </w:pPr>
      <w:r>
        <w:rPr>
          <w:b/>
          <w:i w:val="0"/>
          <w:color w:val="17365D"/>
        </w:rPr>
        <w:t xml:space="preserve">USB transfer. </w:t>
      </w:r>
      <w:r>
        <w:rPr>
          <w:b w:val="0"/>
          <w:i w:val="0"/>
        </w:rPr>
        <w:t>He acknowledged that he may have connected his USB drive and transferred files; ultimately he said he copied a folder/set of folders from his work area, did not review each file, could not name one file, and could not identify which files were personal. Forensic analysis reports 3,847 files / approximately 2.3 GB copied from locally synchronized OptiMill v3 source, HarmonicPath, test, and AdaptGrip firmware directories to a SanDisk Ultra 256GB drive on August 10, 2024. Yoon said the drive was likely his, was at his Troy home, and had not been returned; CMS had not authorized transfers. (Vol. I at 101–10; Forensic Report §§5.1, 4.2.)</w:t>
      </w:r>
    </w:p>
    <w:p>
      <w:pPr>
        <w:pStyle w:val="ListBullet"/>
        <w:keepLines/>
      </w:pPr>
      <w:r>
        <w:rPr>
          <w:b/>
          <w:i w:val="0"/>
          <w:color w:val="17365D"/>
        </w:rPr>
        <w:t xml:space="preserve">Blue Book transmission. </w:t>
      </w:r>
      <w:r>
        <w:rPr>
          <w:b w:val="0"/>
          <w:i w:val="0"/>
        </w:rPr>
        <w:t>He recognized his CMS sender account and personal Gmail recipient; after first saying he did not recall the email, he said he may have forwarded it inadvertently while cleaning his inbox and was not scrutinizing attachments. The forensic report says the attachment was an exact, hash-matched copy of CMS’s restricted customer pricing matrix, sent August 12 with no subject/body. Yoon could not say whether it remained in Gmail or when it may have been deleted. (Vol. I at 131–37; Vol. II at 332–33; Forensic Report §5.2.)</w:t>
      </w:r>
    </w:p>
    <w:p>
      <w:pPr>
        <w:pStyle w:val="ListBullet"/>
        <w:keepLines/>
      </w:pPr>
      <w:r>
        <w:rPr>
          <w:b/>
          <w:i w:val="0"/>
          <w:color w:val="17365D"/>
        </w:rPr>
        <w:t xml:space="preserve">Written return/preservation certifications. </w:t>
      </w:r>
      <w:r>
        <w:rPr>
          <w:b w:val="0"/>
          <w:i w:val="0"/>
        </w:rPr>
        <w:t>On August 28, Yoon signed a Separation Acknowledgment certifying return of all company property and electronic data, including USB drives, and specifically certifying that he had not copied/transmitted CMS data to a personal account or external medium. He admitted he did not return the USB and did not disclose the Blue Book email, explaining that he forgot both. (Separation Acknowledgment §§1–4; Vol. I at 176–80.)</w:t>
      </w:r>
    </w:p>
    <w:p>
      <w:pPr>
        <w:pStyle w:val="ListBullet"/>
        <w:keepLines/>
      </w:pPr>
      <w:r>
        <w:rPr>
          <w:b/>
          <w:i w:val="0"/>
          <w:color w:val="17365D"/>
        </w:rPr>
        <w:t xml:space="preserve">Phone reset after notice. </w:t>
      </w:r>
      <w:r>
        <w:rPr>
          <w:b w:val="0"/>
          <w:i w:val="0"/>
        </w:rPr>
        <w:t>Yoon acknowledged receipt around August 23–24 of CMS’s August 22 cease-and-desist/preservation letter. On September 1 he factory-reset his personal iPhone 15 Pro, deleting texts, call logs, photos, and other data; he did not believe he made a backup. The letter expressly required preservation of personal-device data and communications with PAG. Yoon said the reset was for performance and “a fresh start,” and denied an intent to destroy evidence. (C&amp;D Letter §VI; Vol. I at 87–89, 191–95.)</w:t>
      </w:r>
    </w:p>
    <w:p>
      <w:pPr>
        <w:pStyle w:val="ListBullet"/>
        <w:keepLines/>
      </w:pPr>
      <w:r>
        <w:rPr>
          <w:b/>
          <w:i w:val="0"/>
          <w:color w:val="17365D"/>
        </w:rPr>
        <w:t xml:space="preserve">PAG timing and role. </w:t>
      </w:r>
      <w:r>
        <w:rPr>
          <w:b w:val="0"/>
          <w:i w:val="0"/>
        </w:rPr>
        <w:t>Emails and testimony place contact with Adwell by June 2024, an exploratory meeting with co-founder Quinlan in July, an August 5 invitation to discuss the VP role, an August 14 “wrapping things up” email, an August 20 offer, and a September 3 start. At PAG he attended a September 4 MillEdge Pro architecture review, made suggestions, had 11 September commits, continued weekly engineering-meeting oversight, and reviewed work before launch. (Vol. II at 290–303, 308–16, 322–25.)</w:t>
      </w:r>
    </w:p>
    <w:p>
      <w:pPr>
        <w:pStyle w:val="ListBullet"/>
        <w:keepLines/>
      </w:pPr>
      <w:r>
        <w:rPr>
          <w:b/>
          <w:i w:val="0"/>
          <w:color w:val="17365D"/>
        </w:rPr>
        <w:t xml:space="preserve">Competitive overlap. </w:t>
      </w:r>
      <w:r>
        <w:rPr>
          <w:b w:val="0"/>
          <w:i w:val="0"/>
        </w:rPr>
        <w:t>Yoon agreed MillEdge Pro is a CNC toolpath-optimization product with significant overlap with CMS’s OptiMill Suite, targets aerospace/automotive machining, and launched October 21, 2024. He described MillEdge Pro using “harmonic frequency matching for tool engagement angles,” wording also present in CMS’s HarmonicPath documentation. (Vol. II at 303–06, 318–21.)</w:t>
      </w:r>
    </w:p>
    <w:p>
      <w:pPr>
        <w:pStyle w:val="ListBullet"/>
        <w:keepLines/>
      </w:pPr>
      <w:r>
        <w:rPr>
          <w:b/>
          <w:i w:val="0"/>
          <w:color w:val="17365D"/>
        </w:rPr>
        <w:t xml:space="preserve">Patent-file access. </w:t>
      </w:r>
      <w:r>
        <w:rPr>
          <w:b w:val="0"/>
          <w:i w:val="0"/>
        </w:rPr>
        <w:t>CMS’s DMS log shows 47 AdaptGrip patent-prosecution-file accesses from July 1–August 15, 2024, versus a baseline near 3 per month. Yoon did not dispute the count, called it CTO oversight, but could not identify a specific project, filing, office action, or deadline explaining the increase. (Vol. I at 156–59; Forensic Report §5.3.)</w:t>
      </w:r>
    </w:p>
    <w:p>
      <w:pPr>
        <w:pStyle w:val="Heading1"/>
      </w:pPr>
      <w:r>
        <w:t>2. Principal contradictions and impeachment points</w:t>
      </w:r>
    </w:p>
    <w:p>
      <w:pPr>
        <w:keepLines/>
      </w:pPr>
      <w:r>
        <w:rPr>
          <w:b/>
          <w:i w:val="0"/>
          <w:color w:val="17365D"/>
        </w:rPr>
        <w:t xml:space="preserve">A. File retention and removal — verified answers versus transfer evidence/testimony. </w:t>
      </w:r>
      <w:r>
        <w:rPr>
          <w:b w:val="0"/>
          <w:i w:val="0"/>
        </w:rPr>
        <w:t>Interrogatory 7 says he “did not remove or copy any confidential or proprietary documents”; Interrogatory 15 says he possessed no CMS documents/ESI on personal devices, email, cloud, or external media; Interrogatory 10 says he returned all property. Interrogatory 6 identifies his CMS laptop and personal iPhone but no USB. Those answers conflict with the forensic USB event, his admission that he copied a folder to a likely personal USB, his testimony that the drive was at home and had not been returned, and the Blue Book email to Gmail. His “personal reference materials” explanation remains unsubstantiated: he could not identify any transferred file and admitted he did not inspect the batch. (Interrogatory Answers Nos. 6, 7, 10, 15; Vol. I at 102–10, 176–80; Forensic Report §5.1.) The forensic report traces copies from local directories corresponding to CMS repositories; it does not describe a direct network-to-USB transfer.</w:t>
      </w:r>
    </w:p>
    <w:p>
      <w:pPr>
        <w:keepLines/>
      </w:pPr>
      <w:r>
        <w:rPr>
          <w:b/>
          <w:i w:val="0"/>
          <w:color w:val="17365D"/>
        </w:rPr>
        <w:t xml:space="preserve">B. Blue Book — denial/forgetfulness versus verified email and categorical certifications. </w:t>
      </w:r>
      <w:r>
        <w:rPr>
          <w:b w:val="0"/>
          <w:i w:val="0"/>
        </w:rPr>
        <w:t>Yoon initially did not recall sending the email, then described a possible inadvertent forward. His sworn Interrogatory 7/15 answers and August 28 certification deny transfer/retention. Forensics identifies the confidential pricing workbook as an exact copy emailed to his personal account. He could not determine whether it remained there; in Volume II he said he believed it was deleted but was not certain. Resolve the account status and explain the change from “did not” to “may have, inadvertently.” (Vol. I at 132–37, 178–79; Vol. II at 332–33; Interrogatory Answers Nos. 7, 15; Separation Acknowledgment §§2, 4.)</w:t>
      </w:r>
    </w:p>
    <w:p>
      <w:pPr>
        <w:keepLines/>
      </w:pPr>
      <w:r>
        <w:rPr>
          <w:b/>
          <w:i w:val="0"/>
          <w:color w:val="17365D"/>
        </w:rPr>
        <w:t xml:space="preserve">C. PAG contact/recruitment — “late August” answer versus contemporaneous communications. </w:t>
      </w:r>
      <w:r>
        <w:rPr>
          <w:b w:val="0"/>
          <w:i w:val="0"/>
        </w:rPr>
        <w:t>Interrogatory 3 places his first awareness of PAG in late August; Interrogatory 4 says first contact with Adwell occurred in late August, after resignation. Yet he testified the June 22 dinner followed a June 8–9 industry event, Adwell described a CNC-optimization venture, and they discussed his non-compete. Exhibit 22 also reflects a July 18 coffee with Quinlan to discuss the engineering team, Yoon’s July 28 interest, Adwell’s August 5 invitation to discuss the VP role, and Yoon’s August 14 “wrapping things up” message. The August 20 offer came four days after resignation, but the earlier communications show the process was underway before it. Yoon admitted the interrogatory response omitted the June dinner and sought to distinguish formal job discussions from broader “communication”; the interrogatory’s wording was not limited to formal recruitment. (Interrogatory Answers Nos. 3–4, 11; Vol. I at 59–66, 83–86; Vol. II at 290–96, 308–16, 336–37.)</w:t>
      </w:r>
    </w:p>
    <w:p>
      <w:pPr>
        <w:keepLines/>
      </w:pPr>
      <w:r>
        <w:rPr>
          <w:b/>
          <w:i w:val="0"/>
          <w:color w:val="17365D"/>
        </w:rPr>
        <w:t xml:space="preserve">D. PAG duties — “not involved in development” versus technical contributions. </w:t>
      </w:r>
      <w:r>
        <w:rPr>
          <w:b w:val="0"/>
          <w:i w:val="0"/>
        </w:rPr>
        <w:t>Interrogatory 12 says Yoon was not involved in development of any CNC optimization product and his duties were managerial. He later admitted attending an architecture review on day two, suggesting changes, reviewing the code, making 11 commits, continuing weekly meetings, overseeing MillEdge Pro, and participating in pre-launch review. Commit messages include optimization-engine refactors, engagement-angle parameters, feed-rate logic, convergence criteria, and harmonic-analysis integration. He now characterizes the edits as peripheral QA/code hygiene, says he did not design core architecture or write the core engine, and says the foundational work predated him. The code diffs and team evidence will determine the practical scope; the difference between “oversight” and product development should not be assumed away. (Interrogatory Answer No. 12; Vol. II at 297–303, 306, 322–25, 334–38, 342–43.)</w:t>
      </w:r>
    </w:p>
    <w:p>
      <w:pPr>
        <w:keepLines/>
      </w:pPr>
      <w:r>
        <w:rPr>
          <w:b/>
          <w:i w:val="0"/>
          <w:color w:val="17365D"/>
        </w:rPr>
        <w:t xml:space="preserve">E. Non-compete understanding — 100 miles claimed versus repeated 150-mile notice. </w:t>
      </w:r>
      <w:r>
        <w:rPr>
          <w:b w:val="0"/>
          <w:i w:val="0"/>
        </w:rPr>
        <w:t>Yoon testified he believed the restriction was 100 miles and Troy was outside it. The signed Employment Agreement states 150 miles; the August 22 C&amp;D letter identified the 150-mile restriction and Troy’s approximate 142-mile distance; the August 28 Separation Acknowledgment again recites the 150-mile radius and says he understood its scope. He nevertheless started at PAG September 3. He said Adwell told him PAG’s counsel had reviewed the situation and thought they were “fine,” perhaps based on geography/scope, but he did not recall the details. This materially tests his claimed understanding and good faith; obtain the exact documents, dates, and nonprivileged facts while respecting any actual attorney-client privilege. (Employment Agreement §7(a); C&amp;D Letter §§I, III–IV; Separation Acknowledgment §3(b), (e); Vol. I at 21–24, 87–89, 176–80; Vol. II at 310–11, 326–30, 340–41.)</w:t>
      </w:r>
    </w:p>
    <w:p>
      <w:pPr>
        <w:keepLines/>
      </w:pPr>
      <w:r>
        <w:rPr>
          <w:b/>
          <w:i w:val="0"/>
          <w:color w:val="17365D"/>
        </w:rPr>
        <w:t xml:space="preserve">F. Departure rationale and competition characterization. </w:t>
      </w:r>
      <w:r>
        <w:rPr>
          <w:b w:val="0"/>
          <w:i w:val="0"/>
        </w:rPr>
        <w:t>Yoon’s resignation letter described a move to a “different sector” of automation; he explained he viewed PAG as more software-focused, while conceding CMS’s core product and PAG’s MillEdge Pro are both CNC optimization. His sworn answer also says no outside person unduly influenced resignation, but he testified the PAG opportunity was attractive and had been discussed before resignation. This is a tension concerning timing and stated rationale, not proof that PAG compelled his decision. (Interrogatory Answer No. 5; Resignation Letter; Vol. I at 83–86; Vol. II at 294–96, 303–05.)</w:t>
      </w:r>
    </w:p>
    <w:p>
      <w:pPr>
        <w:keepLines/>
      </w:pPr>
      <w:r>
        <w:rPr>
          <w:b/>
          <w:i w:val="0"/>
          <w:color w:val="17365D"/>
        </w:rPr>
        <w:t xml:space="preserve">G. Basic biographical/employment-history discrepancies. </w:t>
      </w:r>
      <w:r>
        <w:rPr>
          <w:b w:val="0"/>
          <w:i w:val="0"/>
        </w:rPr>
        <w:t>Interrogatory 1 identifies “Derek Sung-Ho Yoon,” DOB April 14, 1983, and a Troy address different from his deposition identification (“Derek James Yoon,” DOB September 3, 1983; a different Troy address). Interrogatory 2 lists Strathmore Engineering (2014–2019); deposition testimony instead describes Saxonbrook (2010–2015) and Meridian Robotics (2015–2019). The interrogatory and Volume I place his PhD in 2010, while Volume II includes an answer of 2009. Treat these initially as verification/transcription issues: reconcile against CV, HR, payroll, and signed errata before using them as substantive impeachment. (Interrogatory Answers Nos. 1–2; Vol. I at 5–8; Vol. II at 338.)</w:t>
      </w:r>
    </w:p>
    <w:p>
      <w:pPr>
        <w:pStyle w:val="Heading1"/>
      </w:pPr>
      <w:r>
        <w:t>3. Evidentiary limits and defenses to anticipate</w:t>
      </w:r>
    </w:p>
    <w:p>
      <w:pPr>
        <w:pStyle w:val="ListBullet"/>
        <w:keepLines/>
      </w:pPr>
      <w:r>
        <w:rPr>
          <w:b/>
          <w:i w:val="0"/>
          <w:color w:val="17365D"/>
        </w:rPr>
        <w:t xml:space="preserve">No present proof of transfer to PAG or actual use. </w:t>
      </w:r>
      <w:r>
        <w:rPr>
          <w:b w:val="0"/>
          <w:i w:val="0"/>
        </w:rPr>
        <w:t>Yoon denies providing the USB/files to PAG or its founders and denies using them at PAG; he also testified he had not accessed or plugged the USB into a computer after leaving CMS. The forensic examination covered the CMS laptop and CMS server logs only; it did not examine the USB, Yoon’s personal devices/Gmail, or PAG systems. The USB’s current chain of custody and contents remain unverified. (Vol. I at 108–10; Vol. II at 330–35; Forensic Report §2.)</w:t>
      </w:r>
    </w:p>
    <w:p>
      <w:pPr>
        <w:pStyle w:val="ListBullet"/>
        <w:keepLines/>
      </w:pPr>
      <w:r>
        <w:rPr>
          <w:b/>
          <w:i w:val="0"/>
          <w:color w:val="17365D"/>
        </w:rPr>
        <w:t xml:space="preserve">Independent-development account. </w:t>
      </w:r>
      <w:r>
        <w:rPr>
          <w:b w:val="0"/>
          <w:i w:val="0"/>
        </w:rPr>
        <w:t>PAG’s counsel elicited that MillEdge Pro development began before Yoon joined, its architecture was in place under Ravi Chandrasekaran, and Yoon did not make initial design decisions. Yoon denies copying CMS code/documents or reproducing HarmonicPath. Preserve and test this account with full repository history and witnesses. (Vol. II at 334–35, 338–40.)</w:t>
      </w:r>
    </w:p>
    <w:p>
      <w:pPr>
        <w:pStyle w:val="ListBullet"/>
        <w:keepLines/>
      </w:pPr>
      <w:r>
        <w:rPr>
          <w:b/>
          <w:i w:val="0"/>
          <w:color w:val="17365D"/>
        </w:rPr>
        <w:t xml:space="preserve">Technical terminology is a lead, not proof by itself. </w:t>
      </w:r>
      <w:r>
        <w:rPr>
          <w:b w:val="0"/>
          <w:i w:val="0"/>
        </w:rPr>
        <w:t>Yoon asserts harmonic analysis and the underlying machining concept are longstanding academic/industry concepts learned before CMS; he could not identify a source for the exact phrase used. Establish whether the specific wording, implementation, parameters, and code are CMS-specific, independently derived, or publicly known. (Vol. II at 318–21, 338–43.)</w:t>
      </w:r>
    </w:p>
    <w:p>
      <w:pPr>
        <w:pStyle w:val="ListBullet"/>
        <w:keepLines/>
      </w:pPr>
      <w:r>
        <w:rPr>
          <w:b/>
          <w:i w:val="0"/>
          <w:color w:val="17365D"/>
        </w:rPr>
        <w:t xml:space="preserve">Patent access may have been legitimate CTO work. </w:t>
      </w:r>
      <w:r>
        <w:rPr>
          <w:b w:val="0"/>
          <w:i w:val="0"/>
        </w:rPr>
        <w:t>The elevated log activity is unexplained but access was within Yoon’s senior role; the log count alone does not show downloads, copying, or misuse. Obtain event-level detail and correlate with CMS business matters and calendars. (Vol. I at 156–59; Forensic Report §5.3.)</w:t>
      </w:r>
    </w:p>
    <w:p>
      <w:pPr>
        <w:pStyle w:val="ListBullet"/>
        <w:keepLines/>
      </w:pPr>
      <w:r>
        <w:rPr>
          <w:b/>
          <w:i w:val="0"/>
          <w:color w:val="17365D"/>
        </w:rPr>
        <w:t xml:space="preserve">Phone reset intent and recoverability are unresolved. </w:t>
      </w:r>
      <w:r>
        <w:rPr>
          <w:b w:val="0"/>
          <w:i w:val="0"/>
        </w:rPr>
        <w:t>The reset followed the preservation notice and erased potentially relevant material, but Yoon denies a destructive purpose and says the phone was slow. Determine notice/knowledge, available backups, actual recoverability, and prejudice before seeking a spoliation remedy.</w:t>
      </w:r>
    </w:p>
    <w:p>
      <w:pPr>
        <w:pStyle w:val="ListBullet"/>
        <w:keepLines/>
      </w:pPr>
      <w:r>
        <w:rPr>
          <w:b/>
          <w:i w:val="0"/>
          <w:color w:val="17365D"/>
        </w:rPr>
        <w:t xml:space="preserve">Contract remedies require separate legal analysis. </w:t>
      </w:r>
      <w:r>
        <w:rPr>
          <w:b w:val="0"/>
          <w:i w:val="0"/>
        </w:rPr>
        <w:t>The agreement provides an 18-month/150-mile non-compete and 24-month non-solicitation term, but enforceability, scope, reformation, and any current-law issues should be evaluated independently. The factual case should not depend solely on the non-compete or infer a covenant violation from title alone. (Employment Agreement §§7, 10–13.)</w:t>
      </w:r>
    </w:p>
    <w:p>
      <w:pPr>
        <w:pStyle w:val="Heading1"/>
      </w:pPr>
      <w:r>
        <w:t>4. Recommended next steps (priority order)</w:t>
      </w:r>
    </w:p>
    <w:p>
      <w:pPr>
        <w:pStyle w:val="ListNumber"/>
        <w:keepLines/>
      </w:pPr>
      <w:r>
        <w:rPr>
          <w:b/>
          <w:color w:val="17365D"/>
        </w:rPr>
        <w:t xml:space="preserve">Secure the evidence now.  </w:t>
      </w:r>
      <w:r>
        <w:t>Send/refresh targeted preservation demands to Yoon and PAG; preserve PAG Git repositories, all branches/tags and commit diffs, code-review and CI logs, issue trackers, design docs, Slack/email/text, development systems, launch and benchmark materials, and access logs. Confirm auto-delete/retention settings. Seek a protective-order amendment/AEO protocol for PAG information before technical discovery.</w:t>
      </w:r>
    </w:p>
    <w:p>
      <w:pPr>
        <w:pStyle w:val="ListNumber"/>
        <w:keepLines/>
      </w:pPr>
      <w:r>
        <w:rPr>
          <w:b/>
          <w:color w:val="17365D"/>
        </w:rPr>
        <w:t xml:space="preserve">Obtain and forensically image the USB.  </w:t>
      </w:r>
      <w:r>
        <w:t>Move promptly for production of SanDisk serial SD256-7891-XKR under a documented chain of custody. Have a qualified neutral or agreed examiner image it write-blocked, compute hashes, inventory the 3,847 files, map hashes/paths to CMS source and work product, and assess post-August 10 access/use. Preserve the original; do not rely on screenshots or an unverified user export.</w:t>
      </w:r>
    </w:p>
    <w:p>
      <w:pPr>
        <w:pStyle w:val="ListNumber"/>
        <w:keepLines/>
      </w:pPr>
      <w:r>
        <w:rPr>
          <w:b/>
          <w:color w:val="17365D"/>
        </w:rPr>
        <w:t xml:space="preserve">Investigate Gmail and phone recovery.  </w:t>
      </w:r>
      <w:r>
        <w:t>Seek a narrow, neutral protocol for Yoon’s Gmail (including sent, trash, archive, attachment, metadata, login/security history) and the iPhone/current backups: iCloud, computer backups, carrier records, messaging exports, and any replacement-device migration. Determine whether the Blue Book remains or was deleted, when, and whether copies persist. Collect the native Exchange item and reconcile the timestamp discrepancy noted below.</w:t>
      </w:r>
    </w:p>
    <w:p>
      <w:pPr>
        <w:pStyle w:val="ListNumber"/>
        <w:keepLines/>
      </w:pPr>
      <w:r>
        <w:rPr>
          <w:b/>
          <w:color w:val="17365D"/>
        </w:rPr>
        <w:t xml:space="preserve">Serve focused supplemental discovery and consider a continued deposition.  </w:t>
      </w:r>
      <w:r>
        <w:t>Require verified amended answers addressing the USB, file identities/current location, Blue Book email and deletion, all devices/accounts, phone reset/backups, PAG contacts and recruiting dates, actual PAG duties, and the identity/employment-history discrepancies. After productions, question Yoon with commit diffs, source-file inventories, preserved communications, the signed August 28 acknowledgment, and exact notice chronology. Obtain his read-and-sign/errata and certified transcript first.</w:t>
      </w:r>
    </w:p>
    <w:p>
      <w:pPr>
        <w:pStyle w:val="ListNumber"/>
        <w:keepLines/>
      </w:pPr>
      <w:r>
        <w:rPr>
          <w:b/>
          <w:color w:val="17365D"/>
        </w:rPr>
        <w:t xml:space="preserve">Develop PAG’s technical chronology and independent-development defense.  </w:t>
      </w:r>
      <w:r>
        <w:t>Obtain complete MillEdge Pro history from inception through launch, code diffs for all 11 Yoon commits, reviewers/authors, architecture/design records, project calendars, benchmark methodology and underlying data, source lists, and the basis for the 25% cycle-time claim. Compare CMS/PAG code and documentation through an independent expert using defensible source-to-source methods that account for public/academic material and prior art.</w:t>
      </w:r>
    </w:p>
    <w:p>
      <w:pPr>
        <w:pStyle w:val="ListNumber"/>
        <w:keepLines/>
      </w:pPr>
      <w:r>
        <w:rPr>
          <w:b/>
          <w:color w:val="17365D"/>
        </w:rPr>
        <w:t xml:space="preserve">Test recruitment, knowledge, and role through third-party testimony.  </w:t>
      </w:r>
      <w:r>
        <w:t>Depose Adwell and Quinlan on first contact, June dinner/July meeting, non-compete notice and distance, hiring timeline, counsel’s review (without demanding privileged substance), requested role, and any CMS-derived technical input. Depose Ravi Chandrasekaran and relevant MillEdge engineers on pre-Yoon architecture, commits, review comments, and product development; interview CMS HR/IT and the forensic examiner on exit certification, chain of custody, logs, and methodology.</w:t>
      </w:r>
    </w:p>
    <w:p>
      <w:pPr>
        <w:pStyle w:val="ListNumber"/>
        <w:keepLines/>
      </w:pPr>
      <w:r>
        <w:rPr>
          <w:b/>
          <w:color w:val="17365D"/>
        </w:rPr>
        <w:t xml:space="preserve">Complete CMS-side corroboration and remedy assessment.  </w:t>
      </w:r>
      <w:r>
        <w:t>Preserve/produce source control audit trails, laptop/GitLab synchronization artifacts, file metadata, Blue Book ACL/usage history, DMS event-level logs (view/download/print/export), patent prosecution calendars, and contemporaneous business records explaining access and exit procedures. Evaluate tailored injunctive/preservation relief, damages, and any spoliation motion only after assessing recoverability, intent, prejudice, contract enforceability, and proportionality.</w:t>
      </w:r>
    </w:p>
    <w:p>
      <w:pPr>
        <w:pStyle w:val="Heading1"/>
      </w:pPr>
      <w:r>
        <w:t>5. Record and citation housekeeping</w:t>
      </w:r>
    </w:p>
    <w:p>
      <w:pPr>
        <w:keepLines/>
      </w:pPr>
      <w:r>
        <w:rPr>
          <w:b/>
          <w:i w:val="0"/>
          <w:color w:val="17365D"/>
        </w:rPr>
        <w:t xml:space="preserve">Transcript pagination should be verified before motion practice. </w:t>
      </w:r>
      <w:r>
        <w:rPr>
          <w:b w:val="0"/>
          <w:i w:val="0"/>
        </w:rPr>
        <w:t>Volume I’s cover/index information refers to pages through 287, while its reporter certificate states pages 1–230; Volume II’s index lists recross at page 415, while the body labels recross at pages 342–43. The citations in this memo follow body-printed page labels. Obtain reporter-certified copies and confirm final pagination and any errata/read-and-sign changes before filing or quoting.</w:t>
      </w:r>
    </w:p>
    <w:p>
      <w:pPr>
        <w:keepLines/>
      </w:pPr>
      <w:r>
        <w:rPr>
          <w:b/>
          <w:i w:val="0"/>
          <w:color w:val="17365D"/>
        </w:rPr>
        <w:t xml:space="preserve">Reconcile the Blue Book timestamp. </w:t>
      </w:r>
      <w:r>
        <w:rPr>
          <w:b w:val="0"/>
          <w:i w:val="0"/>
        </w:rPr>
        <w:t>The Volume I examination of Exhibit 15 describes 11:47 a.m. on August 12 (pp. 131–33); the forensic report gives 14:22:17 EDT. Confirm whether these are different fields/time zones, a transcript/exhibit issue, or an error by reviewing the native Exchange transport records, headers, and source exhibit. Do not state one as settled until reconciled.</w:t>
      </w:r>
    </w:p>
    <w:p>
      <w:pPr>
        <w:pStyle w:val="Heading1"/>
      </w:pPr>
      <w:r>
        <w:t>Documents reviewed</w:t>
      </w:r>
    </w:p>
    <w:p>
      <w:pPr>
        <w:keepLines/>
      </w:pPr>
      <w:r>
        <w:rPr>
          <w:b/>
          <w:i w:val="0"/>
          <w:color w:val="17365D"/>
        </w:rPr>
        <w:t xml:space="preserve">Deposition transcripts: </w:t>
      </w:r>
      <w:r>
        <w:rPr>
          <w:b w:val="0"/>
          <w:i w:val="0"/>
        </w:rPr>
        <w:t xml:space="preserve">Derek Yoon, Volumes I and II (Jan. 14–15, 2025). </w:t>
      </w:r>
      <w:r>
        <w:rPr>
          <w:b/>
          <w:i w:val="0"/>
          <w:color w:val="17365D"/>
        </w:rPr>
        <w:t xml:space="preserve">Supporting documents: </w:t>
      </w:r>
      <w:r>
        <w:rPr>
          <w:b w:val="0"/>
          <w:i w:val="0"/>
        </w:rPr>
        <w:t>Ridgepoint Digital Forensics Report (Oct. 15, 2024); CMS–Yoon Employment Agreement (Mar. 4, 2019); Yoon’s Answers to Plaintiff’s First Set of Interrogatories (served Nov. 1, 2024); Separation Acknowledgment (Aug. 28, 2024); CMS cease-and-desist / preservation letter (Aug. 22, 2024).</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CMS v. Yoon / PAG   •   Internal litigation analysis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17365D"/>
      </w:pBdr>
    </w:pPr>
    <w:r>
      <w:rPr>
        <w:rFonts w:ascii="Calibri" w:hAnsi="Calibri"/>
        <w:b/>
        <w:color w:val="8B1E1E"/>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Calibri" w:hAnsi="Calibri"/>
      <w:color w:val="242A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5B65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2" w:line="245" w:lineRule="auto"/>
      <w:ind w:left="317" w:hanging="202"/>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2" w:line="245" w:lineRule="auto"/>
      <w:ind w:left="317" w:hanging="202"/>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Admission Summary Memorandum — Corbin Machining Solutions v. Yoon/PAG</dc:title>
  <dc:subject>Deposition admissions, contradictions, and recommended next steps</dc:subject>
  <dc:creator>Prepared for Counsel</dc:creator>
  <cp:keywords>Privileged; Attorney Work Product; deposition; admissions; contradictions</cp:keywords>
  <dc:description>generated by python-docx</dc:description>
  <cp:lastModifiedBy/>
  <cp:revision>1</cp:revision>
  <dcterms:created xsi:type="dcterms:W3CDTF">2013-12-23T23:15:00Z</dcterms:created>
  <dcterms:modified xsi:type="dcterms:W3CDTF">2013-12-23T23:15:00Z</dcterms:modified>
  <cp:category/>
</cp:coreProperties>
</file>