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PRIVILEGED AND CONFIDENTIAL — ATTORNEY-CLIENT COMMUNICATION / ATTORNEY WORK PRODUCT</w:t>
        <w:br/>
        <w:t>Prepared at the Direction of Counsel in Anticipation of Litigation</w:t>
      </w:r>
    </w:p>
    <w:p>
      <w:pPr>
        <w:jc w:val="center"/>
      </w:pPr>
      <w:r>
        <w:rPr>
          <w:b/>
          <w:i w:val="0"/>
          <w:sz w:val="32"/>
        </w:rPr>
        <w:t>MEMORANDUM</w:t>
      </w:r>
    </w:p>
    <w:tbl>
      <w:tblPr>
        <w:tblStyle w:val="TableGrid"/>
        <w:tblW w:type="auto" w:w="0"/>
        <w:tblLook w:firstColumn="1" w:firstRow="1" w:lastColumn="0" w:lastRow="0" w:noHBand="0" w:noVBand="1" w:val="04A0"/>
      </w:tblPr>
      <w:tblGrid>
        <w:gridCol w:w="4824"/>
        <w:gridCol w:w="4824"/>
      </w:tblGrid>
      <w:tr>
        <w:trPr>
          <w:tblHeader w:val="true"/>
        </w:trPr>
        <w:tc>
          <w:tcPr>
            <w:tcW w:type="dxa" w:w="1296"/>
            <w:shd w:val="clear" w:color="auto" w:fill="1F3A5F"/>
          </w:tcPr>
          <w:p>
            <w:r/>
            <w:r>
              <w:rPr>
                <w:b/>
                <w:color w:val="FFFFFF"/>
                <w:sz w:val="20"/>
              </w:rPr>
            </w:r>
          </w:p>
        </w:tc>
        <w:tc>
          <w:tcPr>
            <w:tcW w:type="dxa" w:w="8352"/>
            <w:shd w:val="clear" w:color="auto" w:fill="1F3A5F"/>
          </w:tcPr>
          <w:p>
            <w:r/>
            <w:r>
              <w:rPr>
                <w:b/>
                <w:color w:val="FFFFFF"/>
                <w:sz w:val="20"/>
              </w:rPr>
            </w:r>
          </w:p>
        </w:tc>
      </w:tr>
      <w:tr>
        <w:tc>
          <w:tcPr>
            <w:tcW w:type="dxa" w:w="1296"/>
          </w:tcPr>
          <w:p>
            <w:r>
              <w:rPr>
                <w:sz w:val="20"/>
              </w:rPr>
            </w:r>
            <w:r>
              <w:rPr>
                <w:b w:val="0"/>
                <w:i w:val="0"/>
                <w:sz w:val="20"/>
              </w:rPr>
              <w:t>TO:</w:t>
            </w:r>
          </w:p>
        </w:tc>
        <w:tc>
          <w:tcPr>
            <w:tcW w:type="dxa" w:w="8352"/>
          </w:tcPr>
          <w:p>
            <w:r>
              <w:rPr>
                <w:sz w:val="20"/>
              </w:rPr>
            </w:r>
            <w:r>
              <w:rPr>
                <w:b w:val="0"/>
                <w:i w:val="0"/>
                <w:sz w:val="20"/>
              </w:rPr>
              <w:t>Catherine A. Hargrove / Jonathan D. Prewitt, Hargrove, Tillett &amp; Mays LLP (outside defense counsel)</w:t>
            </w:r>
          </w:p>
        </w:tc>
      </w:tr>
      <w:tr>
        <w:tc>
          <w:tcPr>
            <w:tcW w:type="dxa" w:w="1296"/>
          </w:tcPr>
          <w:p>
            <w:r>
              <w:rPr>
                <w:sz w:val="20"/>
              </w:rPr>
            </w:r>
            <w:r>
              <w:rPr>
                <w:b w:val="0"/>
                <w:i w:val="0"/>
                <w:sz w:val="20"/>
              </w:rPr>
              <w:t>CC:</w:t>
            </w:r>
          </w:p>
        </w:tc>
        <w:tc>
          <w:tcPr>
            <w:tcW w:type="dxa" w:w="8352"/>
          </w:tcPr>
          <w:p>
            <w:r>
              <w:rPr>
                <w:sz w:val="20"/>
              </w:rPr>
            </w:r>
            <w:r>
              <w:rPr>
                <w:b w:val="0"/>
                <w:i w:val="0"/>
                <w:sz w:val="20"/>
              </w:rPr>
              <w:t>Marcus Ellsworth, General Counsel, Ridgeline Therapeutics, Inc. (see Part VIII.G regarding his status as a named custodian)</w:t>
            </w:r>
          </w:p>
        </w:tc>
      </w:tr>
      <w:tr>
        <w:tc>
          <w:tcPr>
            <w:tcW w:type="dxa" w:w="1296"/>
          </w:tcPr>
          <w:p>
            <w:r>
              <w:rPr>
                <w:sz w:val="20"/>
              </w:rPr>
            </w:r>
            <w:r>
              <w:rPr>
                <w:b w:val="0"/>
                <w:i w:val="0"/>
                <w:sz w:val="20"/>
              </w:rPr>
              <w:t>FROM:</w:t>
            </w:r>
          </w:p>
        </w:tc>
        <w:tc>
          <w:tcPr>
            <w:tcW w:type="dxa" w:w="8352"/>
          </w:tcPr>
          <w:p>
            <w:r>
              <w:rPr>
                <w:sz w:val="20"/>
              </w:rPr>
            </w:r>
            <w:r>
              <w:rPr>
                <w:b w:val="0"/>
                <w:i w:val="0"/>
                <w:sz w:val="20"/>
              </w:rPr>
              <w:t>Legal review team</w:t>
            </w:r>
          </w:p>
        </w:tc>
      </w:tr>
      <w:tr>
        <w:tc>
          <w:tcPr>
            <w:tcW w:type="dxa" w:w="1296"/>
          </w:tcPr>
          <w:p>
            <w:r>
              <w:rPr>
                <w:sz w:val="20"/>
              </w:rPr>
            </w:r>
            <w:r>
              <w:rPr>
                <w:b w:val="0"/>
                <w:i w:val="0"/>
                <w:sz w:val="20"/>
              </w:rPr>
              <w:t>DATE:</w:t>
            </w:r>
          </w:p>
        </w:tc>
        <w:tc>
          <w:tcPr>
            <w:tcW w:type="dxa" w:w="8352"/>
          </w:tcPr>
          <w:p>
            <w:r>
              <w:rPr>
                <w:sz w:val="20"/>
              </w:rPr>
            </w:r>
            <w:r>
              <w:rPr>
                <w:b w:val="0"/>
                <w:i w:val="0"/>
                <w:sz w:val="20"/>
              </w:rPr>
              <w:t>March 5, 2025</w:t>
            </w:r>
          </w:p>
        </w:tc>
      </w:tr>
      <w:tr>
        <w:tc>
          <w:tcPr>
            <w:tcW w:type="dxa" w:w="1296"/>
          </w:tcPr>
          <w:p>
            <w:r>
              <w:rPr>
                <w:sz w:val="20"/>
              </w:rPr>
            </w:r>
            <w:r>
              <w:rPr>
                <w:b w:val="0"/>
                <w:i w:val="0"/>
                <w:sz w:val="20"/>
              </w:rPr>
              <w:t>RE:</w:t>
            </w:r>
          </w:p>
        </w:tc>
        <w:tc>
          <w:tcPr>
            <w:tcW w:type="dxa" w:w="8352"/>
          </w:tcPr>
          <w:p>
            <w:r>
              <w:rPr>
                <w:sz w:val="20"/>
              </w:rPr>
            </w:r>
            <w:r>
              <w:rPr>
                <w:b w:val="0"/>
                <w:i w:val="0"/>
                <w:sz w:val="20"/>
              </w:rPr>
              <w:t>Obligation Extraction — DOJ Litigation Hold and Document Preservation Notice, Grand Jury Investigation No. 24-GJ-0387 (issued March 3, 2025), and gap analysis against internal Ridgeline records</w:t>
            </w:r>
          </w:p>
        </w:tc>
      </w:tr>
    </w:tbl>
    <w:p/>
    <w:p>
      <w:pPr>
        <w:pStyle w:val="Heading1"/>
      </w:pPr>
      <w:r>
        <w:t>I. Executive Summary</w:t>
      </w:r>
    </w:p>
    <w:p>
      <w:r>
        <w:rPr>
          <w:b w:val="0"/>
          <w:i w:val="0"/>
        </w:rPr>
        <w:t>This memo pulls out every obligation imposed on Ridgeline Therapeutics, Inc. ("Ridgeline") by the March 3, 2025 cover letter and the Litigation Hold and Document Preservation Notice (the "Notice"), including Exhibits A–D. It then checks those obligations against four internal documents: (1) the Records Retention and Destruction Policy, No. RDG-LGL-007 (v2.0, April 15, 2022) (the "Policy"); (2) the January 16, 2025 records destruction confirmation from Patricia Albright (the "Destruction Email"); (3) the March 4/5, 2025 IT migration memo from Dennis Wardlow (the "IT Memo"); and (4) the March 5, 2025 privileged org chart (the "Org Chart").</w:t>
      </w:r>
    </w:p>
    <w:p>
      <w:r>
        <w:rPr>
          <w:b w:val="0"/>
          <w:i w:val="0"/>
        </w:rPr>
        <w:t>Our overall assessment: the Notice is broad and it cannot be negotiated on the three hard deadlines. The internal documents show several serious exposures that need action today, before the first deadline:</w:t>
      </w:r>
    </w:p>
    <w:p>
      <w:pPr>
        <w:pStyle w:val="ListBullet"/>
      </w:pPr>
      <w:r>
        <w:rPr>
          <w:b w:val="0"/>
          <w:i w:val="0"/>
        </w:rPr>
      </w:r>
      <w:r>
        <w:rPr>
          <w:b/>
          <w:i w:val="0"/>
        </w:rPr>
        <w:t>The April 15, 2025 destruction cycle and the 90-day backup tape rotation are still running.</w:t>
      </w:r>
      <w:r>
        <w:rPr>
          <w:b w:val="0"/>
          <w:i w:val="0"/>
        </w:rPr>
        <w:t xml:space="preserve"> Nothing in the file shows that either has been suspended. Paragraphs 5, 33 and 41 of the Notice required suspension "immediately" on receipt. The tape rotation is also the only possible route to recovering electronic records deleted on January 15, 2025. Tapes holding that data are being overwritten on a rolling basis now, and the last copies will be gone by roughly mid-April 2025.</w:t>
      </w:r>
    </w:p>
    <w:p>
      <w:pPr>
        <w:pStyle w:val="ListBullet"/>
      </w:pPr>
      <w:r>
        <w:rPr>
          <w:b w:val="0"/>
          <w:i w:val="0"/>
        </w:rPr>
      </w:r>
      <w:r>
        <w:rPr>
          <w:b/>
          <w:i w:val="0"/>
        </w:rPr>
        <w:t>About 4.2 million records were destroyed on January 15, 2025, seven weeks before the Notice.</w:t>
      </w:r>
      <w:r>
        <w:rPr>
          <w:b w:val="0"/>
          <w:i w:val="0"/>
        </w:rPr>
        <w:t xml:space="preserve"> They fall within Notice categories: KOL event files, Salesforce call records of the regional sales managers and the National Sales Director's team, RPAF correspondence, and 47 boxes of paper at Sentinel. The destruction also appears to have </w:t>
      </w:r>
      <w:r>
        <w:rPr>
          <w:b/>
          <w:i w:val="0"/>
        </w:rPr>
        <w:t>violated the Policy itself</w:t>
      </w:r>
      <w:r>
        <w:rPr>
          <w:b w:val="0"/>
          <w:i w:val="0"/>
        </w:rPr>
        <w:t>. Speaker-program event records and RPAF-related records carry a 6-year retention period (Categories L and M), not 3 years. The pre-destruction notice periods were also not followed. Paragraph 46 requires a prompt written disclosure to DOJ.</w:t>
      </w:r>
    </w:p>
    <w:p>
      <w:pPr>
        <w:pStyle w:val="ListBullet"/>
      </w:pPr>
      <w:r>
        <w:rPr>
          <w:b w:val="0"/>
          <w:i w:val="0"/>
        </w:rPr>
      </w:r>
      <w:r>
        <w:rPr>
          <w:b/>
          <w:i w:val="0"/>
        </w:rPr>
        <w:t>Pre-September 2021 email for several named custodians exists only on six decommissioned Exchange servers at Sentinel Records Management.</w:t>
      </w:r>
      <w:r>
        <w:rPr>
          <w:b w:val="0"/>
          <w:i w:val="0"/>
        </w:rPr>
        <w:t xml:space="preserve"> These servers have not been powered on or verified since December 2021, and the legacy backup tapes were probably recycled. The IT Memo's count of "8 of 23" affected custodians is </w:t>
      </w:r>
      <w:r>
        <w:rPr>
          <w:b/>
          <w:i w:val="0"/>
        </w:rPr>
        <w:t>unreliable</w:t>
      </w:r>
      <w:r>
        <w:rPr>
          <w:b w:val="0"/>
          <w:i w:val="0"/>
        </w:rPr>
        <w:t>. It names two people (Jennifer Calloway and David Yun) who are not on the Notice's custodian list. It also appears not to have checked the seven Exhibit C managers or the two functional-title custodians properly.</w:t>
      </w:r>
    </w:p>
    <w:p>
      <w:pPr>
        <w:pStyle w:val="ListBullet"/>
      </w:pPr>
      <w:r>
        <w:rPr>
          <w:b w:val="0"/>
          <w:i w:val="0"/>
        </w:rPr>
      </w:r>
      <w:r>
        <w:rPr>
          <w:b/>
          <w:i w:val="0"/>
        </w:rPr>
        <w:t>No Microsoft 365 litigation hold was in place as of the IT Memo.</w:t>
      </w:r>
      <w:r>
        <w:rPr>
          <w:b w:val="0"/>
          <w:i w:val="0"/>
        </w:rPr>
        <w:t xml:space="preserve"> IT needs Legal's authorization and says it can act within 24–48 hours. Recoverable Items in M365 are purged after 30 days. Teams/Slack messages (1 year), voicemail (90 days) and mobile data (2 years) are all being deleted automatically under Policy settings.</w:t>
      </w:r>
    </w:p>
    <w:p>
      <w:pPr>
        <w:pStyle w:val="ListBullet"/>
      </w:pPr>
      <w:r>
        <w:rPr>
          <w:b w:val="0"/>
          <w:i w:val="0"/>
        </w:rPr>
      </w:r>
      <w:r>
        <w:rPr>
          <w:b/>
          <w:i w:val="0"/>
        </w:rPr>
        <w:t>Several Notice requirements cannot be met as written, or conflict with Ridgeline's legal position.</w:t>
      </w:r>
      <w:r>
        <w:rPr>
          <w:b w:val="0"/>
          <w:i w:val="0"/>
        </w:rPr>
        <w:t xml:space="preserve"> Examples: forensic imaging of personal devices belonging to five non-employee HCPs and of employee BYOD devices (the Policy requires consent or a court order); binding RPAF, which is legally independent; and "preserving in current physical condition" servers that must be powered up to be recovered. We recommend raising these with AUSA Faulkner and Trial Attorney Gutierrez in writing now, before the March 13 deadline. The Notice itself (¶51) invites this and warns against unilateral interpretation.</w:t>
      </w:r>
    </w:p>
    <w:p>
      <w:pPr>
        <w:pStyle w:val="ListBullet"/>
      </w:pPr>
      <w:r>
        <w:rPr>
          <w:b w:val="0"/>
          <w:i w:val="0"/>
        </w:rPr>
      </w:r>
      <w:r>
        <w:rPr>
          <w:b/>
          <w:i w:val="0"/>
        </w:rPr>
        <w:t>The Notice has internal drafting inconsistencies</w:t>
      </w:r>
      <w:r>
        <w:rPr>
          <w:b w:val="0"/>
          <w:i w:val="0"/>
        </w:rPr>
        <w:t xml:space="preserve"> that affect scope. Examples: 36 categories are referenced but only 34 are listed; the subject-matter area numbering in the body differs from Exhibit B; and ¶47 points to the wrong area for the extended financial-records period. These should be resolved by preserving the broader reading and asking DOJ for written clarification.</w:t>
      </w:r>
    </w:p>
    <w:p>
      <w:pPr>
        <w:pStyle w:val="Heading1"/>
      </w:pPr>
      <w:r>
        <w:t>II. Documents Reviewed</w:t>
      </w:r>
    </w:p>
    <w:tbl>
      <w:tblPr>
        <w:tblStyle w:val="TableGrid"/>
        <w:tblW w:type="auto" w:w="0"/>
        <w:tblLook w:firstColumn="1" w:firstRow="1" w:lastColumn="0" w:lastRow="0" w:noHBand="0" w:noVBand="1" w:val="04A0"/>
      </w:tblPr>
      <w:tblGrid>
        <w:gridCol w:w="3216"/>
        <w:gridCol w:w="3216"/>
        <w:gridCol w:w="3216"/>
      </w:tblGrid>
      <w:tr>
        <w:trPr>
          <w:tblHeader w:val="true"/>
        </w:trPr>
        <w:tc>
          <w:tcPr>
            <w:tcW w:type="dxa" w:w="2736"/>
            <w:shd w:val="clear" w:color="auto" w:fill="1F3A5F"/>
          </w:tcPr>
          <w:p>
            <w:r/>
            <w:r>
              <w:rPr>
                <w:b/>
                <w:color w:val="FFFFFF"/>
                <w:sz w:val="17"/>
              </w:rPr>
              <w:t>Document</w:t>
            </w:r>
          </w:p>
        </w:tc>
        <w:tc>
          <w:tcPr>
            <w:tcW w:type="dxa" w:w="3168"/>
            <w:shd w:val="clear" w:color="auto" w:fill="1F3A5F"/>
          </w:tcPr>
          <w:p>
            <w:r/>
            <w:r>
              <w:rPr>
                <w:b/>
                <w:color w:val="FFFFFF"/>
                <w:sz w:val="17"/>
              </w:rPr>
              <w:t>Date / Author</w:t>
            </w:r>
          </w:p>
        </w:tc>
        <w:tc>
          <w:tcPr>
            <w:tcW w:type="dxa" w:w="3744"/>
            <w:shd w:val="clear" w:color="auto" w:fill="1F3A5F"/>
          </w:tcPr>
          <w:p>
            <w:r/>
            <w:r>
              <w:rPr>
                <w:b/>
                <w:color w:val="FFFFFF"/>
                <w:sz w:val="17"/>
              </w:rPr>
              <w:t>Relevance</w:t>
            </w:r>
          </w:p>
        </w:tc>
      </w:tr>
      <w:tr>
        <w:tc>
          <w:tcPr>
            <w:tcW w:type="dxa" w:w="2736"/>
          </w:tcPr>
          <w:p>
            <w:r>
              <w:rPr>
                <w:sz w:val="17"/>
              </w:rPr>
            </w:r>
            <w:r>
              <w:rPr>
                <w:b w:val="0"/>
                <w:i w:val="0"/>
                <w:sz w:val="17"/>
              </w:rPr>
              <w:t>DOJ cover letter + Preservation Notice (¶¶1–52, Exhibits A–D)</w:t>
            </w:r>
          </w:p>
        </w:tc>
        <w:tc>
          <w:tcPr>
            <w:tcW w:type="dxa" w:w="3168"/>
          </w:tcPr>
          <w:p>
            <w:r>
              <w:rPr>
                <w:sz w:val="17"/>
              </w:rPr>
            </w:r>
            <w:r>
              <w:rPr>
                <w:b w:val="0"/>
                <w:i w:val="0"/>
                <w:sz w:val="17"/>
              </w:rPr>
              <w:t>Mar. 3, 2025; AUSA Brendan K. Faulkner (WDNC) and TA Sonia R. Gutierrez (Fraud Section); FedEx 7749 2103 8856 4410</w:t>
            </w:r>
          </w:p>
        </w:tc>
        <w:tc>
          <w:tcPr>
            <w:tcW w:type="dxa" w:w="3744"/>
          </w:tcPr>
          <w:p>
            <w:r>
              <w:rPr>
                <w:sz w:val="17"/>
              </w:rPr>
            </w:r>
            <w:r>
              <w:rPr>
                <w:b w:val="0"/>
                <w:i w:val="0"/>
                <w:sz w:val="17"/>
              </w:rPr>
              <w:t>Source of all obligations</w:t>
            </w:r>
          </w:p>
        </w:tc>
      </w:tr>
      <w:tr>
        <w:tc>
          <w:tcPr>
            <w:tcW w:type="dxa" w:w="2736"/>
          </w:tcPr>
          <w:p>
            <w:r>
              <w:rPr>
                <w:sz w:val="17"/>
              </w:rPr>
            </w:r>
            <w:r>
              <w:rPr>
                <w:b w:val="0"/>
                <w:i w:val="0"/>
                <w:sz w:val="17"/>
              </w:rPr>
              <w:t>Policy No. RDG-LGL-007 v2.0</w:t>
            </w:r>
          </w:p>
        </w:tc>
        <w:tc>
          <w:tcPr>
            <w:tcW w:type="dxa" w:w="3168"/>
          </w:tcPr>
          <w:p>
            <w:r>
              <w:rPr>
                <w:sz w:val="17"/>
              </w:rPr>
            </w:r>
            <w:r>
              <w:rPr>
                <w:b w:val="0"/>
                <w:i w:val="0"/>
                <w:sz w:val="17"/>
              </w:rPr>
              <w:t>Eff. Apr. 15, 2022; approved by Ellsworth, Cho-Rosen, Venkataraman; annual review overdue since Apr. 2023</w:t>
            </w:r>
          </w:p>
        </w:tc>
        <w:tc>
          <w:tcPr>
            <w:tcW w:type="dxa" w:w="3744"/>
          </w:tcPr>
          <w:p>
            <w:r>
              <w:rPr>
                <w:sz w:val="17"/>
              </w:rPr>
            </w:r>
            <w:r>
              <w:rPr>
                <w:b w:val="0"/>
                <w:i w:val="0"/>
                <w:sz w:val="17"/>
              </w:rPr>
              <w:t>Retention periods and routines that must be suspended; internal hold procedures; templates</w:t>
            </w:r>
          </w:p>
        </w:tc>
      </w:tr>
      <w:tr>
        <w:tc>
          <w:tcPr>
            <w:tcW w:type="dxa" w:w="2736"/>
          </w:tcPr>
          <w:p>
            <w:r>
              <w:rPr>
                <w:sz w:val="17"/>
              </w:rPr>
            </w:r>
            <w:r>
              <w:rPr>
                <w:b w:val="0"/>
                <w:i w:val="0"/>
                <w:sz w:val="17"/>
              </w:rPr>
              <w:t>Records destruction confirmation email</w:t>
            </w:r>
          </w:p>
        </w:tc>
        <w:tc>
          <w:tcPr>
            <w:tcW w:type="dxa" w:w="3168"/>
          </w:tcPr>
          <w:p>
            <w:r>
              <w:rPr>
                <w:sz w:val="17"/>
              </w:rPr>
            </w:r>
            <w:r>
              <w:rPr>
                <w:b w:val="0"/>
                <w:i w:val="0"/>
                <w:sz w:val="17"/>
              </w:rPr>
              <w:t>Jan. 16, 2025; P. Albright to D. Cho-Rosen, cc M. Ellsworth, K. Tate</w:t>
            </w:r>
          </w:p>
        </w:tc>
        <w:tc>
          <w:tcPr>
            <w:tcW w:type="dxa" w:w="3744"/>
          </w:tcPr>
          <w:p>
            <w:r>
              <w:rPr>
                <w:sz w:val="17"/>
              </w:rPr>
            </w:r>
            <w:r>
              <w:rPr>
                <w:b w:val="0"/>
                <w:i w:val="0"/>
                <w:sz w:val="17"/>
              </w:rPr>
              <w:t>Destruction of ~4.2M records on Jan. 15, 2025; next cycle set for Apr. 15, 2025</w:t>
            </w:r>
          </w:p>
        </w:tc>
      </w:tr>
      <w:tr>
        <w:tc>
          <w:tcPr>
            <w:tcW w:type="dxa" w:w="2736"/>
          </w:tcPr>
          <w:p>
            <w:r>
              <w:rPr>
                <w:sz w:val="17"/>
              </w:rPr>
            </w:r>
            <w:r>
              <w:rPr>
                <w:b w:val="0"/>
                <w:i w:val="0"/>
                <w:sz w:val="17"/>
              </w:rPr>
              <w:t>IT migration memo email</w:t>
            </w:r>
          </w:p>
        </w:tc>
        <w:tc>
          <w:tcPr>
            <w:tcW w:type="dxa" w:w="3168"/>
          </w:tcPr>
          <w:p>
            <w:r>
              <w:rPr>
                <w:sz w:val="17"/>
              </w:rPr>
            </w:r>
            <w:r>
              <w:rPr>
                <w:b w:val="0"/>
                <w:i w:val="0"/>
                <w:sz w:val="17"/>
              </w:rPr>
              <w:t>Mar. 5, 2025 04:47 UTC (evening of Mar. 4 ET); D. Wardlow to M. Ellsworth, cc D. Cho-Rosen</w:t>
            </w:r>
          </w:p>
        </w:tc>
        <w:tc>
          <w:tcPr>
            <w:tcW w:type="dxa" w:w="3744"/>
          </w:tcPr>
          <w:p>
            <w:r>
              <w:rPr>
                <w:sz w:val="17"/>
              </w:rPr>
            </w:r>
            <w:r>
              <w:rPr>
                <w:b w:val="0"/>
                <w:i w:val="0"/>
                <w:sz w:val="17"/>
              </w:rPr>
              <w:t>Ashford migration failure; 340,000 un-migrated emails; legacy servers at Sentinel; backup tape status unknown</w:t>
            </w:r>
          </w:p>
        </w:tc>
      </w:tr>
      <w:tr>
        <w:tc>
          <w:tcPr>
            <w:tcW w:type="dxa" w:w="2736"/>
          </w:tcPr>
          <w:p>
            <w:r>
              <w:rPr>
                <w:sz w:val="17"/>
              </w:rPr>
            </w:r>
            <w:r>
              <w:rPr>
                <w:b w:val="0"/>
                <w:i w:val="0"/>
                <w:sz w:val="17"/>
              </w:rPr>
              <w:t>Corporate org chart and entity structure (privileged)</w:t>
            </w:r>
          </w:p>
        </w:tc>
        <w:tc>
          <w:tcPr>
            <w:tcW w:type="dxa" w:w="3168"/>
          </w:tcPr>
          <w:p>
            <w:r>
              <w:rPr>
                <w:sz w:val="17"/>
              </w:rPr>
            </w:r>
            <w:r>
              <w:rPr>
                <w:b w:val="0"/>
                <w:i w:val="0"/>
                <w:sz w:val="17"/>
              </w:rPr>
              <w:t>Mar. 5, 2025; Office of the General Counsel for HTM</w:t>
            </w:r>
          </w:p>
        </w:tc>
        <w:tc>
          <w:tcPr>
            <w:tcW w:type="dxa" w:w="3744"/>
          </w:tcPr>
          <w:p>
            <w:r>
              <w:rPr>
                <w:sz w:val="17"/>
              </w:rPr>
            </w:r>
            <w:r>
              <w:rPr>
                <w:b w:val="0"/>
                <w:i w:val="0"/>
                <w:sz w:val="17"/>
              </w:rPr>
              <w:t>Reporting lines; RPAF independence; vendors; Linden &amp; Pruitt conflict</w:t>
            </w:r>
          </w:p>
        </w:tc>
      </w:tr>
    </w:tbl>
    <w:p/>
    <w:p>
      <w:pPr>
        <w:pStyle w:val="Heading1"/>
      </w:pPr>
      <w:r>
        <w:t>III. Deadline Calendar</w:t>
      </w:r>
    </w:p>
    <w:p>
      <w:r>
        <w:rPr>
          <w:b w:val="0"/>
          <w:i w:val="0"/>
        </w:rPr>
        <w:t xml:space="preserve">The Notice counts every deadline from "receipt." Delivery was by FedEx overnight, so receipt was probably March 4, 2025. However, both the cover letter and the Notice state calendar dates counted from March 3, the mailing date. Paragraph 52 makes the Notice effective on mailing (March 3), while ¶1 says "upon receipt." </w:t>
      </w:r>
      <w:r>
        <w:rPr>
          <w:b/>
          <w:i w:val="0"/>
        </w:rPr>
        <w:t>We recommend treating the stated calendar dates as binding.</w:t>
      </w:r>
      <w:r>
        <w:rPr>
          <w:b w:val="0"/>
          <w:i w:val="0"/>
        </w:rPr>
        <w:t xml:space="preserve"> The deadlines are described as "firm and non-negotiable absent written agreement." Please confirm the actual FedEx delivery date for the file.</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1584"/>
            <w:shd w:val="clear" w:color="auto" w:fill="1F3A5F"/>
          </w:tcPr>
          <w:p>
            <w:r/>
            <w:r>
              <w:rPr>
                <w:b/>
                <w:color w:val="FFFFFF"/>
                <w:sz w:val="17"/>
              </w:rPr>
              <w:t>Date</w:t>
            </w:r>
          </w:p>
        </w:tc>
        <w:tc>
          <w:tcPr>
            <w:tcW w:type="dxa" w:w="3888"/>
            <w:shd w:val="clear" w:color="auto" w:fill="1F3A5F"/>
          </w:tcPr>
          <w:p>
            <w:r/>
            <w:r>
              <w:rPr>
                <w:b/>
                <w:color w:val="FFFFFF"/>
                <w:sz w:val="17"/>
              </w:rPr>
              <w:t>Obligation</w:t>
            </w:r>
          </w:p>
        </w:tc>
        <w:tc>
          <w:tcPr>
            <w:tcW w:type="dxa" w:w="1728"/>
            <w:shd w:val="clear" w:color="auto" w:fill="1F3A5F"/>
          </w:tcPr>
          <w:p>
            <w:r/>
            <w:r>
              <w:rPr>
                <w:b/>
                <w:color w:val="FFFFFF"/>
                <w:sz w:val="17"/>
              </w:rPr>
              <w:t>Source</w:t>
            </w:r>
          </w:p>
        </w:tc>
        <w:tc>
          <w:tcPr>
            <w:tcW w:type="dxa" w:w="2448"/>
            <w:shd w:val="clear" w:color="auto" w:fill="1F3A5F"/>
          </w:tcPr>
          <w:p>
            <w:r/>
            <w:r>
              <w:rPr>
                <w:b/>
                <w:color w:val="FFFFFF"/>
                <w:sz w:val="17"/>
              </w:rPr>
              <w:t>Status per file</w:t>
            </w:r>
          </w:p>
        </w:tc>
      </w:tr>
      <w:tr>
        <w:tc>
          <w:tcPr>
            <w:tcW w:type="dxa" w:w="1584"/>
          </w:tcPr>
          <w:p>
            <w:r>
              <w:rPr>
                <w:sz w:val="17"/>
              </w:rPr>
            </w:r>
            <w:r>
              <w:rPr>
                <w:b w:val="0"/>
                <w:i w:val="0"/>
                <w:sz w:val="17"/>
              </w:rPr>
              <w:t>Mar. 3, 2025 (Mon.) — immediately</w:t>
            </w:r>
          </w:p>
        </w:tc>
        <w:tc>
          <w:tcPr>
            <w:tcW w:type="dxa" w:w="3888"/>
          </w:tcPr>
          <w:p>
            <w:r>
              <w:rPr>
                <w:sz w:val="17"/>
              </w:rPr>
            </w:r>
            <w:r>
              <w:rPr>
                <w:b w:val="0"/>
                <w:i w:val="0"/>
                <w:sz w:val="17"/>
              </w:rPr>
              <w:t>Preservation duty attaches. Suspend all auto-deletion, destruction schedules, backup tape recycling, email purges and vault clean-up</w:t>
            </w:r>
          </w:p>
        </w:tc>
        <w:tc>
          <w:tcPr>
            <w:tcW w:type="dxa" w:w="1728"/>
          </w:tcPr>
          <w:p>
            <w:r>
              <w:rPr>
                <w:sz w:val="17"/>
              </w:rPr>
            </w:r>
            <w:r>
              <w:rPr>
                <w:b w:val="0"/>
                <w:i w:val="0"/>
                <w:sz w:val="17"/>
              </w:rPr>
              <w:t>Cover letter; ¶¶1, 5, 33, 41, 52</w:t>
            </w:r>
          </w:p>
        </w:tc>
        <w:tc>
          <w:tcPr>
            <w:tcW w:type="dxa" w:w="2448"/>
            <w:shd w:val="clear" w:color="auto" w:fill="F8D7DA"/>
          </w:tcPr>
          <w:p>
            <w:r>
              <w:rPr>
                <w:sz w:val="17"/>
              </w:rPr>
            </w:r>
            <w:r>
              <w:rPr>
                <w:b w:val="0"/>
                <w:i w:val="0"/>
                <w:sz w:val="17"/>
              </w:rPr>
            </w:r>
            <w:r>
              <w:rPr>
                <w:b/>
                <w:i w:val="0"/>
                <w:sz w:val="17"/>
              </w:rPr>
              <w:t>CRITICAL — no evidence of suspension.</w:t>
            </w:r>
            <w:r>
              <w:rPr>
                <w:b w:val="0"/>
                <w:i w:val="0"/>
                <w:sz w:val="17"/>
              </w:rPr>
              <w:t xml:space="preserve"> M365 holds not yet authorized; tape rotation and Apr. 15 cycle still scheduled</w:t>
            </w:r>
          </w:p>
        </w:tc>
      </w:tr>
      <w:tr>
        <w:tc>
          <w:tcPr>
            <w:tcW w:type="dxa" w:w="1584"/>
          </w:tcPr>
          <w:p>
            <w:r>
              <w:rPr>
                <w:sz w:val="17"/>
              </w:rPr>
            </w:r>
            <w:r>
              <w:rPr>
                <w:b w:val="0"/>
                <w:i w:val="0"/>
                <w:sz w:val="17"/>
              </w:rPr>
              <w:t>Mar. 13, 2025 (Thu.)</w:t>
            </w:r>
          </w:p>
        </w:tc>
        <w:tc>
          <w:tcPr>
            <w:tcW w:type="dxa" w:w="3888"/>
          </w:tcPr>
          <w:p>
            <w:r>
              <w:rPr>
                <w:sz w:val="17"/>
              </w:rPr>
            </w:r>
            <w:r>
              <w:rPr>
                <w:b w:val="0"/>
                <w:i w:val="0"/>
                <w:sz w:val="17"/>
              </w:rPr>
              <w:t>Issue written preservation notices to all third-party vendors (at least Veeva, SAP, Concur, IntegriCall) instructing them to suspend deletion; then obtain written confirmation from each</w:t>
            </w:r>
          </w:p>
        </w:tc>
        <w:tc>
          <w:tcPr>
            <w:tcW w:type="dxa" w:w="1728"/>
          </w:tcPr>
          <w:p>
            <w:r>
              <w:rPr>
                <w:sz w:val="17"/>
              </w:rPr>
            </w:r>
            <w:r>
              <w:rPr>
                <w:b w:val="0"/>
                <w:i w:val="0"/>
                <w:sz w:val="17"/>
              </w:rPr>
              <w:t>Cover letter (i); ¶43; ¶45(c)</w:t>
            </w:r>
          </w:p>
        </w:tc>
        <w:tc>
          <w:tcPr>
            <w:tcW w:type="dxa" w:w="2448"/>
          </w:tcPr>
          <w:p>
            <w:r>
              <w:rPr>
                <w:sz w:val="17"/>
              </w:rPr>
            </w:r>
            <w:r>
              <w:rPr>
                <w:b w:val="0"/>
                <w:i w:val="0"/>
                <w:sz w:val="17"/>
              </w:rPr>
              <w:t>Not started. Recommend adding Sentinel, Salesforce, Microsoft, Slack, Ashford, Linden &amp; Pruitt, and the Atlanta/other off-site storage operators</w:t>
            </w:r>
          </w:p>
        </w:tc>
      </w:tr>
      <w:tr>
        <w:tc>
          <w:tcPr>
            <w:tcW w:type="dxa" w:w="1584"/>
          </w:tcPr>
          <w:p>
            <w:r>
              <w:rPr>
                <w:sz w:val="17"/>
              </w:rPr>
            </w:r>
            <w:r>
              <w:rPr>
                <w:b w:val="0"/>
                <w:i w:val="0"/>
                <w:sz w:val="17"/>
              </w:rPr>
              <w:t>Mar. 17, 2025 (Mon.)</w:t>
            </w:r>
          </w:p>
        </w:tc>
        <w:tc>
          <w:tcPr>
            <w:tcW w:type="dxa" w:w="3888"/>
          </w:tcPr>
          <w:p>
            <w:r>
              <w:rPr>
                <w:sz w:val="17"/>
              </w:rPr>
            </w:r>
            <w:r>
              <w:rPr>
                <w:b w:val="0"/>
                <w:i w:val="0"/>
                <w:sz w:val="17"/>
              </w:rPr>
              <w:t>Written certification to Faulkner and Gutierrez covering items (a)–(f) of ¶45 (see Part V.K)</w:t>
            </w:r>
          </w:p>
        </w:tc>
        <w:tc>
          <w:tcPr>
            <w:tcW w:type="dxa" w:w="1728"/>
          </w:tcPr>
          <w:p>
            <w:r>
              <w:rPr>
                <w:sz w:val="17"/>
              </w:rPr>
            </w:r>
            <w:r>
              <w:rPr>
                <w:b w:val="0"/>
                <w:i w:val="0"/>
                <w:sz w:val="17"/>
              </w:rPr>
              <w:t>Cover letter (ii); ¶45; Exh. C</w:t>
            </w:r>
          </w:p>
        </w:tc>
        <w:tc>
          <w:tcPr>
            <w:tcW w:type="dxa" w:w="2448"/>
          </w:tcPr>
          <w:p>
            <w:r>
              <w:rPr>
                <w:sz w:val="17"/>
              </w:rPr>
            </w:r>
            <w:r>
              <w:rPr>
                <w:b w:val="0"/>
                <w:i w:val="0"/>
                <w:sz w:val="17"/>
              </w:rPr>
              <w:t>Not started. Needs individual hold notices, custodian acknowledgments, named oversight person and point of contact</w:t>
            </w:r>
          </w:p>
        </w:tc>
      </w:tr>
      <w:tr>
        <w:tc>
          <w:tcPr>
            <w:tcW w:type="dxa" w:w="1584"/>
          </w:tcPr>
          <w:p>
            <w:r>
              <w:rPr>
                <w:sz w:val="17"/>
              </w:rPr>
            </w:r>
            <w:r>
              <w:rPr>
                <w:b w:val="0"/>
                <w:i w:val="0"/>
                <w:sz w:val="17"/>
              </w:rPr>
              <w:t>Mar. 24, 2025 (Mon.)</w:t>
            </w:r>
          </w:p>
        </w:tc>
        <w:tc>
          <w:tcPr>
            <w:tcW w:type="dxa" w:w="3888"/>
          </w:tcPr>
          <w:p>
            <w:r>
              <w:rPr>
                <w:sz w:val="17"/>
              </w:rPr>
            </w:r>
            <w:r>
              <w:rPr>
                <w:b w:val="0"/>
                <w:i w:val="0"/>
                <w:sz w:val="17"/>
              </w:rPr>
              <w:t>Complete forensic (full physical, not logical) imaging of all personal and company mobile devices of all 23 named custodians, with a chain-of-custody log</w:t>
            </w:r>
          </w:p>
        </w:tc>
        <w:tc>
          <w:tcPr>
            <w:tcW w:type="dxa" w:w="1728"/>
          </w:tcPr>
          <w:p>
            <w:r>
              <w:rPr>
                <w:sz w:val="17"/>
              </w:rPr>
            </w:r>
            <w:r>
              <w:rPr>
                <w:b w:val="0"/>
                <w:i w:val="0"/>
                <w:sz w:val="17"/>
              </w:rPr>
              <w:t>Cover letter (iii); ¶¶17, 40</w:t>
            </w:r>
          </w:p>
        </w:tc>
        <w:tc>
          <w:tcPr>
            <w:tcW w:type="dxa" w:w="2448"/>
          </w:tcPr>
          <w:p>
            <w:r>
              <w:rPr>
                <w:sz w:val="17"/>
              </w:rPr>
            </w:r>
            <w:r>
              <w:rPr>
                <w:b w:val="0"/>
                <w:i w:val="0"/>
                <w:sz w:val="17"/>
              </w:rPr>
              <w:t>Not started. Includes 5 non-employee HCPs and BYOD devices; see Part VIII.E</w:t>
            </w:r>
          </w:p>
        </w:tc>
      </w:tr>
      <w:tr>
        <w:tc>
          <w:tcPr>
            <w:tcW w:type="dxa" w:w="1584"/>
          </w:tcPr>
          <w:p>
            <w:r>
              <w:rPr>
                <w:sz w:val="17"/>
              </w:rPr>
            </w:r>
            <w:r>
              <w:rPr>
                <w:b w:val="0"/>
                <w:i w:val="0"/>
                <w:sz w:val="17"/>
              </w:rPr>
              <w:t>Promptly / ongoing</w:t>
            </w:r>
          </w:p>
        </w:tc>
        <w:tc>
          <w:tcPr>
            <w:tcW w:type="dxa" w:w="3888"/>
          </w:tcPr>
          <w:p>
            <w:r>
              <w:rPr>
                <w:sz w:val="17"/>
              </w:rPr>
            </w:r>
            <w:r>
              <w:rPr>
                <w:b w:val="0"/>
                <w:i w:val="0"/>
                <w:sz w:val="17"/>
              </w:rPr>
              <w:t>Written notice to DOJ of any data loss or destruction, whether before or after the Notice, including type, volume, dates and remediation</w:t>
            </w:r>
          </w:p>
        </w:tc>
        <w:tc>
          <w:tcPr>
            <w:tcW w:type="dxa" w:w="1728"/>
          </w:tcPr>
          <w:p>
            <w:r>
              <w:rPr>
                <w:sz w:val="17"/>
              </w:rPr>
            </w:r>
            <w:r>
              <w:rPr>
                <w:b w:val="0"/>
                <w:i w:val="0"/>
                <w:sz w:val="17"/>
              </w:rPr>
              <w:t>¶46</w:t>
            </w:r>
          </w:p>
        </w:tc>
        <w:tc>
          <w:tcPr>
            <w:tcW w:type="dxa" w:w="2448"/>
          </w:tcPr>
          <w:p>
            <w:r>
              <w:rPr>
                <w:sz w:val="17"/>
              </w:rPr>
            </w:r>
            <w:r>
              <w:rPr>
                <w:b w:val="0"/>
                <w:i w:val="0"/>
                <w:sz w:val="17"/>
              </w:rPr>
              <w:t>Triggered already by the Jan. 15 destruction and the 2021 migration gap</w:t>
            </w:r>
          </w:p>
        </w:tc>
      </w:tr>
      <w:tr>
        <w:tc>
          <w:tcPr>
            <w:tcW w:type="dxa" w:w="1584"/>
          </w:tcPr>
          <w:p>
            <w:r>
              <w:rPr>
                <w:sz w:val="17"/>
              </w:rPr>
            </w:r>
            <w:r>
              <w:rPr>
                <w:b w:val="0"/>
                <w:i w:val="0"/>
                <w:sz w:val="17"/>
              </w:rPr>
              <w:t>Quarterly (internal)</w:t>
            </w:r>
          </w:p>
        </w:tc>
        <w:tc>
          <w:tcPr>
            <w:tcW w:type="dxa" w:w="3888"/>
          </w:tcPr>
          <w:p>
            <w:r>
              <w:rPr>
                <w:sz w:val="17"/>
              </w:rPr>
            </w:r>
            <w:r>
              <w:rPr>
                <w:b w:val="0"/>
                <w:i w:val="0"/>
                <w:sz w:val="17"/>
              </w:rPr>
              <w:t>Hold reminders to custodians</w:t>
            </w:r>
          </w:p>
        </w:tc>
        <w:tc>
          <w:tcPr>
            <w:tcW w:type="dxa" w:w="1728"/>
          </w:tcPr>
          <w:p>
            <w:r>
              <w:rPr>
                <w:sz w:val="17"/>
              </w:rPr>
            </w:r>
            <w:r>
              <w:rPr>
                <w:b w:val="0"/>
                <w:i w:val="0"/>
                <w:sz w:val="17"/>
              </w:rPr>
              <w:t>Policy §6.3</w:t>
            </w:r>
          </w:p>
        </w:tc>
        <w:tc>
          <w:tcPr>
            <w:tcW w:type="dxa" w:w="2448"/>
          </w:tcPr>
          <w:p>
            <w:r>
              <w:rPr>
                <w:sz w:val="17"/>
              </w:rPr>
            </w:r>
            <w:r>
              <w:rPr>
                <w:b w:val="0"/>
                <w:i w:val="0"/>
                <w:sz w:val="17"/>
              </w:rPr>
              <w:t>Put on calendar</w:t>
            </w:r>
          </w:p>
        </w:tc>
      </w:tr>
      <w:tr>
        <w:tc>
          <w:tcPr>
            <w:tcW w:type="dxa" w:w="1584"/>
          </w:tcPr>
          <w:p>
            <w:r>
              <w:rPr>
                <w:sz w:val="17"/>
              </w:rPr>
            </w:r>
            <w:r>
              <w:rPr>
                <w:b w:val="0"/>
                <w:i w:val="0"/>
                <w:sz w:val="17"/>
              </w:rPr>
              <w:t>Apr. 15, 2025</w:t>
            </w:r>
          </w:p>
        </w:tc>
        <w:tc>
          <w:tcPr>
            <w:tcW w:type="dxa" w:w="3888"/>
          </w:tcPr>
          <w:p>
            <w:r>
              <w:rPr>
                <w:sz w:val="17"/>
              </w:rPr>
            </w:r>
            <w:r>
              <w:rPr>
                <w:b w:val="0"/>
                <w:i w:val="0"/>
                <w:sz w:val="17"/>
              </w:rPr>
              <w:t>Next Policy destruction cycle, and approximate date the last backup tapes holding Jan. 15-deleted data will be overwritten (90 days)</w:t>
            </w:r>
          </w:p>
        </w:tc>
        <w:tc>
          <w:tcPr>
            <w:tcW w:type="dxa" w:w="1728"/>
          </w:tcPr>
          <w:p>
            <w:r>
              <w:rPr>
                <w:sz w:val="17"/>
              </w:rPr>
            </w:r>
            <w:r>
              <w:rPr>
                <w:b w:val="0"/>
                <w:i w:val="0"/>
                <w:sz w:val="17"/>
              </w:rPr>
              <w:t>Destruction Email; Policy §4.3</w:t>
            </w:r>
          </w:p>
        </w:tc>
        <w:tc>
          <w:tcPr>
            <w:tcW w:type="dxa" w:w="2448"/>
            <w:shd w:val="clear" w:color="auto" w:fill="F8D7DA"/>
          </w:tcPr>
          <w:p>
            <w:r>
              <w:rPr>
                <w:sz w:val="17"/>
              </w:rPr>
            </w:r>
            <w:r>
              <w:rPr>
                <w:b w:val="0"/>
                <w:i w:val="0"/>
                <w:sz w:val="17"/>
              </w:rPr>
            </w:r>
            <w:r>
              <w:rPr>
                <w:b/>
                <w:i w:val="0"/>
                <w:sz w:val="17"/>
              </w:rPr>
              <w:t>CRITICAL — cancel the cycle and pull the tapes now</w:t>
            </w:r>
            <w:r>
              <w:rPr>
                <w:b w:val="0"/>
                <w:i w:val="0"/>
                <w:sz w:val="17"/>
              </w:rPr>
            </w:r>
          </w:p>
        </w:tc>
      </w:tr>
      <w:tr>
        <w:tc>
          <w:tcPr>
            <w:tcW w:type="dxa" w:w="1584"/>
          </w:tcPr>
          <w:p>
            <w:r>
              <w:rPr>
                <w:sz w:val="17"/>
              </w:rPr>
            </w:r>
            <w:r>
              <w:rPr>
                <w:b w:val="0"/>
                <w:i w:val="0"/>
                <w:sz w:val="17"/>
              </w:rPr>
              <w:t>Until DOJ lifts in writing</w:t>
            </w:r>
          </w:p>
        </w:tc>
        <w:tc>
          <w:tcPr>
            <w:tcW w:type="dxa" w:w="3888"/>
          </w:tcPr>
          <w:p>
            <w:r>
              <w:rPr>
                <w:sz w:val="17"/>
              </w:rPr>
            </w:r>
            <w:r>
              <w:rPr>
                <w:b w:val="0"/>
                <w:i w:val="0"/>
                <w:sz w:val="17"/>
              </w:rPr>
              <w:t>All obligations continue, including for newly created material</w:t>
            </w:r>
          </w:p>
        </w:tc>
        <w:tc>
          <w:tcPr>
            <w:tcW w:type="dxa" w:w="1728"/>
          </w:tcPr>
          <w:p>
            <w:r>
              <w:rPr>
                <w:sz w:val="17"/>
              </w:rPr>
            </w:r>
            <w:r>
              <w:rPr>
                <w:b w:val="0"/>
                <w:i w:val="0"/>
                <w:sz w:val="17"/>
              </w:rPr>
              <w:t>¶¶5, 32, 33, 52; Exh. A</w:t>
            </w:r>
          </w:p>
        </w:tc>
        <w:tc>
          <w:tcPr>
            <w:tcW w:type="dxa" w:w="2448"/>
          </w:tcPr>
          <w:p>
            <w:r>
              <w:rPr>
                <w:sz w:val="17"/>
              </w:rPr>
            </w:r>
            <w:r>
              <w:rPr>
                <w:b w:val="0"/>
                <w:i w:val="0"/>
                <w:sz w:val="17"/>
              </w:rPr>
            </w:r>
          </w:p>
        </w:tc>
      </w:tr>
    </w:tbl>
    <w:p/>
    <w:p>
      <w:pPr>
        <w:pStyle w:val="Heading1"/>
      </w:pPr>
      <w:r>
        <w:t>IV. Scope Parameters</w:t>
      </w:r>
    </w:p>
    <w:p>
      <w:pPr>
        <w:pStyle w:val="Heading2"/>
      </w:pPr>
      <w:r>
        <w:t>A. Covered Entities and Persons</w:t>
      </w:r>
    </w:p>
    <w:p>
      <w:pPr>
        <w:pStyle w:val="ListBullet"/>
      </w:pPr>
      <w:r>
        <w:rPr>
          <w:b w:val="0"/>
          <w:i w:val="0"/>
        </w:rPr>
        <w:t xml:space="preserve">Ridgeline Therapeutics, Inc. (Delaware; NASDAQ: RDGT) and all subsidiaries, affiliates, divisions and related entities. The Notice expressly includes </w:t>
      </w:r>
      <w:r>
        <w:rPr>
          <w:b/>
          <w:i w:val="0"/>
        </w:rPr>
        <w:t>RPAF</w:t>
      </w:r>
      <w:r>
        <w:rPr>
          <w:b w:val="0"/>
          <w:i w:val="0"/>
        </w:rPr>
        <w:t xml:space="preserve"> (¶4). It binds all officers, directors, employees, agents and representatives "wherever situated" (¶1). That covers the 14 domestic offices and the 3 international sites (London, Munich, Tokyo per Policy §1.2).</w:t>
      </w:r>
    </w:p>
    <w:p>
      <w:pPr>
        <w:pStyle w:val="ListBullet"/>
      </w:pPr>
      <w:r>
        <w:rPr>
          <w:b w:val="0"/>
          <w:i w:val="0"/>
        </w:rPr>
        <w:t>Specific facilities: Durham headquarters (4200 Meridian Crossings Blvd, Ste. 1100) and the Atlanta field office (770 Peachtree Industrial Blvd, Ste. 300) (¶¶6, 44). Also the Exhibit C offices in Philadelphia, Dallas, Chicago, Seattle and Denver, and the Sentinel Records Management facility in Raleigh, NC (Account SM-2247891) (¶¶41–42).</w:t>
      </w:r>
    </w:p>
    <w:p>
      <w:pPr>
        <w:pStyle w:val="Heading2"/>
      </w:pPr>
      <w:r>
        <w:t>B. Subject Matter</w:t>
      </w:r>
    </w:p>
    <w:p>
      <w:pPr>
        <w:pStyle w:val="ListBullet"/>
      </w:pPr>
      <w:r>
        <w:rPr>
          <w:b w:val="0"/>
          <w:i w:val="0"/>
        </w:rPr>
        <w:t>(1) KOL Program / speaker bureau (~$147.3M spend, ~14,800 events, 2019–2024); (2) RPAF (~$89.6M in grants to ~22,400 Velcara patients); (3) marketing, promotion and sale of Velcara (ridgenostat) (cover letter; ¶¶2, 7–9).</w:t>
      </w:r>
    </w:p>
    <w:p>
      <w:pPr>
        <w:pStyle w:val="ListBullet"/>
      </w:pPr>
      <w:r>
        <w:rPr>
          <w:b w:val="0"/>
          <w:i w:val="0"/>
        </w:rPr>
        <w:t>Statutes: Anti-Kickback Statute (42 U.S.C. §1320a-7b(b)), False Claims Act (31 U.S.C. §§3729–3733), wire fraud (18 U.S.C. §1343), conspiracy (18 U.S.C. §371) (¶10). Note that the cover letter and ¶2 mention only the AKS and FCA. ¶10 adds §§1343 and 371, which suggests individual criminal exposure. Obstruction under 18 U.S.C. §1519 is the stated enforcement threat (¶¶2, 34, 49).</w:t>
      </w:r>
    </w:p>
    <w:p>
      <w:pPr>
        <w:pStyle w:val="ListBullet"/>
      </w:pPr>
      <w:r>
        <w:rPr>
          <w:b w:val="0"/>
          <w:i w:val="0"/>
        </w:rPr>
      </w:r>
      <w:r>
        <w:rPr>
          <w:b/>
          <w:i w:val="0"/>
        </w:rPr>
        <w:t>Related compounds (¶31):</w:t>
      </w:r>
      <w:r>
        <w:rPr>
          <w:b w:val="0"/>
          <w:i w:val="0"/>
        </w:rPr>
        <w:t xml:space="preserve"> the Notice extends to "ridgenostat and all related compounds" to the extent they relate to the investigation, and must be construed broadly. The Org Chart identifies four pipeline oncology compounds. Their R&amp;D, medical affairs and HCP-consulting files should be assessed and, when in doubt, preserved.</w:t>
      </w:r>
    </w:p>
    <w:p>
      <w:pPr>
        <w:pStyle w:val="Heading2"/>
      </w:pPr>
      <w:r>
        <w:t>C. Time Periods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016"/>
            <w:shd w:val="clear" w:color="auto" w:fill="1F3A5F"/>
          </w:tcPr>
          <w:p>
            <w:r/>
            <w:r>
              <w:rPr>
                <w:b/>
                <w:color w:val="FFFFFF"/>
                <w:sz w:val="17"/>
              </w:rPr>
              <w:t>Period</w:t>
            </w:r>
          </w:p>
        </w:tc>
        <w:tc>
          <w:tcPr>
            <w:tcW w:type="dxa" w:w="3024"/>
            <w:shd w:val="clear" w:color="auto" w:fill="1F3A5F"/>
          </w:tcPr>
          <w:p>
            <w:r/>
            <w:r>
              <w:rPr>
                <w:b/>
                <w:color w:val="FFFFFF"/>
                <w:sz w:val="17"/>
              </w:rPr>
              <w:t>Applies to</w:t>
            </w:r>
          </w:p>
        </w:tc>
        <w:tc>
          <w:tcPr>
            <w:tcW w:type="dxa" w:w="1296"/>
            <w:shd w:val="clear" w:color="auto" w:fill="1F3A5F"/>
          </w:tcPr>
          <w:p>
            <w:r/>
            <w:r>
              <w:rPr>
                <w:b/>
                <w:color w:val="FFFFFF"/>
                <w:sz w:val="17"/>
              </w:rPr>
              <w:t>Source</w:t>
            </w:r>
          </w:p>
        </w:tc>
        <w:tc>
          <w:tcPr>
            <w:tcW w:type="dxa" w:w="3312"/>
            <w:shd w:val="clear" w:color="auto" w:fill="1F3A5F"/>
          </w:tcPr>
          <w:p>
            <w:r/>
            <w:r>
              <w:rPr>
                <w:b/>
                <w:color w:val="FFFFFF"/>
                <w:sz w:val="17"/>
              </w:rPr>
              <w:t>Note</w:t>
            </w:r>
          </w:p>
        </w:tc>
      </w:tr>
      <w:tr>
        <w:tc>
          <w:tcPr>
            <w:tcW w:type="dxa" w:w="2016"/>
          </w:tcPr>
          <w:p>
            <w:r>
              <w:rPr>
                <w:sz w:val="17"/>
              </w:rPr>
            </w:r>
            <w:r>
              <w:rPr>
                <w:b w:val="0"/>
                <w:i w:val="0"/>
                <w:sz w:val="17"/>
              </w:rPr>
              <w:t>Jan. 1, 2019 – Mar. 3, 2025</w:t>
            </w:r>
          </w:p>
        </w:tc>
        <w:tc>
          <w:tcPr>
            <w:tcW w:type="dxa" w:w="3024"/>
          </w:tcPr>
          <w:p>
            <w:r>
              <w:rPr>
                <w:sz w:val="17"/>
              </w:rPr>
            </w:r>
            <w:r>
              <w:rPr>
                <w:b w:val="0"/>
                <w:i w:val="0"/>
                <w:sz w:val="17"/>
              </w:rPr>
              <w:t>General Relevant Period</w:t>
            </w:r>
          </w:p>
        </w:tc>
        <w:tc>
          <w:tcPr>
            <w:tcW w:type="dxa" w:w="1296"/>
          </w:tcPr>
          <w:p>
            <w:r>
              <w:rPr>
                <w:sz w:val="17"/>
              </w:rPr>
            </w:r>
            <w:r>
              <w:rPr>
                <w:b w:val="0"/>
                <w:i w:val="0"/>
                <w:sz w:val="17"/>
              </w:rPr>
              <w:t>¶12; Exh. A</w:t>
            </w:r>
          </w:p>
        </w:tc>
        <w:tc>
          <w:tcPr>
            <w:tcW w:type="dxa" w:w="3312"/>
          </w:tcPr>
          <w:p>
            <w:r>
              <w:rPr>
                <w:sz w:val="17"/>
              </w:rPr>
            </w:r>
            <w:r>
              <w:rPr>
                <w:b w:val="0"/>
                <w:i w:val="0"/>
                <w:sz w:val="17"/>
              </w:rPr>
              <w:t>"Unless otherwise specified"</w:t>
            </w:r>
          </w:p>
        </w:tc>
      </w:tr>
      <w:tr>
        <w:tc>
          <w:tcPr>
            <w:tcW w:type="dxa" w:w="2016"/>
          </w:tcPr>
          <w:p>
            <w:r>
              <w:rPr>
                <w:sz w:val="17"/>
              </w:rPr>
            </w:r>
            <w:r>
              <w:rPr>
                <w:b w:val="0"/>
                <w:i w:val="0"/>
                <w:sz w:val="17"/>
              </w:rPr>
              <w:t>After Mar. 3, 2025 (continuing)</w:t>
            </w:r>
          </w:p>
        </w:tc>
        <w:tc>
          <w:tcPr>
            <w:tcW w:type="dxa" w:w="3024"/>
          </w:tcPr>
          <w:p>
            <w:r>
              <w:rPr>
                <w:sz w:val="17"/>
              </w:rPr>
            </w:r>
            <w:r>
              <w:rPr>
                <w:b w:val="0"/>
                <w:i w:val="0"/>
                <w:sz w:val="17"/>
              </w:rPr>
              <w:t>Newly created or received material</w:t>
            </w:r>
          </w:p>
        </w:tc>
        <w:tc>
          <w:tcPr>
            <w:tcW w:type="dxa" w:w="1296"/>
          </w:tcPr>
          <w:p>
            <w:r>
              <w:rPr>
                <w:sz w:val="17"/>
              </w:rPr>
            </w:r>
            <w:r>
              <w:rPr>
                <w:b w:val="0"/>
                <w:i w:val="0"/>
                <w:sz w:val="17"/>
              </w:rPr>
              <w:t>¶32; Exh. A</w:t>
            </w:r>
          </w:p>
        </w:tc>
        <w:tc>
          <w:tcPr>
            <w:tcW w:type="dxa" w:w="3312"/>
          </w:tcPr>
          <w:p>
            <w:r>
              <w:rPr>
                <w:sz w:val="17"/>
              </w:rPr>
            </w:r>
            <w:r>
              <w:rPr>
                <w:b w:val="0"/>
                <w:i w:val="0"/>
                <w:sz w:val="17"/>
              </w:rPr>
              <w:t>¶32 refers only to "Documents, Records, or Materials"; Exh. A adds Communications and ESI. Apply the broader reading</w:t>
            </w:r>
          </w:p>
        </w:tc>
      </w:tr>
      <w:tr>
        <w:tc>
          <w:tcPr>
            <w:tcW w:type="dxa" w:w="2016"/>
          </w:tcPr>
          <w:p>
            <w:r>
              <w:rPr>
                <w:sz w:val="17"/>
              </w:rPr>
            </w:r>
            <w:r>
              <w:rPr>
                <w:b w:val="0"/>
                <w:i w:val="0"/>
                <w:sz w:val="17"/>
              </w:rPr>
              <w:t>Jan. 1, 2017 – present</w:t>
            </w:r>
          </w:p>
        </w:tc>
        <w:tc>
          <w:tcPr>
            <w:tcW w:type="dxa" w:w="3024"/>
          </w:tcPr>
          <w:p>
            <w:r>
              <w:rPr>
                <w:sz w:val="17"/>
              </w:rPr>
            </w:r>
            <w:r>
              <w:rPr>
                <w:b w:val="0"/>
                <w:i w:val="0"/>
                <w:sz w:val="17"/>
              </w:rPr>
              <w:t>Financial records, accounting entries, GL, budgets and payment records for KOL, RPAF and Velcara</w:t>
            </w:r>
          </w:p>
        </w:tc>
        <w:tc>
          <w:tcPr>
            <w:tcW w:type="dxa" w:w="1296"/>
          </w:tcPr>
          <w:p>
            <w:r>
              <w:rPr>
                <w:sz w:val="17"/>
              </w:rPr>
            </w:r>
            <w:r>
              <w:rPr>
                <w:b w:val="0"/>
                <w:i w:val="0"/>
                <w:sz w:val="17"/>
              </w:rPr>
              <w:t>¶47</w:t>
            </w:r>
          </w:p>
        </w:tc>
        <w:tc>
          <w:tcPr>
            <w:tcW w:type="dxa" w:w="3312"/>
          </w:tcPr>
          <w:p>
            <w:r>
              <w:rPr>
                <w:sz w:val="17"/>
              </w:rPr>
            </w:r>
            <w:r>
              <w:rPr>
                <w:b w:val="0"/>
                <w:i w:val="0"/>
                <w:sz w:val="17"/>
              </w:rPr>
              <w:t>Includes archival and backup copies of 2017–2018 financial data. See risk in Part VIII.H</w:t>
            </w:r>
          </w:p>
        </w:tc>
      </w:tr>
      <w:tr>
        <w:tc>
          <w:tcPr>
            <w:tcW w:type="dxa" w:w="2016"/>
          </w:tcPr>
          <w:p>
            <w:r>
              <w:rPr>
                <w:sz w:val="17"/>
              </w:rPr>
            </w:r>
            <w:r>
              <w:rPr>
                <w:b w:val="0"/>
                <w:i w:val="0"/>
                <w:sz w:val="17"/>
              </w:rPr>
              <w:t>Pre-2019 (no end date)</w:t>
            </w:r>
          </w:p>
        </w:tc>
        <w:tc>
          <w:tcPr>
            <w:tcW w:type="dxa" w:w="3024"/>
          </w:tcPr>
          <w:p>
            <w:r>
              <w:rPr>
                <w:sz w:val="17"/>
              </w:rPr>
            </w:r>
            <w:r>
              <w:rPr>
                <w:b w:val="0"/>
                <w:i w:val="0"/>
                <w:sz w:val="17"/>
              </w:rPr>
              <w:t>Some custodians (Exh. C start dates from 2015) and pre-launch activity</w:t>
            </w:r>
          </w:p>
        </w:tc>
        <w:tc>
          <w:tcPr>
            <w:tcW w:type="dxa" w:w="1296"/>
          </w:tcPr>
          <w:p>
            <w:r>
              <w:rPr>
                <w:sz w:val="17"/>
              </w:rPr>
            </w:r>
            <w:r>
              <w:rPr>
                <w:b w:val="0"/>
                <w:i w:val="0"/>
                <w:sz w:val="17"/>
              </w:rPr>
              <w:t>¶19 (non-exhaustive); ¶31</w:t>
            </w:r>
          </w:p>
        </w:tc>
        <w:tc>
          <w:tcPr>
            <w:tcW w:type="dxa" w:w="3312"/>
          </w:tcPr>
          <w:p>
            <w:r>
              <w:rPr>
                <w:sz w:val="17"/>
              </w:rPr>
            </w:r>
            <w:r>
              <w:rPr>
                <w:b w:val="0"/>
                <w:i w:val="0"/>
                <w:sz w:val="17"/>
              </w:rPr>
              <w:t>Not expressly required. Consider preserving pre-2019 KOL restructuring documents (Exh. A says the current KOL structure dates from Q1 2019)</w:t>
            </w:r>
          </w:p>
        </w:tc>
      </w:tr>
    </w:tbl>
    <w:p/>
    <w:p>
      <w:pPr>
        <w:pStyle w:val="Heading2"/>
      </w:pPr>
      <w:r>
        <w:t>D. Defined Terms — Hierarchy and Drafting Traps</w:t>
      </w:r>
    </w:p>
    <w:p>
      <w:r>
        <w:rPr>
          <w:b w:val="0"/>
          <w:i w:val="0"/>
        </w:rPr>
        <w:t xml:space="preserve">The Notice defines a nested hierarchy: </w:t>
      </w:r>
      <w:r>
        <w:rPr>
          <w:b/>
          <w:i w:val="0"/>
        </w:rPr>
        <w:t>Documents</w:t>
      </w:r>
      <w:r>
        <w:rPr>
          <w:b w:val="0"/>
          <w:i w:val="0"/>
        </w:rPr>
        <w:t xml:space="preserve"> ⊂ </w:t>
      </w:r>
      <w:r>
        <w:rPr>
          <w:b/>
          <w:i w:val="0"/>
        </w:rPr>
        <w:t>Records</w:t>
      </w:r>
      <w:r>
        <w:rPr>
          <w:b w:val="0"/>
          <w:i w:val="0"/>
        </w:rPr>
        <w:t xml:space="preserve"> (adds structured data in ERP, CRM and other systems) ⊂ </w:t>
      </w:r>
      <w:r>
        <w:rPr>
          <w:b/>
          <w:i w:val="0"/>
        </w:rPr>
        <w:t>Materials</w:t>
      </w:r>
      <w:r>
        <w:rPr>
          <w:b w:val="0"/>
          <w:i w:val="0"/>
        </w:rPr>
        <w:t xml:space="preserve"> (adds physical objects, samples, promotional items and branded merchandise) (¶3(a)–(c)). </w:t>
      </w:r>
      <w:r>
        <w:rPr>
          <w:b/>
          <w:i w:val="0"/>
        </w:rPr>
        <w:t>Communications</w:t>
      </w:r>
      <w:r>
        <w:rPr>
          <w:b w:val="0"/>
          <w:i w:val="0"/>
        </w:rPr>
        <w:t xml:space="preserve"> (¶3(d)) and </w:t>
      </w:r>
      <w:r>
        <w:rPr>
          <w:b/>
          <w:i w:val="0"/>
        </w:rPr>
        <w:t>ESI</w:t>
      </w:r>
      <w:r>
        <w:rPr>
          <w:b w:val="0"/>
          <w:i w:val="0"/>
        </w:rPr>
        <w:t xml:space="preserve"> (¶3(e)) are defined separately. ESI includes metadata, forensically recoverable deleted files, logs and backups. Communications include social-media DMs, and oral conversations to the extent they were memorialized. </w:t>
      </w:r>
      <w:r>
        <w:rPr>
          <w:b/>
          <w:i w:val="0"/>
        </w:rPr>
        <w:t>HCP</w:t>
      </w:r>
      <w:r>
        <w:rPr>
          <w:b w:val="0"/>
          <w:i w:val="0"/>
        </w:rPr>
        <w:t xml:space="preserve"> (¶3(g)) extends to pharmacists and RNs.</w:t>
      </w:r>
    </w:p>
    <w:p>
      <w:r>
        <w:rPr>
          <w:b w:val="0"/>
          <w:i w:val="0"/>
        </w:rPr>
        <w:t xml:space="preserve">The operative paragraphs use these terms inconsistently. For example: ¶¶21, 22 and 26 cover "Documents, Records, and Communications" but not Materials; ¶¶19, 23, 24, 27 and 28 use undefined lower-case terms; ¶30 uses the undefined term "Documentation"; ¶32 omits Communications and ESI. </w:t>
      </w:r>
      <w:r>
        <w:rPr>
          <w:b/>
          <w:i w:val="0"/>
        </w:rPr>
        <w:t>Recommendation:</w:t>
      </w:r>
      <w:r>
        <w:rPr>
          <w:b w:val="0"/>
          <w:i w:val="0"/>
        </w:rPr>
        <w:t xml:space="preserve"> read every paragraph as covering all five defined terms. Do not rely on any narrower reading without written DOJ agreement. ¶¶19, 31 and 51 support this approach.</w:t>
      </w:r>
    </w:p>
    <w:p>
      <w:pPr>
        <w:pStyle w:val="Heading2"/>
      </w:pPr>
      <w:r>
        <w:t>E. Named Custodians (23)</w:t>
      </w:r>
    </w:p>
    <w:p>
      <w:r>
        <w:rPr>
          <w:b w:val="0"/>
          <w:i w:val="0"/>
        </w:rPr>
        <w:t>Paragraph 16 counts 23 custodians: 9 executives (¶13) + 7 regional sales managers (Exh. C) + 2 functional-title employees + 5 external HCPs (Exh. D). The "IT Memo gap" column reflects whether the IT Memo reports pre-September 2021 email as un-migrated. This must be re-verified; see Part VIII.C.</w:t>
      </w:r>
    </w:p>
    <w:tbl>
      <w:tblPr>
        <w:tblStyle w:val="TableGrid"/>
        <w:tblW w:type="auto" w:w="0"/>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1F3A5F"/>
          </w:tcPr>
          <w:p>
            <w:r/>
            <w:r>
              <w:rPr>
                <w:b/>
                <w:color w:val="FFFFFF"/>
                <w:sz w:val="17"/>
              </w:rPr>
              <w:t>#</w:t>
            </w:r>
          </w:p>
        </w:tc>
        <w:tc>
          <w:tcPr>
            <w:tcW w:type="dxa" w:w="2016"/>
            <w:shd w:val="clear" w:color="auto" w:fill="1F3A5F"/>
          </w:tcPr>
          <w:p>
            <w:r/>
            <w:r>
              <w:rPr>
                <w:b/>
                <w:color w:val="FFFFFF"/>
                <w:sz w:val="17"/>
              </w:rPr>
              <w:t>Custodian</w:t>
            </w:r>
          </w:p>
        </w:tc>
        <w:tc>
          <w:tcPr>
            <w:tcW w:type="dxa" w:w="3168"/>
            <w:shd w:val="clear" w:color="auto" w:fill="1F3A5F"/>
          </w:tcPr>
          <w:p>
            <w:r/>
            <w:r>
              <w:rPr>
                <w:b/>
                <w:color w:val="FFFFFF"/>
                <w:sz w:val="17"/>
              </w:rPr>
              <w:t>Role / Detail</w:t>
            </w:r>
          </w:p>
        </w:tc>
        <w:tc>
          <w:tcPr>
            <w:tcW w:type="dxa" w:w="1296"/>
            <w:shd w:val="clear" w:color="auto" w:fill="1F3A5F"/>
          </w:tcPr>
          <w:p>
            <w:r/>
            <w:r>
              <w:rPr>
                <w:b/>
                <w:color w:val="FFFFFF"/>
                <w:sz w:val="17"/>
              </w:rPr>
              <w:t>Source</w:t>
            </w:r>
          </w:p>
        </w:tc>
        <w:tc>
          <w:tcPr>
            <w:tcW w:type="dxa" w:w="2736"/>
            <w:shd w:val="clear" w:color="auto" w:fill="1F3A5F"/>
          </w:tcPr>
          <w:p>
            <w:r/>
            <w:r>
              <w:rPr>
                <w:b/>
                <w:color w:val="FFFFFF"/>
                <w:sz w:val="17"/>
              </w:rPr>
              <w:t>IT Memo gap / notes</w:t>
            </w:r>
          </w:p>
        </w:tc>
      </w:tr>
      <w:tr>
        <w:tc>
          <w:tcPr>
            <w:tcW w:type="dxa" w:w="432"/>
          </w:tcPr>
          <w:p>
            <w:r>
              <w:rPr>
                <w:sz w:val="17"/>
              </w:rPr>
            </w:r>
            <w:r>
              <w:rPr>
                <w:b w:val="0"/>
                <w:i w:val="0"/>
                <w:sz w:val="17"/>
              </w:rPr>
              <w:t>1</w:t>
            </w:r>
          </w:p>
        </w:tc>
        <w:tc>
          <w:tcPr>
            <w:tcW w:type="dxa" w:w="2016"/>
          </w:tcPr>
          <w:p>
            <w:r>
              <w:rPr>
                <w:sz w:val="17"/>
              </w:rPr>
            </w:r>
            <w:r>
              <w:rPr>
                <w:b w:val="0"/>
                <w:i w:val="0"/>
                <w:sz w:val="17"/>
              </w:rPr>
              <w:t>Dr. Priya Venkataraman</w:t>
            </w:r>
          </w:p>
        </w:tc>
        <w:tc>
          <w:tcPr>
            <w:tcW w:type="dxa" w:w="3168"/>
          </w:tcPr>
          <w:p>
            <w:r>
              <w:rPr>
                <w:sz w:val="17"/>
              </w:rPr>
            </w:r>
            <w:r>
              <w:rPr>
                <w:b w:val="0"/>
                <w:i w:val="0"/>
                <w:sz w:val="17"/>
              </w:rPr>
              <w:t>CEO</w:t>
            </w:r>
          </w:p>
        </w:tc>
        <w:tc>
          <w:tcPr>
            <w:tcW w:type="dxa" w:w="1296"/>
          </w:tcPr>
          <w:p>
            <w:r>
              <w:rPr>
                <w:sz w:val="17"/>
              </w:rPr>
            </w:r>
            <w:r>
              <w:rPr>
                <w:b w:val="0"/>
                <w:i w:val="0"/>
                <w:sz w:val="17"/>
              </w:rPr>
              <w:t>Exec (¶13)</w:t>
            </w:r>
          </w:p>
        </w:tc>
        <w:tc>
          <w:tcPr>
            <w:tcW w:type="dxa" w:w="2736"/>
          </w:tcPr>
          <w:p>
            <w:r>
              <w:rPr>
                <w:sz w:val="17"/>
              </w:rPr>
            </w:r>
            <w:r>
              <w:rPr>
                <w:b w:val="0"/>
                <w:i w:val="0"/>
                <w:sz w:val="17"/>
              </w:rPr>
              <w:t>Not listed</w:t>
            </w:r>
          </w:p>
        </w:tc>
      </w:tr>
      <w:tr>
        <w:tc>
          <w:tcPr>
            <w:tcW w:type="dxa" w:w="432"/>
          </w:tcPr>
          <w:p>
            <w:r>
              <w:rPr>
                <w:sz w:val="17"/>
              </w:rPr>
            </w:r>
            <w:r>
              <w:rPr>
                <w:b w:val="0"/>
                <w:i w:val="0"/>
                <w:sz w:val="17"/>
              </w:rPr>
              <w:t>2</w:t>
            </w:r>
          </w:p>
        </w:tc>
        <w:tc>
          <w:tcPr>
            <w:tcW w:type="dxa" w:w="2016"/>
          </w:tcPr>
          <w:p>
            <w:r>
              <w:rPr>
                <w:sz w:val="17"/>
              </w:rPr>
            </w:r>
            <w:r>
              <w:rPr>
                <w:b w:val="0"/>
                <w:i w:val="0"/>
                <w:sz w:val="17"/>
              </w:rPr>
              <w:t>Marcus Ellsworth</w:t>
            </w:r>
          </w:p>
        </w:tc>
        <w:tc>
          <w:tcPr>
            <w:tcW w:type="dxa" w:w="3168"/>
          </w:tcPr>
          <w:p>
            <w:r>
              <w:rPr>
                <w:sz w:val="17"/>
              </w:rPr>
            </w:r>
            <w:r>
              <w:rPr>
                <w:b w:val="0"/>
                <w:i w:val="0"/>
                <w:sz w:val="17"/>
              </w:rPr>
              <w:t>General Counsel</w:t>
            </w:r>
          </w:p>
        </w:tc>
        <w:tc>
          <w:tcPr>
            <w:tcW w:type="dxa" w:w="1296"/>
          </w:tcPr>
          <w:p>
            <w:r>
              <w:rPr>
                <w:sz w:val="17"/>
              </w:rPr>
            </w:r>
            <w:r>
              <w:rPr>
                <w:b w:val="0"/>
                <w:i w:val="0"/>
                <w:sz w:val="17"/>
              </w:rPr>
              <w:t>Exec (¶13)</w:t>
            </w:r>
          </w:p>
        </w:tc>
        <w:tc>
          <w:tcPr>
            <w:tcW w:type="dxa" w:w="2736"/>
          </w:tcPr>
          <w:p>
            <w:r>
              <w:rPr>
                <w:sz w:val="17"/>
              </w:rPr>
            </w:r>
            <w:r>
              <w:rPr>
                <w:b w:val="0"/>
                <w:i w:val="0"/>
                <w:sz w:val="17"/>
              </w:rPr>
              <w:t>Not listed. Also the addressee and hold owner; see VIII.G</w:t>
            </w:r>
          </w:p>
        </w:tc>
      </w:tr>
      <w:tr>
        <w:tc>
          <w:tcPr>
            <w:tcW w:type="dxa" w:w="432"/>
          </w:tcPr>
          <w:p>
            <w:r>
              <w:rPr>
                <w:sz w:val="17"/>
              </w:rPr>
            </w:r>
            <w:r>
              <w:rPr>
                <w:b w:val="0"/>
                <w:i w:val="0"/>
                <w:sz w:val="17"/>
              </w:rPr>
              <w:t>3</w:t>
            </w:r>
          </w:p>
        </w:tc>
        <w:tc>
          <w:tcPr>
            <w:tcW w:type="dxa" w:w="2016"/>
          </w:tcPr>
          <w:p>
            <w:r>
              <w:rPr>
                <w:sz w:val="17"/>
              </w:rPr>
            </w:r>
            <w:r>
              <w:rPr>
                <w:b w:val="0"/>
                <w:i w:val="0"/>
                <w:sz w:val="17"/>
              </w:rPr>
              <w:t>Diane Cho-Rosen</w:t>
            </w:r>
          </w:p>
        </w:tc>
        <w:tc>
          <w:tcPr>
            <w:tcW w:type="dxa" w:w="3168"/>
          </w:tcPr>
          <w:p>
            <w:r>
              <w:rPr>
                <w:sz w:val="17"/>
              </w:rPr>
            </w:r>
            <w:r>
              <w:rPr>
                <w:b w:val="0"/>
                <w:i w:val="0"/>
                <w:sz w:val="17"/>
              </w:rPr>
              <w:t>Chief Compliance Officer</w:t>
            </w:r>
          </w:p>
        </w:tc>
        <w:tc>
          <w:tcPr>
            <w:tcW w:type="dxa" w:w="1296"/>
          </w:tcPr>
          <w:p>
            <w:r>
              <w:rPr>
                <w:sz w:val="17"/>
              </w:rPr>
            </w:r>
            <w:r>
              <w:rPr>
                <w:b w:val="0"/>
                <w:i w:val="0"/>
                <w:sz w:val="17"/>
              </w:rPr>
              <w:t>Exec (¶13)</w:t>
            </w:r>
          </w:p>
        </w:tc>
        <w:tc>
          <w:tcPr>
            <w:tcW w:type="dxa" w:w="2736"/>
          </w:tcPr>
          <w:p>
            <w:r>
              <w:rPr>
                <w:sz w:val="17"/>
              </w:rPr>
            </w:r>
            <w:r>
              <w:rPr>
                <w:b w:val="0"/>
                <w:i w:val="0"/>
                <w:sz w:val="17"/>
              </w:rPr>
              <w:t>Not listed. Oversees IntegriCall and Records Management</w:t>
            </w:r>
          </w:p>
        </w:tc>
      </w:tr>
      <w:tr>
        <w:tc>
          <w:tcPr>
            <w:tcW w:type="dxa" w:w="432"/>
          </w:tcPr>
          <w:p>
            <w:r>
              <w:rPr>
                <w:sz w:val="17"/>
              </w:rPr>
            </w:r>
            <w:r>
              <w:rPr>
                <w:b w:val="0"/>
                <w:i w:val="0"/>
                <w:sz w:val="17"/>
              </w:rPr>
              <w:t>4</w:t>
            </w:r>
          </w:p>
        </w:tc>
        <w:tc>
          <w:tcPr>
            <w:tcW w:type="dxa" w:w="2016"/>
          </w:tcPr>
          <w:p>
            <w:r>
              <w:rPr>
                <w:sz w:val="17"/>
              </w:rPr>
            </w:r>
            <w:r>
              <w:rPr>
                <w:b w:val="0"/>
                <w:i w:val="0"/>
                <w:sz w:val="17"/>
              </w:rPr>
              <w:t>Dr. Franklin Osei</w:t>
            </w:r>
          </w:p>
        </w:tc>
        <w:tc>
          <w:tcPr>
            <w:tcW w:type="dxa" w:w="3168"/>
          </w:tcPr>
          <w:p>
            <w:r>
              <w:rPr>
                <w:sz w:val="17"/>
              </w:rPr>
            </w:r>
            <w:r>
              <w:rPr>
                <w:b w:val="0"/>
                <w:i w:val="0"/>
                <w:sz w:val="17"/>
              </w:rPr>
              <w:t>VP Medical Affairs</w:t>
            </w:r>
          </w:p>
        </w:tc>
        <w:tc>
          <w:tcPr>
            <w:tcW w:type="dxa" w:w="1296"/>
          </w:tcPr>
          <w:p>
            <w:r>
              <w:rPr>
                <w:sz w:val="17"/>
              </w:rPr>
            </w:r>
            <w:r>
              <w:rPr>
                <w:b w:val="0"/>
                <w:i w:val="0"/>
                <w:sz w:val="17"/>
              </w:rPr>
              <w:t>Exec (¶13)</w:t>
            </w:r>
          </w:p>
        </w:tc>
        <w:tc>
          <w:tcPr>
            <w:tcW w:type="dxa" w:w="2736"/>
          </w:tcPr>
          <w:p>
            <w:r>
              <w:rPr>
                <w:sz w:val="17"/>
              </w:rPr>
            </w:r>
            <w:r>
              <w:rPr>
                <w:b w:val="0"/>
                <w:i w:val="0"/>
                <w:sz w:val="17"/>
              </w:rPr>
            </w:r>
            <w:r>
              <w:rPr>
                <w:b/>
                <w:i w:val="0"/>
                <w:sz w:val="17"/>
              </w:rPr>
              <w:t>Affected.</w:t>
            </w:r>
            <w:r>
              <w:rPr>
                <w:b w:val="0"/>
                <w:i w:val="0"/>
                <w:sz w:val="17"/>
              </w:rPr>
              <w:t xml:space="preserve"> Linden &amp; Pruitt contact; see VIII.F</w:t>
            </w:r>
          </w:p>
        </w:tc>
      </w:tr>
      <w:tr>
        <w:tc>
          <w:tcPr>
            <w:tcW w:type="dxa" w:w="432"/>
          </w:tcPr>
          <w:p>
            <w:r>
              <w:rPr>
                <w:sz w:val="17"/>
              </w:rPr>
            </w:r>
            <w:r>
              <w:rPr>
                <w:b w:val="0"/>
                <w:i w:val="0"/>
                <w:sz w:val="17"/>
              </w:rPr>
              <w:t>5</w:t>
            </w:r>
          </w:p>
        </w:tc>
        <w:tc>
          <w:tcPr>
            <w:tcW w:type="dxa" w:w="2016"/>
          </w:tcPr>
          <w:p>
            <w:r>
              <w:rPr>
                <w:sz w:val="17"/>
              </w:rPr>
            </w:r>
            <w:r>
              <w:rPr>
                <w:b w:val="0"/>
                <w:i w:val="0"/>
                <w:sz w:val="17"/>
              </w:rPr>
              <w:t>Gregory Hsu</w:t>
            </w:r>
          </w:p>
        </w:tc>
        <w:tc>
          <w:tcPr>
            <w:tcW w:type="dxa" w:w="3168"/>
          </w:tcPr>
          <w:p>
            <w:r>
              <w:rPr>
                <w:sz w:val="17"/>
              </w:rPr>
            </w:r>
            <w:r>
              <w:rPr>
                <w:b w:val="0"/>
                <w:i w:val="0"/>
                <w:sz w:val="17"/>
              </w:rPr>
              <w:t>VP Commercial Operations</w:t>
            </w:r>
          </w:p>
        </w:tc>
        <w:tc>
          <w:tcPr>
            <w:tcW w:type="dxa" w:w="1296"/>
          </w:tcPr>
          <w:p>
            <w:r>
              <w:rPr>
                <w:sz w:val="17"/>
              </w:rPr>
            </w:r>
            <w:r>
              <w:rPr>
                <w:b w:val="0"/>
                <w:i w:val="0"/>
                <w:sz w:val="17"/>
              </w:rPr>
              <w:t>Exec (¶13)</w:t>
            </w:r>
          </w:p>
        </w:tc>
        <w:tc>
          <w:tcPr>
            <w:tcW w:type="dxa" w:w="2736"/>
          </w:tcPr>
          <w:p>
            <w:r>
              <w:rPr>
                <w:sz w:val="17"/>
              </w:rPr>
            </w:r>
            <w:r>
              <w:rPr>
                <w:b w:val="0"/>
                <w:i w:val="0"/>
                <w:sz w:val="17"/>
              </w:rPr>
            </w:r>
            <w:r>
              <w:rPr>
                <w:b/>
                <w:i w:val="0"/>
                <w:sz w:val="17"/>
              </w:rPr>
              <w:t>Affected</w:t>
            </w:r>
            <w:r>
              <w:rPr>
                <w:b w:val="0"/>
                <w:i w:val="0"/>
                <w:sz w:val="17"/>
              </w:rPr>
            </w:r>
          </w:p>
        </w:tc>
      </w:tr>
      <w:tr>
        <w:tc>
          <w:tcPr>
            <w:tcW w:type="dxa" w:w="432"/>
          </w:tcPr>
          <w:p>
            <w:r>
              <w:rPr>
                <w:sz w:val="17"/>
              </w:rPr>
            </w:r>
            <w:r>
              <w:rPr>
                <w:b w:val="0"/>
                <w:i w:val="0"/>
                <w:sz w:val="17"/>
              </w:rPr>
              <w:t>6</w:t>
            </w:r>
          </w:p>
        </w:tc>
        <w:tc>
          <w:tcPr>
            <w:tcW w:type="dxa" w:w="2016"/>
          </w:tcPr>
          <w:p>
            <w:r>
              <w:rPr>
                <w:sz w:val="17"/>
              </w:rPr>
            </w:r>
            <w:r>
              <w:rPr>
                <w:b w:val="0"/>
                <w:i w:val="0"/>
                <w:sz w:val="17"/>
              </w:rPr>
              <w:t>Amanda Terrell</w:t>
            </w:r>
          </w:p>
        </w:tc>
        <w:tc>
          <w:tcPr>
            <w:tcW w:type="dxa" w:w="3168"/>
          </w:tcPr>
          <w:p>
            <w:r>
              <w:rPr>
                <w:sz w:val="17"/>
              </w:rPr>
            </w:r>
            <w:r>
              <w:rPr>
                <w:b w:val="0"/>
                <w:i w:val="0"/>
                <w:sz w:val="17"/>
              </w:rPr>
              <w:t>Sr. Dir., Speaker Programs</w:t>
            </w:r>
          </w:p>
        </w:tc>
        <w:tc>
          <w:tcPr>
            <w:tcW w:type="dxa" w:w="1296"/>
          </w:tcPr>
          <w:p>
            <w:r>
              <w:rPr>
                <w:sz w:val="17"/>
              </w:rPr>
            </w:r>
            <w:r>
              <w:rPr>
                <w:b w:val="0"/>
                <w:i w:val="0"/>
                <w:sz w:val="17"/>
              </w:rPr>
              <w:t>Exec (¶13)</w:t>
            </w:r>
          </w:p>
        </w:tc>
        <w:tc>
          <w:tcPr>
            <w:tcW w:type="dxa" w:w="2736"/>
          </w:tcPr>
          <w:p>
            <w:r>
              <w:rPr>
                <w:sz w:val="17"/>
              </w:rPr>
            </w:r>
            <w:r>
              <w:rPr>
                <w:b w:val="0"/>
                <w:i w:val="0"/>
                <w:sz w:val="17"/>
              </w:rPr>
            </w:r>
            <w:r>
              <w:rPr>
                <w:b/>
                <w:i w:val="0"/>
                <w:sz w:val="17"/>
              </w:rPr>
              <w:t>Affected</w:t>
            </w:r>
            <w:r>
              <w:rPr>
                <w:b w:val="0"/>
                <w:i w:val="0"/>
                <w:sz w:val="17"/>
              </w:rPr>
            </w:r>
          </w:p>
        </w:tc>
      </w:tr>
      <w:tr>
        <w:tc>
          <w:tcPr>
            <w:tcW w:type="dxa" w:w="432"/>
          </w:tcPr>
          <w:p>
            <w:r>
              <w:rPr>
                <w:sz w:val="17"/>
              </w:rPr>
            </w:r>
            <w:r>
              <w:rPr>
                <w:b w:val="0"/>
                <w:i w:val="0"/>
                <w:sz w:val="17"/>
              </w:rPr>
              <w:t>7</w:t>
            </w:r>
          </w:p>
        </w:tc>
        <w:tc>
          <w:tcPr>
            <w:tcW w:type="dxa" w:w="2016"/>
          </w:tcPr>
          <w:p>
            <w:r>
              <w:rPr>
                <w:sz w:val="17"/>
              </w:rPr>
            </w:r>
            <w:r>
              <w:rPr>
                <w:b w:val="0"/>
                <w:i w:val="0"/>
                <w:sz w:val="17"/>
              </w:rPr>
              <w:t>Richard Blaine</w:t>
            </w:r>
          </w:p>
        </w:tc>
        <w:tc>
          <w:tcPr>
            <w:tcW w:type="dxa" w:w="3168"/>
          </w:tcPr>
          <w:p>
            <w:r>
              <w:rPr>
                <w:sz w:val="17"/>
              </w:rPr>
            </w:r>
            <w:r>
              <w:rPr>
                <w:b w:val="0"/>
                <w:i w:val="0"/>
                <w:sz w:val="17"/>
              </w:rPr>
              <w:t>Dir., Patient Assistance Programs</w:t>
            </w:r>
          </w:p>
        </w:tc>
        <w:tc>
          <w:tcPr>
            <w:tcW w:type="dxa" w:w="1296"/>
          </w:tcPr>
          <w:p>
            <w:r>
              <w:rPr>
                <w:sz w:val="17"/>
              </w:rPr>
            </w:r>
            <w:r>
              <w:rPr>
                <w:b w:val="0"/>
                <w:i w:val="0"/>
                <w:sz w:val="17"/>
              </w:rPr>
              <w:t>Exec (¶13)</w:t>
            </w:r>
          </w:p>
        </w:tc>
        <w:tc>
          <w:tcPr>
            <w:tcW w:type="dxa" w:w="2736"/>
          </w:tcPr>
          <w:p>
            <w:r>
              <w:rPr>
                <w:sz w:val="17"/>
              </w:rPr>
            </w:r>
            <w:r>
              <w:rPr>
                <w:b w:val="0"/>
                <w:i w:val="0"/>
                <w:sz w:val="17"/>
              </w:rPr>
            </w:r>
            <w:r>
              <w:rPr>
                <w:b/>
                <w:i w:val="0"/>
                <w:sz w:val="17"/>
              </w:rPr>
              <w:t>Affected.</w:t>
            </w:r>
            <w:r>
              <w:rPr>
                <w:b w:val="0"/>
                <w:i w:val="0"/>
                <w:sz w:val="17"/>
              </w:rPr>
              <w:t xml:space="preserve"> RPAF liaison</w:t>
            </w:r>
          </w:p>
        </w:tc>
      </w:tr>
      <w:tr>
        <w:tc>
          <w:tcPr>
            <w:tcW w:type="dxa" w:w="432"/>
          </w:tcPr>
          <w:p>
            <w:r>
              <w:rPr>
                <w:sz w:val="17"/>
              </w:rPr>
            </w:r>
            <w:r>
              <w:rPr>
                <w:b w:val="0"/>
                <w:i w:val="0"/>
                <w:sz w:val="17"/>
              </w:rPr>
              <w:t>8</w:t>
            </w:r>
          </w:p>
        </w:tc>
        <w:tc>
          <w:tcPr>
            <w:tcW w:type="dxa" w:w="2016"/>
          </w:tcPr>
          <w:p>
            <w:r>
              <w:rPr>
                <w:sz w:val="17"/>
              </w:rPr>
            </w:r>
            <w:r>
              <w:rPr>
                <w:b w:val="0"/>
                <w:i w:val="0"/>
                <w:sz w:val="17"/>
              </w:rPr>
              <w:t>Dr. Katerina Novak</w:t>
            </w:r>
          </w:p>
        </w:tc>
        <w:tc>
          <w:tcPr>
            <w:tcW w:type="dxa" w:w="3168"/>
          </w:tcPr>
          <w:p>
            <w:r>
              <w:rPr>
                <w:sz w:val="17"/>
              </w:rPr>
            </w:r>
            <w:r>
              <w:rPr>
                <w:b w:val="0"/>
                <w:i w:val="0"/>
                <w:sz w:val="17"/>
              </w:rPr>
              <w:t>MSL, Southeast (Atlanta)</w:t>
            </w:r>
          </w:p>
        </w:tc>
        <w:tc>
          <w:tcPr>
            <w:tcW w:type="dxa" w:w="1296"/>
          </w:tcPr>
          <w:p>
            <w:r>
              <w:rPr>
                <w:sz w:val="17"/>
              </w:rPr>
            </w:r>
            <w:r>
              <w:rPr>
                <w:b w:val="0"/>
                <w:i w:val="0"/>
                <w:sz w:val="17"/>
              </w:rPr>
              <w:t>Exec (¶13)</w:t>
            </w:r>
          </w:p>
        </w:tc>
        <w:tc>
          <w:tcPr>
            <w:tcW w:type="dxa" w:w="2736"/>
          </w:tcPr>
          <w:p>
            <w:r>
              <w:rPr>
                <w:sz w:val="17"/>
              </w:rPr>
            </w:r>
            <w:r>
              <w:rPr>
                <w:b w:val="0"/>
                <w:i w:val="0"/>
                <w:sz w:val="17"/>
              </w:rPr>
            </w:r>
            <w:r>
              <w:rPr>
                <w:b/>
                <w:i w:val="0"/>
                <w:sz w:val="17"/>
              </w:rPr>
              <w:t>Affected</w:t>
            </w:r>
            <w:r>
              <w:rPr>
                <w:b w:val="0"/>
                <w:i w:val="0"/>
                <w:sz w:val="17"/>
              </w:rPr>
            </w:r>
          </w:p>
        </w:tc>
      </w:tr>
      <w:tr>
        <w:tc>
          <w:tcPr>
            <w:tcW w:type="dxa" w:w="432"/>
          </w:tcPr>
          <w:p>
            <w:r>
              <w:rPr>
                <w:sz w:val="17"/>
              </w:rPr>
            </w:r>
            <w:r>
              <w:rPr>
                <w:b w:val="0"/>
                <w:i w:val="0"/>
                <w:sz w:val="17"/>
              </w:rPr>
              <w:t>9</w:t>
            </w:r>
          </w:p>
        </w:tc>
        <w:tc>
          <w:tcPr>
            <w:tcW w:type="dxa" w:w="2016"/>
          </w:tcPr>
          <w:p>
            <w:r>
              <w:rPr>
                <w:sz w:val="17"/>
              </w:rPr>
            </w:r>
            <w:r>
              <w:rPr>
                <w:b w:val="0"/>
                <w:i w:val="0"/>
                <w:sz w:val="17"/>
              </w:rPr>
              <w:t>Luis Delgado</w:t>
            </w:r>
          </w:p>
        </w:tc>
        <w:tc>
          <w:tcPr>
            <w:tcW w:type="dxa" w:w="3168"/>
          </w:tcPr>
          <w:p>
            <w:r>
              <w:rPr>
                <w:sz w:val="17"/>
              </w:rPr>
            </w:r>
            <w:r>
              <w:rPr>
                <w:b w:val="0"/>
                <w:i w:val="0"/>
                <w:sz w:val="17"/>
              </w:rPr>
              <w:t>National Sales Director</w:t>
            </w:r>
          </w:p>
        </w:tc>
        <w:tc>
          <w:tcPr>
            <w:tcW w:type="dxa" w:w="1296"/>
          </w:tcPr>
          <w:p>
            <w:r>
              <w:rPr>
                <w:sz w:val="17"/>
              </w:rPr>
            </w:r>
            <w:r>
              <w:rPr>
                <w:b w:val="0"/>
                <w:i w:val="0"/>
                <w:sz w:val="17"/>
              </w:rPr>
              <w:t>Exec (¶13)</w:t>
            </w:r>
          </w:p>
        </w:tc>
        <w:tc>
          <w:tcPr>
            <w:tcW w:type="dxa" w:w="2736"/>
          </w:tcPr>
          <w:p>
            <w:r>
              <w:rPr>
                <w:sz w:val="17"/>
              </w:rPr>
            </w:r>
            <w:r>
              <w:rPr>
                <w:b w:val="0"/>
                <w:i w:val="0"/>
                <w:sz w:val="17"/>
              </w:rPr>
            </w:r>
            <w:r>
              <w:rPr>
                <w:b/>
                <w:i w:val="0"/>
                <w:sz w:val="17"/>
              </w:rPr>
              <w:t>Affected.</w:t>
            </w:r>
            <w:r>
              <w:rPr>
                <w:b w:val="0"/>
                <w:i w:val="0"/>
                <w:sz w:val="17"/>
              </w:rPr>
              <w:t xml:space="preserve"> His team's call records destroyed Jan. 15</w:t>
            </w:r>
          </w:p>
        </w:tc>
      </w:tr>
      <w:tr>
        <w:tc>
          <w:tcPr>
            <w:tcW w:type="dxa" w:w="432"/>
          </w:tcPr>
          <w:p>
            <w:r>
              <w:rPr>
                <w:sz w:val="17"/>
              </w:rPr>
            </w:r>
            <w:r>
              <w:rPr>
                <w:b w:val="0"/>
                <w:i w:val="0"/>
                <w:sz w:val="17"/>
              </w:rPr>
              <w:t>10</w:t>
            </w:r>
          </w:p>
        </w:tc>
        <w:tc>
          <w:tcPr>
            <w:tcW w:type="dxa" w:w="2016"/>
          </w:tcPr>
          <w:p>
            <w:r>
              <w:rPr>
                <w:sz w:val="17"/>
              </w:rPr>
            </w:r>
            <w:r>
              <w:rPr>
                <w:b w:val="0"/>
                <w:i w:val="0"/>
                <w:sz w:val="17"/>
              </w:rPr>
              <w:t>Tonya M. Bradshaw</w:t>
            </w:r>
          </w:p>
        </w:tc>
        <w:tc>
          <w:tcPr>
            <w:tcW w:type="dxa" w:w="3168"/>
          </w:tcPr>
          <w:p>
            <w:r>
              <w:rPr>
                <w:sz w:val="17"/>
              </w:rPr>
            </w:r>
            <w:r>
              <w:rPr>
                <w:b w:val="0"/>
                <w:i w:val="0"/>
                <w:sz w:val="17"/>
              </w:rPr>
              <w:t>RSM Mid-Atlantic (Durham); start 3/12/2017</w:t>
            </w:r>
          </w:p>
        </w:tc>
        <w:tc>
          <w:tcPr>
            <w:tcW w:type="dxa" w:w="1296"/>
          </w:tcPr>
          <w:p>
            <w:r>
              <w:rPr>
                <w:sz w:val="17"/>
              </w:rPr>
            </w:r>
            <w:r>
              <w:rPr>
                <w:b w:val="0"/>
                <w:i w:val="0"/>
                <w:sz w:val="17"/>
              </w:rPr>
              <w:t>Exh. C</w:t>
            </w:r>
          </w:p>
        </w:tc>
        <w:tc>
          <w:tcPr>
            <w:tcW w:type="dxa" w:w="2736"/>
          </w:tcPr>
          <w:p>
            <w:r>
              <w:rPr>
                <w:sz w:val="17"/>
              </w:rPr>
            </w:r>
            <w:r>
              <w:rPr>
                <w:b w:val="0"/>
                <w:i w:val="0"/>
                <w:sz w:val="17"/>
              </w:rPr>
              <w:t>Not listed. IT Memo instead names "Jennifer Calloway, RSM Mid-Atlantic"</w:t>
            </w:r>
          </w:p>
        </w:tc>
      </w:tr>
      <w:tr>
        <w:tc>
          <w:tcPr>
            <w:tcW w:type="dxa" w:w="432"/>
          </w:tcPr>
          <w:p>
            <w:r>
              <w:rPr>
                <w:sz w:val="17"/>
              </w:rPr>
            </w:r>
            <w:r>
              <w:rPr>
                <w:b w:val="0"/>
                <w:i w:val="0"/>
                <w:sz w:val="17"/>
              </w:rPr>
              <w:t>11</w:t>
            </w:r>
          </w:p>
        </w:tc>
        <w:tc>
          <w:tcPr>
            <w:tcW w:type="dxa" w:w="2016"/>
          </w:tcPr>
          <w:p>
            <w:r>
              <w:rPr>
                <w:sz w:val="17"/>
              </w:rPr>
            </w:r>
            <w:r>
              <w:rPr>
                <w:b w:val="0"/>
                <w:i w:val="0"/>
                <w:sz w:val="17"/>
              </w:rPr>
              <w:t>Kevin J. Fontaine</w:t>
            </w:r>
          </w:p>
        </w:tc>
        <w:tc>
          <w:tcPr>
            <w:tcW w:type="dxa" w:w="3168"/>
          </w:tcPr>
          <w:p>
            <w:r>
              <w:rPr>
                <w:sz w:val="17"/>
              </w:rPr>
            </w:r>
            <w:r>
              <w:rPr>
                <w:b w:val="0"/>
                <w:i w:val="0"/>
                <w:sz w:val="17"/>
              </w:rPr>
              <w:t>RSM Southeast (Atlanta); start 6/5/2016</w:t>
            </w:r>
          </w:p>
        </w:tc>
        <w:tc>
          <w:tcPr>
            <w:tcW w:type="dxa" w:w="1296"/>
          </w:tcPr>
          <w:p>
            <w:r>
              <w:rPr>
                <w:sz w:val="17"/>
              </w:rPr>
            </w:r>
            <w:r>
              <w:rPr>
                <w:b w:val="0"/>
                <w:i w:val="0"/>
                <w:sz w:val="17"/>
              </w:rPr>
              <w:t>Exh. C</w:t>
            </w:r>
          </w:p>
        </w:tc>
        <w:tc>
          <w:tcPr>
            <w:tcW w:type="dxa" w:w="2736"/>
          </w:tcPr>
          <w:p>
            <w:r>
              <w:rPr>
                <w:sz w:val="17"/>
              </w:rPr>
            </w:r>
            <w:r>
              <w:rPr>
                <w:b w:val="0"/>
                <w:i w:val="0"/>
                <w:sz w:val="17"/>
              </w:rPr>
              <w:t>Not listed</w:t>
            </w:r>
          </w:p>
        </w:tc>
      </w:tr>
      <w:tr>
        <w:tc>
          <w:tcPr>
            <w:tcW w:type="dxa" w:w="432"/>
          </w:tcPr>
          <w:p>
            <w:r>
              <w:rPr>
                <w:sz w:val="17"/>
              </w:rPr>
            </w:r>
            <w:r>
              <w:rPr>
                <w:b w:val="0"/>
                <w:i w:val="0"/>
                <w:sz w:val="17"/>
              </w:rPr>
              <w:t>12</w:t>
            </w:r>
          </w:p>
        </w:tc>
        <w:tc>
          <w:tcPr>
            <w:tcW w:type="dxa" w:w="2016"/>
          </w:tcPr>
          <w:p>
            <w:r>
              <w:rPr>
                <w:sz w:val="17"/>
              </w:rPr>
            </w:r>
            <w:r>
              <w:rPr>
                <w:b w:val="0"/>
                <w:i w:val="0"/>
                <w:sz w:val="17"/>
              </w:rPr>
              <w:t>Sarah E. Lindgren</w:t>
            </w:r>
          </w:p>
        </w:tc>
        <w:tc>
          <w:tcPr>
            <w:tcW w:type="dxa" w:w="3168"/>
          </w:tcPr>
          <w:p>
            <w:r>
              <w:rPr>
                <w:sz w:val="17"/>
              </w:rPr>
            </w:r>
            <w:r>
              <w:rPr>
                <w:b w:val="0"/>
                <w:i w:val="0"/>
                <w:sz w:val="17"/>
              </w:rPr>
              <w:t>RSM Northeast (Philadelphia); start 1/8/2018</w:t>
            </w:r>
          </w:p>
        </w:tc>
        <w:tc>
          <w:tcPr>
            <w:tcW w:type="dxa" w:w="1296"/>
          </w:tcPr>
          <w:p>
            <w:r>
              <w:rPr>
                <w:sz w:val="17"/>
              </w:rPr>
            </w:r>
            <w:r>
              <w:rPr>
                <w:b w:val="0"/>
                <w:i w:val="0"/>
                <w:sz w:val="17"/>
              </w:rPr>
              <w:t>Exh. C</w:t>
            </w:r>
          </w:p>
        </w:tc>
        <w:tc>
          <w:tcPr>
            <w:tcW w:type="dxa" w:w="2736"/>
          </w:tcPr>
          <w:p>
            <w:r>
              <w:rPr>
                <w:sz w:val="17"/>
              </w:rPr>
            </w:r>
            <w:r>
              <w:rPr>
                <w:b w:val="0"/>
                <w:i w:val="0"/>
                <w:sz w:val="17"/>
              </w:rPr>
              <w:t>Not listed</w:t>
            </w:r>
          </w:p>
        </w:tc>
      </w:tr>
      <w:tr>
        <w:tc>
          <w:tcPr>
            <w:tcW w:type="dxa" w:w="432"/>
          </w:tcPr>
          <w:p>
            <w:r>
              <w:rPr>
                <w:sz w:val="17"/>
              </w:rPr>
            </w:r>
            <w:r>
              <w:rPr>
                <w:b w:val="0"/>
                <w:i w:val="0"/>
                <w:sz w:val="17"/>
              </w:rPr>
              <w:t>13</w:t>
            </w:r>
          </w:p>
        </w:tc>
        <w:tc>
          <w:tcPr>
            <w:tcW w:type="dxa" w:w="2016"/>
          </w:tcPr>
          <w:p>
            <w:r>
              <w:rPr>
                <w:sz w:val="17"/>
              </w:rPr>
            </w:r>
            <w:r>
              <w:rPr>
                <w:b w:val="0"/>
                <w:i w:val="0"/>
                <w:sz w:val="17"/>
              </w:rPr>
              <w:t>David R. Castillo</w:t>
            </w:r>
          </w:p>
        </w:tc>
        <w:tc>
          <w:tcPr>
            <w:tcW w:type="dxa" w:w="3168"/>
          </w:tcPr>
          <w:p>
            <w:r>
              <w:rPr>
                <w:sz w:val="17"/>
              </w:rPr>
            </w:r>
            <w:r>
              <w:rPr>
                <w:b w:val="0"/>
                <w:i w:val="0"/>
                <w:sz w:val="17"/>
              </w:rPr>
              <w:t>RSM Southwest (Dallas); start 9/15/2015</w:t>
            </w:r>
          </w:p>
        </w:tc>
        <w:tc>
          <w:tcPr>
            <w:tcW w:type="dxa" w:w="1296"/>
          </w:tcPr>
          <w:p>
            <w:r>
              <w:rPr>
                <w:sz w:val="17"/>
              </w:rPr>
            </w:r>
            <w:r>
              <w:rPr>
                <w:b w:val="0"/>
                <w:i w:val="0"/>
                <w:sz w:val="17"/>
              </w:rPr>
              <w:t>Exh. C</w:t>
            </w:r>
          </w:p>
        </w:tc>
        <w:tc>
          <w:tcPr>
            <w:tcW w:type="dxa" w:w="2736"/>
          </w:tcPr>
          <w:p>
            <w:r>
              <w:rPr>
                <w:sz w:val="17"/>
              </w:rPr>
            </w:r>
            <w:r>
              <w:rPr>
                <w:b w:val="0"/>
                <w:i w:val="0"/>
                <w:sz w:val="17"/>
              </w:rPr>
              <w:t>Not listed</w:t>
            </w:r>
          </w:p>
        </w:tc>
      </w:tr>
      <w:tr>
        <w:tc>
          <w:tcPr>
            <w:tcW w:type="dxa" w:w="432"/>
          </w:tcPr>
          <w:p>
            <w:r>
              <w:rPr>
                <w:sz w:val="17"/>
              </w:rPr>
            </w:r>
            <w:r>
              <w:rPr>
                <w:b w:val="0"/>
                <w:i w:val="0"/>
                <w:sz w:val="17"/>
              </w:rPr>
              <w:t>14</w:t>
            </w:r>
          </w:p>
        </w:tc>
        <w:tc>
          <w:tcPr>
            <w:tcW w:type="dxa" w:w="2016"/>
          </w:tcPr>
          <w:p>
            <w:r>
              <w:rPr>
                <w:sz w:val="17"/>
              </w:rPr>
            </w:r>
            <w:r>
              <w:rPr>
                <w:b w:val="0"/>
                <w:i w:val="0"/>
                <w:sz w:val="17"/>
              </w:rPr>
              <w:t>Michelle A. Thornton</w:t>
            </w:r>
          </w:p>
        </w:tc>
        <w:tc>
          <w:tcPr>
            <w:tcW w:type="dxa" w:w="3168"/>
          </w:tcPr>
          <w:p>
            <w:r>
              <w:rPr>
                <w:sz w:val="17"/>
              </w:rPr>
            </w:r>
            <w:r>
              <w:rPr>
                <w:b w:val="0"/>
                <w:i w:val="0"/>
                <w:sz w:val="17"/>
              </w:rPr>
              <w:t>RSM Midwest (Chicago); start 11/2/2017</w:t>
            </w:r>
          </w:p>
        </w:tc>
        <w:tc>
          <w:tcPr>
            <w:tcW w:type="dxa" w:w="1296"/>
          </w:tcPr>
          <w:p>
            <w:r>
              <w:rPr>
                <w:sz w:val="17"/>
              </w:rPr>
            </w:r>
            <w:r>
              <w:rPr>
                <w:b w:val="0"/>
                <w:i w:val="0"/>
                <w:sz w:val="17"/>
              </w:rPr>
              <w:t>Exh. C</w:t>
            </w:r>
          </w:p>
        </w:tc>
        <w:tc>
          <w:tcPr>
            <w:tcW w:type="dxa" w:w="2736"/>
          </w:tcPr>
          <w:p>
            <w:r>
              <w:rPr>
                <w:sz w:val="17"/>
              </w:rPr>
            </w:r>
            <w:r>
              <w:rPr>
                <w:b w:val="0"/>
                <w:i w:val="0"/>
                <w:sz w:val="17"/>
              </w:rPr>
              <w:t>Not listed</w:t>
            </w:r>
          </w:p>
        </w:tc>
      </w:tr>
      <w:tr>
        <w:tc>
          <w:tcPr>
            <w:tcW w:type="dxa" w:w="432"/>
          </w:tcPr>
          <w:p>
            <w:r>
              <w:rPr>
                <w:sz w:val="17"/>
              </w:rPr>
            </w:r>
            <w:r>
              <w:rPr>
                <w:b w:val="0"/>
                <w:i w:val="0"/>
                <w:sz w:val="17"/>
              </w:rPr>
              <w:t>15</w:t>
            </w:r>
          </w:p>
        </w:tc>
        <w:tc>
          <w:tcPr>
            <w:tcW w:type="dxa" w:w="2016"/>
          </w:tcPr>
          <w:p>
            <w:r>
              <w:rPr>
                <w:sz w:val="17"/>
              </w:rPr>
            </w:r>
            <w:r>
              <w:rPr>
                <w:b w:val="0"/>
                <w:i w:val="0"/>
                <w:sz w:val="17"/>
              </w:rPr>
              <w:t>James W. Okafor</w:t>
            </w:r>
          </w:p>
        </w:tc>
        <w:tc>
          <w:tcPr>
            <w:tcW w:type="dxa" w:w="3168"/>
          </w:tcPr>
          <w:p>
            <w:r>
              <w:rPr>
                <w:sz w:val="17"/>
              </w:rPr>
            </w:r>
            <w:r>
              <w:rPr>
                <w:b w:val="0"/>
                <w:i w:val="0"/>
                <w:sz w:val="17"/>
              </w:rPr>
              <w:t>RSM Pacific NW (Seattle); start 4/22/2019</w:t>
            </w:r>
          </w:p>
        </w:tc>
        <w:tc>
          <w:tcPr>
            <w:tcW w:type="dxa" w:w="1296"/>
          </w:tcPr>
          <w:p>
            <w:r>
              <w:rPr>
                <w:sz w:val="17"/>
              </w:rPr>
            </w:r>
            <w:r>
              <w:rPr>
                <w:b w:val="0"/>
                <w:i w:val="0"/>
                <w:sz w:val="17"/>
              </w:rPr>
              <w:t>Exh. C</w:t>
            </w:r>
          </w:p>
        </w:tc>
        <w:tc>
          <w:tcPr>
            <w:tcW w:type="dxa" w:w="2736"/>
          </w:tcPr>
          <w:p>
            <w:r>
              <w:rPr>
                <w:sz w:val="17"/>
              </w:rPr>
            </w:r>
            <w:r>
              <w:rPr>
                <w:b w:val="0"/>
                <w:i w:val="0"/>
                <w:sz w:val="17"/>
              </w:rPr>
              <w:t>Not listed. IT Memo instead names "David Yun, RSM West Coast"; no West Coast region exists in Exh. C</w:t>
            </w:r>
          </w:p>
        </w:tc>
      </w:tr>
      <w:tr>
        <w:tc>
          <w:tcPr>
            <w:tcW w:type="dxa" w:w="432"/>
          </w:tcPr>
          <w:p>
            <w:r>
              <w:rPr>
                <w:sz w:val="17"/>
              </w:rPr>
            </w:r>
            <w:r>
              <w:rPr>
                <w:b w:val="0"/>
                <w:i w:val="0"/>
                <w:sz w:val="17"/>
              </w:rPr>
              <w:t>16</w:t>
            </w:r>
          </w:p>
        </w:tc>
        <w:tc>
          <w:tcPr>
            <w:tcW w:type="dxa" w:w="2016"/>
          </w:tcPr>
          <w:p>
            <w:r>
              <w:rPr>
                <w:sz w:val="17"/>
              </w:rPr>
            </w:r>
            <w:r>
              <w:rPr>
                <w:b w:val="0"/>
                <w:i w:val="0"/>
                <w:sz w:val="17"/>
              </w:rPr>
              <w:t>Christine L. Sperling</w:t>
            </w:r>
          </w:p>
        </w:tc>
        <w:tc>
          <w:tcPr>
            <w:tcW w:type="dxa" w:w="3168"/>
          </w:tcPr>
          <w:p>
            <w:r>
              <w:rPr>
                <w:sz w:val="17"/>
              </w:rPr>
            </w:r>
            <w:r>
              <w:rPr>
                <w:b w:val="0"/>
                <w:i w:val="0"/>
                <w:sz w:val="17"/>
              </w:rPr>
              <w:t>RSM Mountain West (Denver); start 8/14/2018</w:t>
            </w:r>
          </w:p>
        </w:tc>
        <w:tc>
          <w:tcPr>
            <w:tcW w:type="dxa" w:w="1296"/>
          </w:tcPr>
          <w:p>
            <w:r>
              <w:rPr>
                <w:sz w:val="17"/>
              </w:rPr>
            </w:r>
            <w:r>
              <w:rPr>
                <w:b w:val="0"/>
                <w:i w:val="0"/>
                <w:sz w:val="17"/>
              </w:rPr>
              <w:t>Exh. C</w:t>
            </w:r>
          </w:p>
        </w:tc>
        <w:tc>
          <w:tcPr>
            <w:tcW w:type="dxa" w:w="2736"/>
          </w:tcPr>
          <w:p>
            <w:r>
              <w:rPr>
                <w:sz w:val="17"/>
              </w:rPr>
            </w:r>
            <w:r>
              <w:rPr>
                <w:b w:val="0"/>
                <w:i w:val="0"/>
                <w:sz w:val="17"/>
              </w:rPr>
              <w:t>Not listed</w:t>
            </w:r>
          </w:p>
        </w:tc>
      </w:tr>
      <w:tr>
        <w:tc>
          <w:tcPr>
            <w:tcW w:type="dxa" w:w="432"/>
          </w:tcPr>
          <w:p>
            <w:r>
              <w:rPr>
                <w:sz w:val="17"/>
              </w:rPr>
            </w:r>
            <w:r>
              <w:rPr>
                <w:b w:val="0"/>
                <w:i w:val="0"/>
                <w:sz w:val="17"/>
              </w:rPr>
              <w:t>17</w:t>
            </w:r>
          </w:p>
        </w:tc>
        <w:tc>
          <w:tcPr>
            <w:tcW w:type="dxa" w:w="2016"/>
          </w:tcPr>
          <w:p>
            <w:r>
              <w:rPr>
                <w:sz w:val="17"/>
              </w:rPr>
            </w:r>
            <w:r>
              <w:rPr>
                <w:b w:val="0"/>
                <w:i w:val="0"/>
                <w:sz w:val="17"/>
              </w:rPr>
              <w:t>[To be identified]</w:t>
            </w:r>
          </w:p>
        </w:tc>
        <w:tc>
          <w:tcPr>
            <w:tcW w:type="dxa" w:w="3168"/>
          </w:tcPr>
          <w:p>
            <w:r>
              <w:rPr>
                <w:sz w:val="17"/>
              </w:rPr>
            </w:r>
            <w:r>
              <w:rPr>
                <w:b w:val="0"/>
                <w:i w:val="0"/>
                <w:sz w:val="17"/>
              </w:rPr>
              <w:t>Director of Pricing Analytics (current incumbent)</w:t>
            </w:r>
          </w:p>
        </w:tc>
        <w:tc>
          <w:tcPr>
            <w:tcW w:type="dxa" w:w="1296"/>
          </w:tcPr>
          <w:p>
            <w:r>
              <w:rPr>
                <w:sz w:val="17"/>
              </w:rPr>
            </w:r>
            <w:r>
              <w:rPr>
                <w:b w:val="0"/>
                <w:i w:val="0"/>
                <w:sz w:val="17"/>
              </w:rPr>
              <w:t>¶16(c)(i)</w:t>
            </w:r>
          </w:p>
        </w:tc>
        <w:tc>
          <w:tcPr>
            <w:tcW w:type="dxa" w:w="2736"/>
          </w:tcPr>
          <w:p>
            <w:r>
              <w:rPr>
                <w:sz w:val="17"/>
              </w:rPr>
            </w:r>
            <w:r>
              <w:rPr>
                <w:b w:val="0"/>
                <w:i w:val="0"/>
                <w:sz w:val="17"/>
              </w:rPr>
              <w:t>Unknown. Identify by name; also identify prior incumbents during the Relevant Period</w:t>
            </w:r>
          </w:p>
        </w:tc>
      </w:tr>
      <w:tr>
        <w:tc>
          <w:tcPr>
            <w:tcW w:type="dxa" w:w="432"/>
          </w:tcPr>
          <w:p>
            <w:r>
              <w:rPr>
                <w:sz w:val="17"/>
              </w:rPr>
            </w:r>
            <w:r>
              <w:rPr>
                <w:b w:val="0"/>
                <w:i w:val="0"/>
                <w:sz w:val="17"/>
              </w:rPr>
              <w:t>18</w:t>
            </w:r>
          </w:p>
        </w:tc>
        <w:tc>
          <w:tcPr>
            <w:tcW w:type="dxa" w:w="2016"/>
          </w:tcPr>
          <w:p>
            <w:r>
              <w:rPr>
                <w:sz w:val="17"/>
              </w:rPr>
            </w:r>
            <w:r>
              <w:rPr>
                <w:b w:val="0"/>
                <w:i w:val="0"/>
                <w:sz w:val="17"/>
              </w:rPr>
              <w:t>[To be identified]</w:t>
            </w:r>
          </w:p>
        </w:tc>
        <w:tc>
          <w:tcPr>
            <w:tcW w:type="dxa" w:w="3168"/>
          </w:tcPr>
          <w:p>
            <w:r>
              <w:rPr>
                <w:sz w:val="17"/>
              </w:rPr>
            </w:r>
            <w:r>
              <w:rPr>
                <w:b w:val="0"/>
                <w:i w:val="0"/>
                <w:sz w:val="17"/>
              </w:rPr>
              <w:t>Assoc. Dir., Government Accounts (current incumbent)</w:t>
            </w:r>
          </w:p>
        </w:tc>
        <w:tc>
          <w:tcPr>
            <w:tcW w:type="dxa" w:w="1296"/>
          </w:tcPr>
          <w:p>
            <w:r>
              <w:rPr>
                <w:sz w:val="17"/>
              </w:rPr>
            </w:r>
            <w:r>
              <w:rPr>
                <w:b w:val="0"/>
                <w:i w:val="0"/>
                <w:sz w:val="17"/>
              </w:rPr>
              <w:t>¶16(c)(ii)</w:t>
            </w:r>
          </w:p>
        </w:tc>
        <w:tc>
          <w:tcPr>
            <w:tcW w:type="dxa" w:w="2736"/>
          </w:tcPr>
          <w:p>
            <w:r>
              <w:rPr>
                <w:sz w:val="17"/>
              </w:rPr>
            </w:r>
            <w:r>
              <w:rPr>
                <w:b w:val="0"/>
                <w:i w:val="0"/>
                <w:sz w:val="17"/>
              </w:rPr>
              <w:t>Unknown. Same as above</w:t>
            </w:r>
          </w:p>
        </w:tc>
      </w:tr>
      <w:tr>
        <w:tc>
          <w:tcPr>
            <w:tcW w:type="dxa" w:w="432"/>
          </w:tcPr>
          <w:p>
            <w:r>
              <w:rPr>
                <w:sz w:val="17"/>
              </w:rPr>
            </w:r>
            <w:r>
              <w:rPr>
                <w:b w:val="0"/>
                <w:i w:val="0"/>
                <w:sz w:val="17"/>
              </w:rPr>
              <w:t>19</w:t>
            </w:r>
          </w:p>
        </w:tc>
        <w:tc>
          <w:tcPr>
            <w:tcW w:type="dxa" w:w="2016"/>
          </w:tcPr>
          <w:p>
            <w:r>
              <w:rPr>
                <w:sz w:val="17"/>
              </w:rPr>
            </w:r>
            <w:r>
              <w:rPr>
                <w:b w:val="0"/>
                <w:i w:val="0"/>
                <w:sz w:val="17"/>
              </w:rPr>
              <w:t>Dr. Raymond T. Whitford</w:t>
            </w:r>
          </w:p>
        </w:tc>
        <w:tc>
          <w:tcPr>
            <w:tcW w:type="dxa" w:w="3168"/>
          </w:tcPr>
          <w:p>
            <w:r>
              <w:rPr>
                <w:sz w:val="17"/>
              </w:rPr>
            </w:r>
            <w:r>
              <w:rPr>
                <w:b w:val="0"/>
                <w:i w:val="0"/>
                <w:sz w:val="17"/>
              </w:rPr>
              <w:t>Oncology, Calder Medical Center, Charlotte; $2.3M / 412 events</w:t>
            </w:r>
          </w:p>
        </w:tc>
        <w:tc>
          <w:tcPr>
            <w:tcW w:type="dxa" w:w="1296"/>
          </w:tcPr>
          <w:p>
            <w:r>
              <w:rPr>
                <w:sz w:val="17"/>
              </w:rPr>
            </w:r>
            <w:r>
              <w:rPr>
                <w:b w:val="0"/>
                <w:i w:val="0"/>
                <w:sz w:val="17"/>
              </w:rPr>
              <w:t>Exh. D (external)</w:t>
            </w:r>
          </w:p>
        </w:tc>
        <w:tc>
          <w:tcPr>
            <w:tcW w:type="dxa" w:w="2736"/>
          </w:tcPr>
          <w:p>
            <w:r>
              <w:rPr>
                <w:sz w:val="17"/>
              </w:rPr>
            </w:r>
            <w:r>
              <w:rPr>
                <w:b w:val="0"/>
                <w:i w:val="0"/>
                <w:sz w:val="17"/>
              </w:rPr>
              <w:t>N/A. Ridgeline-side communications only</w:t>
            </w:r>
          </w:p>
        </w:tc>
      </w:tr>
      <w:tr>
        <w:tc>
          <w:tcPr>
            <w:tcW w:type="dxa" w:w="432"/>
          </w:tcPr>
          <w:p>
            <w:r>
              <w:rPr>
                <w:sz w:val="17"/>
              </w:rPr>
            </w:r>
            <w:r>
              <w:rPr>
                <w:b w:val="0"/>
                <w:i w:val="0"/>
                <w:sz w:val="17"/>
              </w:rPr>
              <w:t>20</w:t>
            </w:r>
          </w:p>
        </w:tc>
        <w:tc>
          <w:tcPr>
            <w:tcW w:type="dxa" w:w="2016"/>
          </w:tcPr>
          <w:p>
            <w:r>
              <w:rPr>
                <w:sz w:val="17"/>
              </w:rPr>
            </w:r>
            <w:r>
              <w:rPr>
                <w:b w:val="0"/>
                <w:i w:val="0"/>
                <w:sz w:val="17"/>
              </w:rPr>
              <w:t>Dr. Ingrid M. Svensson</w:t>
            </w:r>
          </w:p>
        </w:tc>
        <w:tc>
          <w:tcPr>
            <w:tcW w:type="dxa" w:w="3168"/>
          </w:tcPr>
          <w:p>
            <w:r>
              <w:rPr>
                <w:sz w:val="17"/>
              </w:rPr>
            </w:r>
            <w:r>
              <w:rPr>
                <w:b w:val="0"/>
                <w:i w:val="0"/>
                <w:sz w:val="17"/>
              </w:rPr>
              <w:t>Heme/Onc, Pinnacle Health, Atlanta; $1.9M / 347</w:t>
            </w:r>
          </w:p>
        </w:tc>
        <w:tc>
          <w:tcPr>
            <w:tcW w:type="dxa" w:w="1296"/>
          </w:tcPr>
          <w:p>
            <w:r>
              <w:rPr>
                <w:sz w:val="17"/>
              </w:rPr>
            </w:r>
            <w:r>
              <w:rPr>
                <w:b w:val="0"/>
                <w:i w:val="0"/>
                <w:sz w:val="17"/>
              </w:rPr>
              <w:t>Exh. D (external)</w:t>
            </w:r>
          </w:p>
        </w:tc>
        <w:tc>
          <w:tcPr>
            <w:tcW w:type="dxa" w:w="2736"/>
          </w:tcPr>
          <w:p>
            <w:r>
              <w:rPr>
                <w:sz w:val="17"/>
              </w:rPr>
            </w:r>
            <w:r>
              <w:rPr>
                <w:b w:val="0"/>
                <w:i w:val="0"/>
                <w:sz w:val="17"/>
              </w:rPr>
              <w:t>N/A</w:t>
            </w:r>
          </w:p>
        </w:tc>
      </w:tr>
      <w:tr>
        <w:tc>
          <w:tcPr>
            <w:tcW w:type="dxa" w:w="432"/>
          </w:tcPr>
          <w:p>
            <w:r>
              <w:rPr>
                <w:sz w:val="17"/>
              </w:rPr>
            </w:r>
            <w:r>
              <w:rPr>
                <w:b w:val="0"/>
                <w:i w:val="0"/>
                <w:sz w:val="17"/>
              </w:rPr>
              <w:t>21</w:t>
            </w:r>
          </w:p>
        </w:tc>
        <w:tc>
          <w:tcPr>
            <w:tcW w:type="dxa" w:w="2016"/>
          </w:tcPr>
          <w:p>
            <w:r>
              <w:rPr>
                <w:sz w:val="17"/>
              </w:rPr>
            </w:r>
            <w:r>
              <w:rPr>
                <w:b w:val="0"/>
                <w:i w:val="0"/>
                <w:sz w:val="17"/>
              </w:rPr>
              <w:t>Dr. Oscar L. Famuyide</w:t>
            </w:r>
          </w:p>
        </w:tc>
        <w:tc>
          <w:tcPr>
            <w:tcW w:type="dxa" w:w="3168"/>
          </w:tcPr>
          <w:p>
            <w:r>
              <w:rPr>
                <w:sz w:val="17"/>
              </w:rPr>
            </w:r>
            <w:r>
              <w:rPr>
                <w:b w:val="0"/>
                <w:i w:val="0"/>
                <w:sz w:val="17"/>
              </w:rPr>
              <w:t>Med Onc, Lakeridge Univ. Hosp., Raleigh; $1.6M / 289</w:t>
            </w:r>
          </w:p>
        </w:tc>
        <w:tc>
          <w:tcPr>
            <w:tcW w:type="dxa" w:w="1296"/>
          </w:tcPr>
          <w:p>
            <w:r>
              <w:rPr>
                <w:sz w:val="17"/>
              </w:rPr>
            </w:r>
            <w:r>
              <w:rPr>
                <w:b w:val="0"/>
                <w:i w:val="0"/>
                <w:sz w:val="17"/>
              </w:rPr>
              <w:t>Exh. D (external)</w:t>
            </w:r>
          </w:p>
        </w:tc>
        <w:tc>
          <w:tcPr>
            <w:tcW w:type="dxa" w:w="2736"/>
          </w:tcPr>
          <w:p>
            <w:r>
              <w:rPr>
                <w:sz w:val="17"/>
              </w:rPr>
            </w:r>
            <w:r>
              <w:rPr>
                <w:b w:val="0"/>
                <w:i w:val="0"/>
                <w:sz w:val="17"/>
              </w:rPr>
              <w:t>N/A</w:t>
            </w:r>
          </w:p>
        </w:tc>
      </w:tr>
      <w:tr>
        <w:tc>
          <w:tcPr>
            <w:tcW w:type="dxa" w:w="432"/>
          </w:tcPr>
          <w:p>
            <w:r>
              <w:rPr>
                <w:sz w:val="17"/>
              </w:rPr>
            </w:r>
            <w:r>
              <w:rPr>
                <w:b w:val="0"/>
                <w:i w:val="0"/>
                <w:sz w:val="17"/>
              </w:rPr>
              <w:t>22</w:t>
            </w:r>
          </w:p>
        </w:tc>
        <w:tc>
          <w:tcPr>
            <w:tcW w:type="dxa" w:w="2016"/>
          </w:tcPr>
          <w:p>
            <w:r>
              <w:rPr>
                <w:sz w:val="17"/>
              </w:rPr>
            </w:r>
            <w:r>
              <w:rPr>
                <w:b w:val="0"/>
                <w:i w:val="0"/>
                <w:sz w:val="17"/>
              </w:rPr>
              <w:t>Dr. Hannah J. Prescott</w:t>
            </w:r>
          </w:p>
        </w:tc>
        <w:tc>
          <w:tcPr>
            <w:tcW w:type="dxa" w:w="3168"/>
          </w:tcPr>
          <w:p>
            <w:r>
              <w:rPr>
                <w:sz w:val="17"/>
              </w:rPr>
            </w:r>
            <w:r>
              <w:rPr>
                <w:b w:val="0"/>
                <w:i w:val="0"/>
                <w:sz w:val="17"/>
              </w:rPr>
              <w:t>Onc Pharmacy, Briarwood Cancer Inst., Nashville; $1.4M / 254</w:t>
            </w:r>
          </w:p>
        </w:tc>
        <w:tc>
          <w:tcPr>
            <w:tcW w:type="dxa" w:w="1296"/>
          </w:tcPr>
          <w:p>
            <w:r>
              <w:rPr>
                <w:sz w:val="17"/>
              </w:rPr>
            </w:r>
            <w:r>
              <w:rPr>
                <w:b w:val="0"/>
                <w:i w:val="0"/>
                <w:sz w:val="17"/>
              </w:rPr>
              <w:t>Exh. D (external)</w:t>
            </w:r>
          </w:p>
        </w:tc>
        <w:tc>
          <w:tcPr>
            <w:tcW w:type="dxa" w:w="2736"/>
          </w:tcPr>
          <w:p>
            <w:r>
              <w:rPr>
                <w:sz w:val="17"/>
              </w:rPr>
            </w:r>
            <w:r>
              <w:rPr>
                <w:b w:val="0"/>
                <w:i w:val="0"/>
                <w:sz w:val="17"/>
              </w:rPr>
              <w:t>N/A</w:t>
            </w:r>
          </w:p>
        </w:tc>
      </w:tr>
      <w:tr>
        <w:tc>
          <w:tcPr>
            <w:tcW w:type="dxa" w:w="432"/>
          </w:tcPr>
          <w:p>
            <w:r>
              <w:rPr>
                <w:sz w:val="17"/>
              </w:rPr>
            </w:r>
            <w:r>
              <w:rPr>
                <w:b w:val="0"/>
                <w:i w:val="0"/>
                <w:sz w:val="17"/>
              </w:rPr>
              <w:t>23</w:t>
            </w:r>
          </w:p>
        </w:tc>
        <w:tc>
          <w:tcPr>
            <w:tcW w:type="dxa" w:w="2016"/>
          </w:tcPr>
          <w:p>
            <w:r>
              <w:rPr>
                <w:sz w:val="17"/>
              </w:rPr>
            </w:r>
            <w:r>
              <w:rPr>
                <w:b w:val="0"/>
                <w:i w:val="0"/>
                <w:sz w:val="17"/>
              </w:rPr>
              <w:t>Dr. Samuel K. Anand</w:t>
            </w:r>
          </w:p>
        </w:tc>
        <w:tc>
          <w:tcPr>
            <w:tcW w:type="dxa" w:w="3168"/>
          </w:tcPr>
          <w:p>
            <w:r>
              <w:rPr>
                <w:sz w:val="17"/>
              </w:rPr>
            </w:r>
            <w:r>
              <w:rPr>
                <w:b w:val="0"/>
                <w:i w:val="0"/>
                <w:sz w:val="17"/>
              </w:rPr>
              <w:t>Pulm Onc, Meridian Valley MC, Richmond; $1.2M / 218</w:t>
            </w:r>
          </w:p>
        </w:tc>
        <w:tc>
          <w:tcPr>
            <w:tcW w:type="dxa" w:w="1296"/>
          </w:tcPr>
          <w:p>
            <w:r>
              <w:rPr>
                <w:sz w:val="17"/>
              </w:rPr>
            </w:r>
            <w:r>
              <w:rPr>
                <w:b w:val="0"/>
                <w:i w:val="0"/>
                <w:sz w:val="17"/>
              </w:rPr>
              <w:t>Exh. D (external)</w:t>
            </w:r>
          </w:p>
        </w:tc>
        <w:tc>
          <w:tcPr>
            <w:tcW w:type="dxa" w:w="2736"/>
          </w:tcPr>
          <w:p>
            <w:r>
              <w:rPr>
                <w:sz w:val="17"/>
              </w:rPr>
            </w:r>
            <w:r>
              <w:rPr>
                <w:b w:val="0"/>
                <w:i w:val="0"/>
                <w:sz w:val="17"/>
              </w:rPr>
              <w:t>N/A</w:t>
            </w:r>
          </w:p>
        </w:tc>
      </w:tr>
    </w:tbl>
    <w:p/>
    <w:p>
      <w:r>
        <w:rPr>
          <w:b w:val="0"/>
          <w:i w:val="0"/>
        </w:rPr>
      </w:r>
      <w:r>
        <w:rPr>
          <w:b/>
          <w:i w:val="0"/>
        </w:rPr>
        <w:t>Other people to add to the hold list (not named in the Notice, but in scope).</w:t>
      </w:r>
      <w:r>
        <w:rPr>
          <w:b w:val="0"/>
          <w:i w:val="0"/>
        </w:rPr>
        <w:t xml:space="preserve"> These should get Ridgeline hold notices; DOJ may supplement the list under ¶18.</w:t>
      </w:r>
    </w:p>
    <w:p>
      <w:pPr>
        <w:pStyle w:val="ListBullet"/>
      </w:pPr>
      <w:r>
        <w:rPr>
          <w:b w:val="0"/>
          <w:i w:val="0"/>
        </w:rPr>
        <w:t>Jennifer Calloway and David Yun, named in the IT Memo. They may be former or re-titled RSMs whose data sits on the legacy servers.</w:t>
      </w:r>
    </w:p>
    <w:p>
      <w:pPr>
        <w:pStyle w:val="ListBullet"/>
      </w:pPr>
      <w:r>
        <w:rPr>
          <w:b w:val="0"/>
          <w:i w:val="0"/>
        </w:rPr>
        <w:t>Employees with the most frequent contact with each Exhibit D HCP. ¶24 requires preservation instructions to these people. Identify them from Veeva/Salesforce call data, Concur and email metadata.</w:t>
      </w:r>
    </w:p>
    <w:p>
      <w:pPr>
        <w:pStyle w:val="ListBullet"/>
      </w:pPr>
      <w:r>
        <w:rPr>
          <w:b w:val="0"/>
          <w:i w:val="0"/>
        </w:rPr>
        <w:t>The three RPAF directors who are Ridgeline officers or designees (Org Chart §4).</w:t>
      </w:r>
    </w:p>
    <w:p>
      <w:pPr>
        <w:pStyle w:val="ListBullet"/>
      </w:pPr>
      <w:r>
        <w:rPr>
          <w:b w:val="0"/>
          <w:i w:val="0"/>
        </w:rPr>
        <w:t>Dennis Wardlow and Brian Kepler (IT); Patricia Albright and Kevin Tate (Records Management); the CFO's office (the decision to defer the migration fix); and Ashford project personnel.</w:t>
      </w:r>
    </w:p>
    <w:p>
      <w:pPr>
        <w:pStyle w:val="ListBullet"/>
      </w:pPr>
      <w:r>
        <w:rPr>
          <w:b w:val="0"/>
          <w:i w:val="0"/>
        </w:rPr>
        <w:t>Promotional/MLR review committee members, Finance and the Controller (¶47), and Linden &amp; Pruitt engagement contacts.</w:t>
      </w:r>
    </w:p>
    <w:p>
      <w:pPr>
        <w:pStyle w:val="Heading1"/>
      </w:pPr>
      <w:r>
        <w:t>V. Obligation Extraction Matrix</w:t>
      </w:r>
    </w:p>
    <w:p>
      <w:r>
        <w:rPr>
          <w:b w:val="0"/>
          <w:i w:val="0"/>
        </w:rPr>
        <w:t>Each obligation is listed with its source, deadline, recommended owner and current status. "HTM" = Hargrove, Tillett &amp; Mays. "Greenwell" = Greenwell Analytics Group (forensic vendor, engaged by HTM).</w:t>
      </w:r>
    </w:p>
    <w:p>
      <w:pPr>
        <w:pStyle w:val="Heading2"/>
      </w:pPr>
      <w:r>
        <w:t>A. General Preservation and Suspension</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648"/>
            <w:shd w:val="clear" w:color="auto" w:fill="1F3A5F"/>
          </w:tcPr>
          <w:p>
            <w:r/>
            <w:r>
              <w:rPr>
                <w:b/>
                <w:color w:val="FFFFFF"/>
                <w:sz w:val="17"/>
              </w:rPr>
              <w:t>Ref</w:t>
            </w:r>
          </w:p>
        </w:tc>
        <w:tc>
          <w:tcPr>
            <w:tcW w:type="dxa" w:w="3600"/>
            <w:shd w:val="clear" w:color="auto" w:fill="1F3A5F"/>
          </w:tcPr>
          <w:p>
            <w:r/>
            <w:r>
              <w:rPr>
                <w:b/>
                <w:color w:val="FFFFFF"/>
                <w:sz w:val="17"/>
              </w:rPr>
              <w:t>Obligation</w:t>
            </w:r>
          </w:p>
        </w:tc>
        <w:tc>
          <w:tcPr>
            <w:tcW w:type="dxa" w:w="1008"/>
            <w:shd w:val="clear" w:color="auto" w:fill="1F3A5F"/>
          </w:tcPr>
          <w:p>
            <w:r/>
            <w:r>
              <w:rPr>
                <w:b/>
                <w:color w:val="FFFFFF"/>
                <w:sz w:val="17"/>
              </w:rPr>
              <w:t>Source</w:t>
            </w:r>
          </w:p>
        </w:tc>
        <w:tc>
          <w:tcPr>
            <w:tcW w:type="dxa" w:w="1152"/>
            <w:shd w:val="clear" w:color="auto" w:fill="1F3A5F"/>
          </w:tcPr>
          <w:p>
            <w:r/>
            <w:r>
              <w:rPr>
                <w:b/>
                <w:color w:val="FFFFFF"/>
                <w:sz w:val="17"/>
              </w:rPr>
              <w:t>Deadline</w:t>
            </w:r>
          </w:p>
        </w:tc>
        <w:tc>
          <w:tcPr>
            <w:tcW w:type="dxa" w:w="1152"/>
            <w:shd w:val="clear" w:color="auto" w:fill="1F3A5F"/>
          </w:tcPr>
          <w:p>
            <w:r/>
            <w:r>
              <w:rPr>
                <w:b/>
                <w:color w:val="FFFFFF"/>
                <w:sz w:val="17"/>
              </w:rPr>
              <w:t>Owner</w:t>
            </w:r>
          </w:p>
        </w:tc>
        <w:tc>
          <w:tcPr>
            <w:tcW w:type="dxa" w:w="2160"/>
            <w:shd w:val="clear" w:color="auto" w:fill="1F3A5F"/>
          </w:tcPr>
          <w:p>
            <w:r/>
            <w:r>
              <w:rPr>
                <w:b/>
                <w:color w:val="FFFFFF"/>
                <w:sz w:val="17"/>
              </w:rPr>
              <w:t>Status / gap</w:t>
            </w:r>
          </w:p>
        </w:tc>
      </w:tr>
      <w:tr>
        <w:tc>
          <w:tcPr>
            <w:tcW w:type="dxa" w:w="648"/>
          </w:tcPr>
          <w:p>
            <w:r>
              <w:rPr>
                <w:sz w:val="17"/>
              </w:rPr>
            </w:r>
            <w:r>
              <w:rPr>
                <w:b w:val="0"/>
                <w:i w:val="0"/>
                <w:sz w:val="17"/>
              </w:rPr>
              <w:t>A1</w:t>
            </w:r>
          </w:p>
        </w:tc>
        <w:tc>
          <w:tcPr>
            <w:tcW w:type="dxa" w:w="3600"/>
          </w:tcPr>
          <w:p>
            <w:r>
              <w:rPr>
                <w:sz w:val="17"/>
              </w:rPr>
            </w:r>
            <w:r>
              <w:rPr>
                <w:b w:val="0"/>
                <w:i w:val="0"/>
                <w:sz w:val="17"/>
              </w:rPr>
              <w:t>Preserve all Documents, Records, Materials, Communications and ESI that are or may be relevant; the categories are non-exhaustive</w:t>
            </w:r>
          </w:p>
        </w:tc>
        <w:tc>
          <w:tcPr>
            <w:tcW w:type="dxa" w:w="1008"/>
          </w:tcPr>
          <w:p>
            <w:r>
              <w:rPr>
                <w:sz w:val="17"/>
              </w:rPr>
            </w:r>
            <w:r>
              <w:rPr>
                <w:b w:val="0"/>
                <w:i w:val="0"/>
                <w:sz w:val="17"/>
              </w:rPr>
              <w:t>¶¶5, 19, 33</w:t>
            </w:r>
          </w:p>
        </w:tc>
        <w:tc>
          <w:tcPr>
            <w:tcW w:type="dxa" w:w="1152"/>
          </w:tcPr>
          <w:p>
            <w:r>
              <w:rPr>
                <w:sz w:val="17"/>
              </w:rPr>
            </w:r>
            <w:r>
              <w:rPr>
                <w:b w:val="0"/>
                <w:i w:val="0"/>
                <w:sz w:val="17"/>
              </w:rPr>
              <w:t>Immediate / continuing</w:t>
            </w:r>
          </w:p>
        </w:tc>
        <w:tc>
          <w:tcPr>
            <w:tcW w:type="dxa" w:w="1152"/>
          </w:tcPr>
          <w:p>
            <w:r>
              <w:rPr>
                <w:sz w:val="17"/>
              </w:rPr>
            </w:r>
            <w:r>
              <w:rPr>
                <w:b w:val="0"/>
                <w:i w:val="0"/>
                <w:sz w:val="17"/>
              </w:rPr>
              <w:t>GC + HTM</w:t>
            </w:r>
          </w:p>
        </w:tc>
        <w:tc>
          <w:tcPr>
            <w:tcW w:type="dxa" w:w="2160"/>
          </w:tcPr>
          <w:p>
            <w:r>
              <w:rPr>
                <w:sz w:val="17"/>
              </w:rPr>
            </w:r>
            <w:r>
              <w:rPr>
                <w:b w:val="0"/>
                <w:i w:val="0"/>
                <w:sz w:val="17"/>
              </w:rPr>
              <w:t>Hold notice not yet issued</w:t>
            </w:r>
          </w:p>
        </w:tc>
      </w:tr>
      <w:tr>
        <w:tc>
          <w:tcPr>
            <w:tcW w:type="dxa" w:w="648"/>
          </w:tcPr>
          <w:p>
            <w:r>
              <w:rPr>
                <w:sz w:val="17"/>
              </w:rPr>
            </w:r>
            <w:r>
              <w:rPr>
                <w:b w:val="0"/>
                <w:i w:val="0"/>
                <w:sz w:val="17"/>
              </w:rPr>
              <w:t>A2</w:t>
            </w:r>
          </w:p>
        </w:tc>
        <w:tc>
          <w:tcPr>
            <w:tcW w:type="dxa" w:w="3600"/>
          </w:tcPr>
          <w:p>
            <w:r>
              <w:rPr>
                <w:sz w:val="17"/>
              </w:rPr>
            </w:r>
            <w:r>
              <w:rPr>
                <w:b w:val="0"/>
                <w:i w:val="0"/>
                <w:sz w:val="17"/>
              </w:rPr>
              <w:t>The Notice overrides Policy RDG-LGL-007 and any successor policy; suspend all destruction schedules, auto-deletion, tape recycling, email purges and vault clean-up, whether automated or manual, company-wide or departmental</w:t>
            </w:r>
          </w:p>
        </w:tc>
        <w:tc>
          <w:tcPr>
            <w:tcW w:type="dxa" w:w="1008"/>
          </w:tcPr>
          <w:p>
            <w:r>
              <w:rPr>
                <w:sz w:val="17"/>
              </w:rPr>
            </w:r>
            <w:r>
              <w:rPr>
                <w:b w:val="0"/>
                <w:i w:val="0"/>
                <w:sz w:val="17"/>
              </w:rPr>
              <w:t>¶¶5, 33</w:t>
            </w:r>
          </w:p>
        </w:tc>
        <w:tc>
          <w:tcPr>
            <w:tcW w:type="dxa" w:w="1152"/>
          </w:tcPr>
          <w:p>
            <w:r>
              <w:rPr>
                <w:sz w:val="17"/>
              </w:rPr>
            </w:r>
            <w:r>
              <w:rPr>
                <w:b w:val="0"/>
                <w:i w:val="0"/>
                <w:sz w:val="17"/>
              </w:rPr>
              <w:t>Immediate</w:t>
            </w:r>
          </w:p>
        </w:tc>
        <w:tc>
          <w:tcPr>
            <w:tcW w:type="dxa" w:w="1152"/>
          </w:tcPr>
          <w:p>
            <w:r>
              <w:rPr>
                <w:sz w:val="17"/>
              </w:rPr>
            </w:r>
            <w:r>
              <w:rPr>
                <w:b w:val="0"/>
                <w:i w:val="0"/>
                <w:sz w:val="17"/>
              </w:rPr>
              <w:t>GC; IT; Records Mgmt</w:t>
            </w:r>
          </w:p>
        </w:tc>
        <w:tc>
          <w:tcPr>
            <w:tcW w:type="dxa" w:w="2160"/>
            <w:shd w:val="clear" w:color="auto" w:fill="F8D7DA"/>
          </w:tcPr>
          <w:p>
            <w:r>
              <w:rPr>
                <w:sz w:val="17"/>
              </w:rPr>
            </w:r>
            <w:r>
              <w:rPr>
                <w:b w:val="0"/>
                <w:i w:val="0"/>
                <w:sz w:val="17"/>
              </w:rPr>
            </w:r>
            <w:r>
              <w:rPr>
                <w:b/>
                <w:i w:val="0"/>
                <w:sz w:val="17"/>
              </w:rPr>
              <w:t>CRITICAL — Apr. 15 cycle still scheduled.</w:t>
            </w:r>
            <w:r>
              <w:rPr>
                <w:b w:val="0"/>
                <w:i w:val="0"/>
                <w:sz w:val="17"/>
              </w:rPr>
              <w:t xml:space="preserve"> Platform retention settings (M365, Slack, Teams, Veeva, Salesforce, MDM) still active</w:t>
            </w:r>
          </w:p>
        </w:tc>
      </w:tr>
      <w:tr>
        <w:tc>
          <w:tcPr>
            <w:tcW w:type="dxa" w:w="648"/>
          </w:tcPr>
          <w:p>
            <w:r>
              <w:rPr>
                <w:sz w:val="17"/>
              </w:rPr>
            </w:r>
            <w:r>
              <w:rPr>
                <w:b w:val="0"/>
                <w:i w:val="0"/>
                <w:sz w:val="17"/>
              </w:rPr>
              <w:t>A3</w:t>
            </w:r>
          </w:p>
        </w:tc>
        <w:tc>
          <w:tcPr>
            <w:tcW w:type="dxa" w:w="3600"/>
          </w:tcPr>
          <w:p>
            <w:r>
              <w:rPr>
                <w:sz w:val="17"/>
              </w:rPr>
            </w:r>
            <w:r>
              <w:rPr>
                <w:b w:val="0"/>
                <w:i w:val="0"/>
                <w:sz w:val="17"/>
              </w:rPr>
              <w:t>No destruction, deletion, shredding, erasure, overwriting or demagnetizing of in-scope material</w:t>
            </w:r>
          </w:p>
        </w:tc>
        <w:tc>
          <w:tcPr>
            <w:tcW w:type="dxa" w:w="1008"/>
          </w:tcPr>
          <w:p>
            <w:r>
              <w:rPr>
                <w:sz w:val="17"/>
              </w:rPr>
            </w:r>
            <w:r>
              <w:rPr>
                <w:b w:val="0"/>
                <w:i w:val="0"/>
                <w:sz w:val="17"/>
              </w:rPr>
              <w:t>¶33</w:t>
            </w:r>
          </w:p>
        </w:tc>
        <w:tc>
          <w:tcPr>
            <w:tcW w:type="dxa" w:w="1152"/>
          </w:tcPr>
          <w:p>
            <w:r>
              <w:rPr>
                <w:sz w:val="17"/>
              </w:rPr>
            </w:r>
            <w:r>
              <w:rPr>
                <w:b w:val="0"/>
                <w:i w:val="0"/>
                <w:sz w:val="17"/>
              </w:rPr>
              <w:t>Continuing</w:t>
            </w:r>
          </w:p>
        </w:tc>
        <w:tc>
          <w:tcPr>
            <w:tcW w:type="dxa" w:w="1152"/>
          </w:tcPr>
          <w:p>
            <w:r>
              <w:rPr>
                <w:sz w:val="17"/>
              </w:rPr>
            </w:r>
            <w:r>
              <w:rPr>
                <w:b w:val="0"/>
                <w:i w:val="0"/>
                <w:sz w:val="17"/>
              </w:rPr>
              <w:t>All</w:t>
            </w:r>
          </w:p>
        </w:tc>
        <w:tc>
          <w:tcPr>
            <w:tcW w:type="dxa" w:w="2160"/>
          </w:tcPr>
          <w:p>
            <w:r>
              <w:rPr>
                <w:sz w:val="17"/>
              </w:rPr>
            </w:r>
            <w:r>
              <w:rPr>
                <w:b w:val="0"/>
                <w:i w:val="0"/>
                <w:sz w:val="17"/>
              </w:rPr>
              <w:t>Notify facilities/shredding vendors; lock shred bins at Durham and Atlanta</w:t>
            </w:r>
          </w:p>
        </w:tc>
      </w:tr>
      <w:tr>
        <w:tc>
          <w:tcPr>
            <w:tcW w:type="dxa" w:w="648"/>
          </w:tcPr>
          <w:p>
            <w:r>
              <w:rPr>
                <w:sz w:val="17"/>
              </w:rPr>
            </w:r>
            <w:r>
              <w:rPr>
                <w:b w:val="0"/>
                <w:i w:val="0"/>
                <w:sz w:val="17"/>
              </w:rPr>
              <w:t>A4</w:t>
            </w:r>
          </w:p>
        </w:tc>
        <w:tc>
          <w:tcPr>
            <w:tcW w:type="dxa" w:w="3600"/>
          </w:tcPr>
          <w:p>
            <w:r>
              <w:rPr>
                <w:sz w:val="17"/>
              </w:rPr>
            </w:r>
            <w:r>
              <w:rPr>
                <w:b w:val="0"/>
                <w:i w:val="0"/>
                <w:sz w:val="17"/>
              </w:rPr>
              <w:t>Construe scope broadly and err toward preservation (related compounds and relevance)</w:t>
            </w:r>
          </w:p>
        </w:tc>
        <w:tc>
          <w:tcPr>
            <w:tcW w:type="dxa" w:w="1008"/>
          </w:tcPr>
          <w:p>
            <w:r>
              <w:rPr>
                <w:sz w:val="17"/>
              </w:rPr>
            </w:r>
            <w:r>
              <w:rPr>
                <w:b w:val="0"/>
                <w:i w:val="0"/>
                <w:sz w:val="17"/>
              </w:rPr>
              <w:t>¶31</w:t>
            </w:r>
          </w:p>
        </w:tc>
        <w:tc>
          <w:tcPr>
            <w:tcW w:type="dxa" w:w="1152"/>
          </w:tcPr>
          <w:p>
            <w:r>
              <w:rPr>
                <w:sz w:val="17"/>
              </w:rPr>
            </w:r>
            <w:r>
              <w:rPr>
                <w:b w:val="0"/>
                <w:i w:val="0"/>
                <w:sz w:val="17"/>
              </w:rPr>
              <w:t>Continuing</w:t>
            </w:r>
          </w:p>
        </w:tc>
        <w:tc>
          <w:tcPr>
            <w:tcW w:type="dxa" w:w="1152"/>
          </w:tcPr>
          <w:p>
            <w:r>
              <w:rPr>
                <w:sz w:val="17"/>
              </w:rPr>
            </w:r>
            <w:r>
              <w:rPr>
                <w:b w:val="0"/>
                <w:i w:val="0"/>
                <w:sz w:val="17"/>
              </w:rPr>
              <w:t>HTM</w:t>
            </w:r>
          </w:p>
        </w:tc>
        <w:tc>
          <w:tcPr>
            <w:tcW w:type="dxa" w:w="2160"/>
          </w:tcPr>
          <w:p>
            <w:r>
              <w:rPr>
                <w:sz w:val="17"/>
              </w:rPr>
            </w:r>
            <w:r>
              <w:rPr>
                <w:b w:val="0"/>
                <w:i w:val="0"/>
                <w:sz w:val="17"/>
              </w:rPr>
              <w:t>Adopt as written protocol</w:t>
            </w:r>
          </w:p>
        </w:tc>
      </w:tr>
      <w:tr>
        <w:tc>
          <w:tcPr>
            <w:tcW w:type="dxa" w:w="648"/>
          </w:tcPr>
          <w:p>
            <w:r>
              <w:rPr>
                <w:sz w:val="17"/>
              </w:rPr>
            </w:r>
            <w:r>
              <w:rPr>
                <w:b w:val="0"/>
                <w:i w:val="0"/>
                <w:sz w:val="17"/>
              </w:rPr>
              <w:t>A5</w:t>
            </w:r>
          </w:p>
        </w:tc>
        <w:tc>
          <w:tcPr>
            <w:tcW w:type="dxa" w:w="3600"/>
          </w:tcPr>
          <w:p>
            <w:r>
              <w:rPr>
                <w:sz w:val="17"/>
              </w:rPr>
            </w:r>
            <w:r>
              <w:rPr>
                <w:b w:val="0"/>
                <w:i w:val="0"/>
                <w:sz w:val="17"/>
              </w:rPr>
              <w:t>Continuing duty for material created after Mar. 3, 2025</w:t>
            </w:r>
          </w:p>
        </w:tc>
        <w:tc>
          <w:tcPr>
            <w:tcW w:type="dxa" w:w="1008"/>
          </w:tcPr>
          <w:p>
            <w:r>
              <w:rPr>
                <w:sz w:val="17"/>
              </w:rPr>
            </w:r>
            <w:r>
              <w:rPr>
                <w:b w:val="0"/>
                <w:i w:val="0"/>
                <w:sz w:val="17"/>
              </w:rPr>
              <w:t>¶32; Exh. A</w:t>
            </w:r>
          </w:p>
        </w:tc>
        <w:tc>
          <w:tcPr>
            <w:tcW w:type="dxa" w:w="1152"/>
          </w:tcPr>
          <w:p>
            <w:r>
              <w:rPr>
                <w:sz w:val="17"/>
              </w:rPr>
            </w:r>
            <w:r>
              <w:rPr>
                <w:b w:val="0"/>
                <w:i w:val="0"/>
                <w:sz w:val="17"/>
              </w:rPr>
              <w:t>Until lifted in writing</w:t>
            </w:r>
          </w:p>
        </w:tc>
        <w:tc>
          <w:tcPr>
            <w:tcW w:type="dxa" w:w="1152"/>
          </w:tcPr>
          <w:p>
            <w:r>
              <w:rPr>
                <w:sz w:val="17"/>
              </w:rPr>
            </w:r>
            <w:r>
              <w:rPr>
                <w:b w:val="0"/>
                <w:i w:val="0"/>
                <w:sz w:val="17"/>
              </w:rPr>
              <w:t>GC</w:t>
            </w:r>
          </w:p>
        </w:tc>
        <w:tc>
          <w:tcPr>
            <w:tcW w:type="dxa" w:w="2160"/>
          </w:tcPr>
          <w:p>
            <w:r>
              <w:rPr>
                <w:sz w:val="17"/>
              </w:rPr>
            </w:r>
            <w:r>
              <w:rPr>
                <w:b w:val="0"/>
                <w:i w:val="0"/>
                <w:sz w:val="17"/>
              </w:rPr>
              <w:t>Holds must be prospective (M365 holds do this; retention policy changes are also needed)</w:t>
            </w:r>
          </w:p>
        </w:tc>
      </w:tr>
      <w:tr>
        <w:tc>
          <w:tcPr>
            <w:tcW w:type="dxa" w:w="648"/>
          </w:tcPr>
          <w:p>
            <w:r>
              <w:rPr>
                <w:sz w:val="17"/>
              </w:rPr>
            </w:r>
            <w:r>
              <w:rPr>
                <w:b w:val="0"/>
                <w:i w:val="0"/>
                <w:sz w:val="17"/>
              </w:rPr>
              <w:t>A6</w:t>
            </w:r>
          </w:p>
        </w:tc>
        <w:tc>
          <w:tcPr>
            <w:tcW w:type="dxa" w:w="3600"/>
          </w:tcPr>
          <w:p>
            <w:r>
              <w:rPr>
                <w:sz w:val="17"/>
              </w:rPr>
            </w:r>
            <w:r>
              <w:rPr>
                <w:b w:val="0"/>
                <w:i w:val="0"/>
                <w:sz w:val="17"/>
              </w:rPr>
              <w:t>Preserve potentially privileged material; no destruction on privilege grounds; keep a privilege log for any withheld production</w:t>
            </w:r>
          </w:p>
        </w:tc>
        <w:tc>
          <w:tcPr>
            <w:tcW w:type="dxa" w:w="1008"/>
          </w:tcPr>
          <w:p>
            <w:r>
              <w:rPr>
                <w:sz w:val="17"/>
              </w:rPr>
            </w:r>
            <w:r>
              <w:rPr>
                <w:b w:val="0"/>
                <w:i w:val="0"/>
                <w:sz w:val="17"/>
              </w:rPr>
              <w:t>¶¶29, 48</w:t>
            </w:r>
          </w:p>
        </w:tc>
        <w:tc>
          <w:tcPr>
            <w:tcW w:type="dxa" w:w="1152"/>
          </w:tcPr>
          <w:p>
            <w:r>
              <w:rPr>
                <w:sz w:val="17"/>
              </w:rPr>
            </w:r>
            <w:r>
              <w:rPr>
                <w:b w:val="0"/>
                <w:i w:val="0"/>
                <w:sz w:val="17"/>
              </w:rPr>
              <w:t>Continuing / at production</w:t>
            </w:r>
          </w:p>
        </w:tc>
        <w:tc>
          <w:tcPr>
            <w:tcW w:type="dxa" w:w="1152"/>
          </w:tcPr>
          <w:p>
            <w:r>
              <w:rPr>
                <w:sz w:val="17"/>
              </w:rPr>
            </w:r>
            <w:r>
              <w:rPr>
                <w:b w:val="0"/>
                <w:i w:val="0"/>
                <w:sz w:val="17"/>
              </w:rPr>
              <w:t>HTM</w:t>
            </w:r>
          </w:p>
        </w:tc>
        <w:tc>
          <w:tcPr>
            <w:tcW w:type="dxa" w:w="2160"/>
          </w:tcPr>
          <w:p>
            <w:r>
              <w:rPr>
                <w:sz w:val="17"/>
              </w:rPr>
            </w:r>
            <w:r>
              <w:rPr>
                <w:b w:val="0"/>
                <w:i w:val="0"/>
                <w:sz w:val="17"/>
              </w:rPr>
              <w:t>See L&amp;P issue, VIII.F</w:t>
            </w:r>
          </w:p>
        </w:tc>
      </w:tr>
    </w:tbl>
    <w:p/>
    <w:p>
      <w:pPr>
        <w:pStyle w:val="Heading2"/>
      </w:pPr>
      <w:r>
        <w:t>B. Custodian Obligations</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648"/>
            <w:shd w:val="clear" w:color="auto" w:fill="1F3A5F"/>
          </w:tcPr>
          <w:p>
            <w:r/>
            <w:r>
              <w:rPr>
                <w:b/>
                <w:color w:val="FFFFFF"/>
                <w:sz w:val="17"/>
              </w:rPr>
              <w:t>Ref</w:t>
            </w:r>
          </w:p>
        </w:tc>
        <w:tc>
          <w:tcPr>
            <w:tcW w:type="dxa" w:w="3600"/>
            <w:shd w:val="clear" w:color="auto" w:fill="1F3A5F"/>
          </w:tcPr>
          <w:p>
            <w:r/>
            <w:r>
              <w:rPr>
                <w:b/>
                <w:color w:val="FFFFFF"/>
                <w:sz w:val="17"/>
              </w:rPr>
              <w:t>Obligation</w:t>
            </w:r>
          </w:p>
        </w:tc>
        <w:tc>
          <w:tcPr>
            <w:tcW w:type="dxa" w:w="1008"/>
            <w:shd w:val="clear" w:color="auto" w:fill="1F3A5F"/>
          </w:tcPr>
          <w:p>
            <w:r/>
            <w:r>
              <w:rPr>
                <w:b/>
                <w:color w:val="FFFFFF"/>
                <w:sz w:val="17"/>
              </w:rPr>
              <w:t>Source</w:t>
            </w:r>
          </w:p>
        </w:tc>
        <w:tc>
          <w:tcPr>
            <w:tcW w:type="dxa" w:w="1152"/>
            <w:shd w:val="clear" w:color="auto" w:fill="1F3A5F"/>
          </w:tcPr>
          <w:p>
            <w:r/>
            <w:r>
              <w:rPr>
                <w:b/>
                <w:color w:val="FFFFFF"/>
                <w:sz w:val="17"/>
              </w:rPr>
              <w:t>Deadline</w:t>
            </w:r>
          </w:p>
        </w:tc>
        <w:tc>
          <w:tcPr>
            <w:tcW w:type="dxa" w:w="1152"/>
            <w:shd w:val="clear" w:color="auto" w:fill="1F3A5F"/>
          </w:tcPr>
          <w:p>
            <w:r/>
            <w:r>
              <w:rPr>
                <w:b/>
                <w:color w:val="FFFFFF"/>
                <w:sz w:val="17"/>
              </w:rPr>
              <w:t>Owner</w:t>
            </w:r>
          </w:p>
        </w:tc>
        <w:tc>
          <w:tcPr>
            <w:tcW w:type="dxa" w:w="2160"/>
            <w:shd w:val="clear" w:color="auto" w:fill="1F3A5F"/>
          </w:tcPr>
          <w:p>
            <w:r/>
            <w:r>
              <w:rPr>
                <w:b/>
                <w:color w:val="FFFFFF"/>
                <w:sz w:val="17"/>
              </w:rPr>
              <w:t>Status / gap</w:t>
            </w:r>
          </w:p>
        </w:tc>
      </w:tr>
      <w:tr>
        <w:tc>
          <w:tcPr>
            <w:tcW w:type="dxa" w:w="648"/>
          </w:tcPr>
          <w:p>
            <w:r>
              <w:rPr>
                <w:sz w:val="17"/>
              </w:rPr>
            </w:r>
            <w:r>
              <w:rPr>
                <w:b w:val="0"/>
                <w:i w:val="0"/>
                <w:sz w:val="17"/>
              </w:rPr>
              <w:t>B1</w:t>
            </w:r>
          </w:p>
        </w:tc>
        <w:tc>
          <w:tcPr>
            <w:tcW w:type="dxa" w:w="3600"/>
          </w:tcPr>
          <w:p>
            <w:r>
              <w:rPr>
                <w:sz w:val="17"/>
              </w:rPr>
            </w:r>
            <w:r>
              <w:rPr>
                <w:b w:val="0"/>
                <w:i w:val="0"/>
                <w:sz w:val="17"/>
              </w:rPr>
              <w:t>Preserve all data of all 23 custodians on corporate systems, personal devices, personal webmail, personal cloud (Dropbox, Google Drive, iCloud, OneDrive) and home computers</w:t>
            </w:r>
          </w:p>
        </w:tc>
        <w:tc>
          <w:tcPr>
            <w:tcW w:type="dxa" w:w="1008"/>
          </w:tcPr>
          <w:p>
            <w:r>
              <w:rPr>
                <w:sz w:val="17"/>
              </w:rPr>
            </w:r>
            <w:r>
              <w:rPr>
                <w:b w:val="0"/>
                <w:i w:val="0"/>
                <w:sz w:val="17"/>
              </w:rPr>
              <w:t>¶¶13–17</w:t>
            </w:r>
          </w:p>
        </w:tc>
        <w:tc>
          <w:tcPr>
            <w:tcW w:type="dxa" w:w="1152"/>
          </w:tcPr>
          <w:p>
            <w:r>
              <w:rPr>
                <w:sz w:val="17"/>
              </w:rPr>
            </w:r>
            <w:r>
              <w:rPr>
                <w:b w:val="0"/>
                <w:i w:val="0"/>
                <w:sz w:val="17"/>
              </w:rPr>
              <w:t>Immediate</w:t>
            </w:r>
          </w:p>
        </w:tc>
        <w:tc>
          <w:tcPr>
            <w:tcW w:type="dxa" w:w="1152"/>
          </w:tcPr>
          <w:p>
            <w:r>
              <w:rPr>
                <w:sz w:val="17"/>
              </w:rPr>
            </w:r>
            <w:r>
              <w:rPr>
                <w:b w:val="0"/>
                <w:i w:val="0"/>
                <w:sz w:val="17"/>
              </w:rPr>
              <w:t>GC / HTM</w:t>
            </w:r>
          </w:p>
        </w:tc>
        <w:tc>
          <w:tcPr>
            <w:tcW w:type="dxa" w:w="2160"/>
          </w:tcPr>
          <w:p>
            <w:r>
              <w:rPr>
                <w:sz w:val="17"/>
              </w:rPr>
            </w:r>
            <w:r>
              <w:rPr>
                <w:b w:val="0"/>
                <w:i w:val="0"/>
                <w:sz w:val="17"/>
              </w:rPr>
              <w:t>Individual hold notices and personal-account questionnaires needed</w:t>
            </w:r>
          </w:p>
        </w:tc>
      </w:tr>
      <w:tr>
        <w:tc>
          <w:tcPr>
            <w:tcW w:type="dxa" w:w="648"/>
          </w:tcPr>
          <w:p>
            <w:r>
              <w:rPr>
                <w:sz w:val="17"/>
              </w:rPr>
            </w:r>
            <w:r>
              <w:rPr>
                <w:b w:val="0"/>
                <w:i w:val="0"/>
                <w:sz w:val="17"/>
              </w:rPr>
              <w:t>B2</w:t>
            </w:r>
          </w:p>
        </w:tc>
        <w:tc>
          <w:tcPr>
            <w:tcW w:type="dxa" w:w="3600"/>
          </w:tcPr>
          <w:p>
            <w:r>
              <w:rPr>
                <w:sz w:val="17"/>
              </w:rPr>
            </w:r>
            <w:r>
              <w:rPr>
                <w:b w:val="0"/>
                <w:i w:val="0"/>
                <w:sz w:val="17"/>
              </w:rPr>
              <w:t>Give each Exhibit C RSM a copy of the Notice or a hold notice; confirm receipt and acknowledgment in the ¶45 certification</w:t>
            </w:r>
          </w:p>
        </w:tc>
        <w:tc>
          <w:tcPr>
            <w:tcW w:type="dxa" w:w="1008"/>
          </w:tcPr>
          <w:p>
            <w:r>
              <w:rPr>
                <w:sz w:val="17"/>
              </w:rPr>
            </w:r>
            <w:r>
              <w:rPr>
                <w:b w:val="0"/>
                <w:i w:val="0"/>
                <w:sz w:val="17"/>
              </w:rPr>
              <w:t>Exh. C</w:t>
            </w:r>
          </w:p>
        </w:tc>
        <w:tc>
          <w:tcPr>
            <w:tcW w:type="dxa" w:w="1152"/>
          </w:tcPr>
          <w:p>
            <w:r>
              <w:rPr>
                <w:sz w:val="17"/>
              </w:rPr>
            </w:r>
            <w:r>
              <w:rPr>
                <w:b w:val="0"/>
                <w:i w:val="0"/>
                <w:sz w:val="17"/>
              </w:rPr>
              <w:t>By Mar. 17</w:t>
            </w:r>
          </w:p>
        </w:tc>
        <w:tc>
          <w:tcPr>
            <w:tcW w:type="dxa" w:w="1152"/>
          </w:tcPr>
          <w:p>
            <w:r>
              <w:rPr>
                <w:sz w:val="17"/>
              </w:rPr>
            </w:r>
            <w:r>
              <w:rPr>
                <w:b w:val="0"/>
                <w:i w:val="0"/>
                <w:sz w:val="17"/>
              </w:rPr>
              <w:t>GC / HTM</w:t>
            </w:r>
          </w:p>
        </w:tc>
        <w:tc>
          <w:tcPr>
            <w:tcW w:type="dxa" w:w="2160"/>
          </w:tcPr>
          <w:p>
            <w:r>
              <w:rPr>
                <w:sz w:val="17"/>
              </w:rPr>
            </w:r>
            <w:r>
              <w:rPr>
                <w:b w:val="0"/>
                <w:i w:val="0"/>
                <w:sz w:val="17"/>
              </w:rPr>
              <w:t>Use Policy App. B template, updated (it wrongly lists L&amp;P-era contacts; see VIII.F)</w:t>
            </w:r>
          </w:p>
        </w:tc>
      </w:tr>
      <w:tr>
        <w:tc>
          <w:tcPr>
            <w:tcW w:type="dxa" w:w="648"/>
          </w:tcPr>
          <w:p>
            <w:r>
              <w:rPr>
                <w:sz w:val="17"/>
              </w:rPr>
            </w:r>
            <w:r>
              <w:rPr>
                <w:b w:val="0"/>
                <w:i w:val="0"/>
                <w:sz w:val="17"/>
              </w:rPr>
              <w:t>B3</w:t>
            </w:r>
          </w:p>
        </w:tc>
        <w:tc>
          <w:tcPr>
            <w:tcW w:type="dxa" w:w="3600"/>
          </w:tcPr>
          <w:p>
            <w:r>
              <w:rPr>
                <w:sz w:val="17"/>
              </w:rPr>
            </w:r>
            <w:r>
              <w:rPr>
                <w:b w:val="0"/>
                <w:i w:val="0"/>
                <w:sz w:val="17"/>
              </w:rPr>
              <w:t>Identify the 2 functional-title custodians</w:t>
            </w:r>
          </w:p>
        </w:tc>
        <w:tc>
          <w:tcPr>
            <w:tcW w:type="dxa" w:w="1008"/>
          </w:tcPr>
          <w:p>
            <w:r>
              <w:rPr>
                <w:sz w:val="17"/>
              </w:rPr>
            </w:r>
            <w:r>
              <w:rPr>
                <w:b w:val="0"/>
                <w:i w:val="0"/>
                <w:sz w:val="17"/>
              </w:rPr>
              <w:t>¶16(c)</w:t>
            </w:r>
          </w:p>
        </w:tc>
        <w:tc>
          <w:tcPr>
            <w:tcW w:type="dxa" w:w="1152"/>
          </w:tcPr>
          <w:p>
            <w:r>
              <w:rPr>
                <w:sz w:val="17"/>
              </w:rPr>
            </w:r>
            <w:r>
              <w:rPr>
                <w:b w:val="0"/>
                <w:i w:val="0"/>
                <w:sz w:val="17"/>
              </w:rPr>
              <w:t>Before Mar. 17</w:t>
            </w:r>
          </w:p>
        </w:tc>
        <w:tc>
          <w:tcPr>
            <w:tcW w:type="dxa" w:w="1152"/>
          </w:tcPr>
          <w:p>
            <w:r>
              <w:rPr>
                <w:sz w:val="17"/>
              </w:rPr>
            </w:r>
            <w:r>
              <w:rPr>
                <w:b w:val="0"/>
                <w:i w:val="0"/>
                <w:sz w:val="17"/>
              </w:rPr>
              <w:t>HR / GC</w:t>
            </w:r>
          </w:p>
        </w:tc>
        <w:tc>
          <w:tcPr>
            <w:tcW w:type="dxa" w:w="2160"/>
          </w:tcPr>
          <w:p>
            <w:r>
              <w:rPr>
                <w:sz w:val="17"/>
              </w:rPr>
            </w:r>
            <w:r>
              <w:rPr>
                <w:b w:val="0"/>
                <w:i w:val="0"/>
                <w:sz w:val="17"/>
              </w:rPr>
              <w:t>Not done. Org Chart omits them entirely</w:t>
            </w:r>
          </w:p>
        </w:tc>
      </w:tr>
      <w:tr>
        <w:tc>
          <w:tcPr>
            <w:tcW w:type="dxa" w:w="648"/>
          </w:tcPr>
          <w:p>
            <w:r>
              <w:rPr>
                <w:sz w:val="17"/>
              </w:rPr>
            </w:r>
            <w:r>
              <w:rPr>
                <w:b w:val="0"/>
                <w:i w:val="0"/>
                <w:sz w:val="17"/>
              </w:rPr>
              <w:t>B4</w:t>
            </w:r>
          </w:p>
        </w:tc>
        <w:tc>
          <w:tcPr>
            <w:tcW w:type="dxa" w:w="3600"/>
          </w:tcPr>
          <w:p>
            <w:r>
              <w:rPr>
                <w:sz w:val="17"/>
              </w:rPr>
            </w:r>
            <w:r>
              <w:rPr>
                <w:b w:val="0"/>
                <w:i w:val="0"/>
                <w:sz w:val="17"/>
              </w:rPr>
              <w:t>Preserve all communications with, and all contracts, payments, 1099s, expenses and travel records for, the Exhibit D HCPs; instruct the employees with most frequent contact</w:t>
            </w:r>
          </w:p>
        </w:tc>
        <w:tc>
          <w:tcPr>
            <w:tcW w:type="dxa" w:w="1008"/>
          </w:tcPr>
          <w:p>
            <w:r>
              <w:rPr>
                <w:sz w:val="17"/>
              </w:rPr>
            </w:r>
            <w:r>
              <w:rPr>
                <w:b w:val="0"/>
                <w:i w:val="0"/>
                <w:sz w:val="17"/>
              </w:rPr>
              <w:t>¶¶15, 24; Exh. D</w:t>
            </w:r>
          </w:p>
        </w:tc>
        <w:tc>
          <w:tcPr>
            <w:tcW w:type="dxa" w:w="1152"/>
          </w:tcPr>
          <w:p>
            <w:r>
              <w:rPr>
                <w:sz w:val="17"/>
              </w:rPr>
            </w:r>
            <w:r>
              <w:rPr>
                <w:b w:val="0"/>
                <w:i w:val="0"/>
                <w:sz w:val="17"/>
              </w:rPr>
              <w:t>Immediate</w:t>
            </w:r>
          </w:p>
        </w:tc>
        <w:tc>
          <w:tcPr>
            <w:tcW w:type="dxa" w:w="1152"/>
          </w:tcPr>
          <w:p>
            <w:r>
              <w:rPr>
                <w:sz w:val="17"/>
              </w:rPr>
            </w:r>
            <w:r>
              <w:rPr>
                <w:b w:val="0"/>
                <w:i w:val="0"/>
                <w:sz w:val="17"/>
              </w:rPr>
              <w:t>Commercial Ops / HTM</w:t>
            </w:r>
          </w:p>
        </w:tc>
        <w:tc>
          <w:tcPr>
            <w:tcW w:type="dxa" w:w="2160"/>
          </w:tcPr>
          <w:p>
            <w:r>
              <w:rPr>
                <w:sz w:val="17"/>
              </w:rPr>
            </w:r>
            <w:r>
              <w:rPr>
                <w:b w:val="0"/>
                <w:i w:val="0"/>
                <w:sz w:val="17"/>
              </w:rPr>
              <w:t>Frequent-contact employees must be identified</w:t>
            </w:r>
          </w:p>
        </w:tc>
      </w:tr>
      <w:tr>
        <w:tc>
          <w:tcPr>
            <w:tcW w:type="dxa" w:w="648"/>
          </w:tcPr>
          <w:p>
            <w:r>
              <w:rPr>
                <w:sz w:val="17"/>
              </w:rPr>
            </w:r>
            <w:r>
              <w:rPr>
                <w:b w:val="0"/>
                <w:i w:val="0"/>
                <w:sz w:val="17"/>
              </w:rPr>
              <w:t>B5</w:t>
            </w:r>
          </w:p>
        </w:tc>
        <w:tc>
          <w:tcPr>
            <w:tcW w:type="dxa" w:w="3600"/>
          </w:tcPr>
          <w:p>
            <w:r>
              <w:rPr>
                <w:sz w:val="17"/>
              </w:rPr>
            </w:r>
            <w:r>
              <w:rPr>
                <w:b w:val="0"/>
                <w:i w:val="0"/>
                <w:sz w:val="17"/>
              </w:rPr>
              <w:t>Accept and implement any DOJ supplement to the custodian list</w:t>
            </w:r>
          </w:p>
        </w:tc>
        <w:tc>
          <w:tcPr>
            <w:tcW w:type="dxa" w:w="1008"/>
          </w:tcPr>
          <w:p>
            <w:r>
              <w:rPr>
                <w:sz w:val="17"/>
              </w:rPr>
            </w:r>
            <w:r>
              <w:rPr>
                <w:b w:val="0"/>
                <w:i w:val="0"/>
                <w:sz w:val="17"/>
              </w:rPr>
              <w:t>¶18</w:t>
            </w:r>
          </w:p>
        </w:tc>
        <w:tc>
          <w:tcPr>
            <w:tcW w:type="dxa" w:w="1152"/>
          </w:tcPr>
          <w:p>
            <w:r>
              <w:rPr>
                <w:sz w:val="17"/>
              </w:rPr>
            </w:r>
            <w:r>
              <w:rPr>
                <w:b w:val="0"/>
                <w:i w:val="0"/>
                <w:sz w:val="17"/>
              </w:rPr>
              <w:t>On notice</w:t>
            </w:r>
          </w:p>
        </w:tc>
        <w:tc>
          <w:tcPr>
            <w:tcW w:type="dxa" w:w="1152"/>
          </w:tcPr>
          <w:p>
            <w:r>
              <w:rPr>
                <w:sz w:val="17"/>
              </w:rPr>
            </w:r>
            <w:r>
              <w:rPr>
                <w:b w:val="0"/>
                <w:i w:val="0"/>
                <w:sz w:val="17"/>
              </w:rPr>
              <w:t>GC / HTM</w:t>
            </w:r>
          </w:p>
        </w:tc>
        <w:tc>
          <w:tcPr>
            <w:tcW w:type="dxa" w:w="2160"/>
          </w:tcPr>
          <w:p>
            <w:r>
              <w:rPr>
                <w:sz w:val="17"/>
              </w:rPr>
            </w:r>
            <w:r>
              <w:rPr>
                <w:b w:val="0"/>
                <w:i w:val="0"/>
                <w:sz w:val="17"/>
              </w:rPr>
              <w:t>Build a tracking process</w:t>
            </w:r>
          </w:p>
        </w:tc>
      </w:tr>
    </w:tbl>
    <w:p/>
    <w:p>
      <w:pPr>
        <w:pStyle w:val="Heading2"/>
      </w:pPr>
      <w:r>
        <w:t>C. Subject-Matter Categories (Exhibit B Cats. 1–34, plus body ¶¶20–30)</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648"/>
            <w:shd w:val="clear" w:color="auto" w:fill="1F3A5F"/>
          </w:tcPr>
          <w:p>
            <w:r/>
            <w:r>
              <w:rPr>
                <w:b/>
                <w:color w:val="FFFFFF"/>
                <w:sz w:val="17"/>
              </w:rPr>
              <w:t>Ref</w:t>
            </w:r>
          </w:p>
        </w:tc>
        <w:tc>
          <w:tcPr>
            <w:tcW w:type="dxa" w:w="3600"/>
            <w:shd w:val="clear" w:color="auto" w:fill="1F3A5F"/>
          </w:tcPr>
          <w:p>
            <w:r/>
            <w:r>
              <w:rPr>
                <w:b/>
                <w:color w:val="FFFFFF"/>
                <w:sz w:val="17"/>
              </w:rPr>
              <w:t>Obligation</w:t>
            </w:r>
          </w:p>
        </w:tc>
        <w:tc>
          <w:tcPr>
            <w:tcW w:type="dxa" w:w="1008"/>
            <w:shd w:val="clear" w:color="auto" w:fill="1F3A5F"/>
          </w:tcPr>
          <w:p>
            <w:r/>
            <w:r>
              <w:rPr>
                <w:b/>
                <w:color w:val="FFFFFF"/>
                <w:sz w:val="17"/>
              </w:rPr>
              <w:t>Source</w:t>
            </w:r>
          </w:p>
        </w:tc>
        <w:tc>
          <w:tcPr>
            <w:tcW w:type="dxa" w:w="1152"/>
            <w:shd w:val="clear" w:color="auto" w:fill="1F3A5F"/>
          </w:tcPr>
          <w:p>
            <w:r/>
            <w:r>
              <w:rPr>
                <w:b/>
                <w:color w:val="FFFFFF"/>
                <w:sz w:val="17"/>
              </w:rPr>
              <w:t>Deadline</w:t>
            </w:r>
          </w:p>
        </w:tc>
        <w:tc>
          <w:tcPr>
            <w:tcW w:type="dxa" w:w="1152"/>
            <w:shd w:val="clear" w:color="auto" w:fill="1F3A5F"/>
          </w:tcPr>
          <w:p>
            <w:r/>
            <w:r>
              <w:rPr>
                <w:b/>
                <w:color w:val="FFFFFF"/>
                <w:sz w:val="17"/>
              </w:rPr>
              <w:t>Owner</w:t>
            </w:r>
          </w:p>
        </w:tc>
        <w:tc>
          <w:tcPr>
            <w:tcW w:type="dxa" w:w="2160"/>
            <w:shd w:val="clear" w:color="auto" w:fill="1F3A5F"/>
          </w:tcPr>
          <w:p>
            <w:r/>
            <w:r>
              <w:rPr>
                <w:b/>
                <w:color w:val="FFFFFF"/>
                <w:sz w:val="17"/>
              </w:rPr>
              <w:t>Status / gap</w:t>
            </w:r>
          </w:p>
        </w:tc>
      </w:tr>
      <w:tr>
        <w:tc>
          <w:tcPr>
            <w:tcW w:type="dxa" w:w="648"/>
          </w:tcPr>
          <w:p>
            <w:r>
              <w:rPr>
                <w:sz w:val="17"/>
              </w:rPr>
            </w:r>
            <w:r>
              <w:rPr>
                <w:b w:val="0"/>
                <w:i w:val="0"/>
                <w:sz w:val="17"/>
              </w:rPr>
              <w:t>C1</w:t>
            </w:r>
          </w:p>
        </w:tc>
        <w:tc>
          <w:tcPr>
            <w:tcW w:type="dxa" w:w="3600"/>
          </w:tcPr>
          <w:p>
            <w:r>
              <w:rPr>
                <w:sz w:val="17"/>
              </w:rPr>
            </w:r>
            <w:r>
              <w:rPr>
                <w:b w:val="0"/>
                <w:i w:val="0"/>
                <w:sz w:val="17"/>
              </w:rPr>
              <w:t>Area 1 — KOL administration: contracts; training/slide decks; event planning, venue, catering, AV, travel, attendee lists; post-event reports; SOPs; HCP correspondence (Cats. 1–6)</w:t>
            </w:r>
          </w:p>
        </w:tc>
        <w:tc>
          <w:tcPr>
            <w:tcW w:type="dxa" w:w="1008"/>
          </w:tcPr>
          <w:p>
            <w:r>
              <w:rPr>
                <w:sz w:val="17"/>
              </w:rPr>
            </w:r>
            <w:r>
              <w:rPr>
                <w:b w:val="0"/>
                <w:i w:val="0"/>
                <w:sz w:val="17"/>
              </w:rPr>
              <w:t>¶20; Exh. B</w:t>
            </w:r>
          </w:p>
        </w:tc>
        <w:tc>
          <w:tcPr>
            <w:tcW w:type="dxa" w:w="1152"/>
          </w:tcPr>
          <w:p>
            <w:r>
              <w:rPr>
                <w:sz w:val="17"/>
              </w:rPr>
            </w:r>
            <w:r>
              <w:rPr>
                <w:b w:val="0"/>
                <w:i w:val="0"/>
                <w:sz w:val="17"/>
              </w:rPr>
              <w:t>Immediate</w:t>
            </w:r>
          </w:p>
        </w:tc>
        <w:tc>
          <w:tcPr>
            <w:tcW w:type="dxa" w:w="1152"/>
          </w:tcPr>
          <w:p>
            <w:r>
              <w:rPr>
                <w:sz w:val="17"/>
              </w:rPr>
            </w:r>
            <w:r>
              <w:rPr>
                <w:b w:val="0"/>
                <w:i w:val="0"/>
                <w:sz w:val="17"/>
              </w:rPr>
              <w:t>Terrell / Hsu</w:t>
            </w:r>
          </w:p>
        </w:tc>
        <w:tc>
          <w:tcPr>
            <w:tcW w:type="dxa" w:w="2160"/>
          </w:tcPr>
          <w:p>
            <w:r>
              <w:rPr>
                <w:sz w:val="17"/>
              </w:rPr>
            </w:r>
            <w:r>
              <w:rPr>
                <w:b w:val="0"/>
                <w:i w:val="0"/>
                <w:sz w:val="17"/>
              </w:rPr>
            </w:r>
            <w:r>
              <w:rPr>
                <w:b/>
                <w:i w:val="0"/>
                <w:sz w:val="17"/>
              </w:rPr>
              <w:t>Jan. 15 destruction took ~380,000 2019–2021 event files (Cats. 3–4)</w:t>
            </w:r>
            <w:r>
              <w:rPr>
                <w:b w:val="0"/>
                <w:i w:val="0"/>
                <w:sz w:val="17"/>
              </w:rPr>
            </w:r>
          </w:p>
        </w:tc>
      </w:tr>
      <w:tr>
        <w:tc>
          <w:tcPr>
            <w:tcW w:type="dxa" w:w="648"/>
          </w:tcPr>
          <w:p>
            <w:r>
              <w:rPr>
                <w:sz w:val="17"/>
              </w:rPr>
            </w:r>
            <w:r>
              <w:rPr>
                <w:b w:val="0"/>
                <w:i w:val="0"/>
                <w:sz w:val="17"/>
              </w:rPr>
              <w:t>C2</w:t>
            </w:r>
          </w:p>
        </w:tc>
        <w:tc>
          <w:tcPr>
            <w:tcW w:type="dxa" w:w="3600"/>
          </w:tcPr>
          <w:p>
            <w:r>
              <w:rPr>
                <w:sz w:val="17"/>
              </w:rPr>
            </w:r>
            <w:r>
              <w:rPr>
                <w:b w:val="0"/>
                <w:i w:val="0"/>
                <w:sz w:val="17"/>
              </w:rPr>
              <w:t>Area 2 — Compensation and FMV: FMV and benchmarking; payment records, 1099s; approvals and committee minutes; rate communications (Cats. 7–10)</w:t>
            </w:r>
          </w:p>
        </w:tc>
        <w:tc>
          <w:tcPr>
            <w:tcW w:type="dxa" w:w="1008"/>
          </w:tcPr>
          <w:p>
            <w:r>
              <w:rPr>
                <w:sz w:val="17"/>
              </w:rPr>
            </w:r>
            <w:r>
              <w:rPr>
                <w:b w:val="0"/>
                <w:i w:val="0"/>
                <w:sz w:val="17"/>
              </w:rPr>
              <w:t>¶21; Exh. B</w:t>
            </w:r>
          </w:p>
        </w:tc>
        <w:tc>
          <w:tcPr>
            <w:tcW w:type="dxa" w:w="1152"/>
          </w:tcPr>
          <w:p>
            <w:r>
              <w:rPr>
                <w:sz w:val="17"/>
              </w:rPr>
            </w:r>
            <w:r>
              <w:rPr>
                <w:b w:val="0"/>
                <w:i w:val="0"/>
                <w:sz w:val="17"/>
              </w:rPr>
              <w:t>Immediate</w:t>
            </w:r>
          </w:p>
        </w:tc>
        <w:tc>
          <w:tcPr>
            <w:tcW w:type="dxa" w:w="1152"/>
          </w:tcPr>
          <w:p>
            <w:r>
              <w:rPr>
                <w:sz w:val="17"/>
              </w:rPr>
            </w:r>
            <w:r>
              <w:rPr>
                <w:b w:val="0"/>
                <w:i w:val="0"/>
                <w:sz w:val="17"/>
              </w:rPr>
              <w:t>Finance / Terrell</w:t>
            </w:r>
          </w:p>
        </w:tc>
        <w:tc>
          <w:tcPr>
            <w:tcW w:type="dxa" w:w="2160"/>
          </w:tcPr>
          <w:p>
            <w:r>
              <w:rPr>
                <w:sz w:val="17"/>
              </w:rPr>
            </w:r>
            <w:r>
              <w:rPr>
                <w:b w:val="0"/>
                <w:i w:val="0"/>
                <w:sz w:val="17"/>
              </w:rPr>
              <w:t>Destruction Email says these were excluded (7-year retention). Verify</w:t>
            </w:r>
          </w:p>
        </w:tc>
      </w:tr>
      <w:tr>
        <w:tc>
          <w:tcPr>
            <w:tcW w:type="dxa" w:w="648"/>
          </w:tcPr>
          <w:p>
            <w:r>
              <w:rPr>
                <w:sz w:val="17"/>
              </w:rPr>
            </w:r>
            <w:r>
              <w:rPr>
                <w:b w:val="0"/>
                <w:i w:val="0"/>
                <w:sz w:val="17"/>
              </w:rPr>
              <w:t>C3</w:t>
            </w:r>
          </w:p>
        </w:tc>
        <w:tc>
          <w:tcPr>
            <w:tcW w:type="dxa" w:w="3600"/>
          </w:tcPr>
          <w:p>
            <w:r>
              <w:rPr>
                <w:sz w:val="17"/>
              </w:rPr>
            </w:r>
            <w:r>
              <w:rPr>
                <w:b w:val="0"/>
                <w:i w:val="0"/>
                <w:sz w:val="17"/>
              </w:rPr>
              <w:t>Area 3 — HCP selection and due diligence: criteria, rubrics, rankings; credentialing, COI; OIG LEIE / SAM screening; frequency and concentration analyses (Cats. 11–14)</w:t>
            </w:r>
          </w:p>
        </w:tc>
        <w:tc>
          <w:tcPr>
            <w:tcW w:type="dxa" w:w="1008"/>
          </w:tcPr>
          <w:p>
            <w:r>
              <w:rPr>
                <w:sz w:val="17"/>
              </w:rPr>
            </w:r>
            <w:r>
              <w:rPr>
                <w:b w:val="0"/>
                <w:i w:val="0"/>
                <w:sz w:val="17"/>
              </w:rPr>
              <w:t>¶22; Exh. B</w:t>
            </w:r>
          </w:p>
        </w:tc>
        <w:tc>
          <w:tcPr>
            <w:tcW w:type="dxa" w:w="1152"/>
          </w:tcPr>
          <w:p>
            <w:r>
              <w:rPr>
                <w:sz w:val="17"/>
              </w:rPr>
            </w:r>
            <w:r>
              <w:rPr>
                <w:b w:val="0"/>
                <w:i w:val="0"/>
                <w:sz w:val="17"/>
              </w:rPr>
              <w:t>Immediate</w:t>
            </w:r>
          </w:p>
        </w:tc>
        <w:tc>
          <w:tcPr>
            <w:tcW w:type="dxa" w:w="1152"/>
          </w:tcPr>
          <w:p>
            <w:r>
              <w:rPr>
                <w:sz w:val="17"/>
              </w:rPr>
            </w:r>
            <w:r>
              <w:rPr>
                <w:b w:val="0"/>
                <w:i w:val="0"/>
                <w:sz w:val="17"/>
              </w:rPr>
              <w:t>Compliance / Terrell</w:t>
            </w:r>
          </w:p>
        </w:tc>
        <w:tc>
          <w:tcPr>
            <w:tcW w:type="dxa" w:w="2160"/>
          </w:tcPr>
          <w:p>
            <w:r>
              <w:rPr>
                <w:sz w:val="17"/>
              </w:rPr>
            </w:r>
            <w:r>
              <w:rPr>
                <w:b w:val="0"/>
                <w:i w:val="0"/>
                <w:sz w:val="17"/>
              </w:rPr>
              <w:t>Said to be excluded from destruction. Verify</w:t>
            </w:r>
          </w:p>
        </w:tc>
      </w:tr>
      <w:tr>
        <w:tc>
          <w:tcPr>
            <w:tcW w:type="dxa" w:w="648"/>
          </w:tcPr>
          <w:p>
            <w:r>
              <w:rPr>
                <w:sz w:val="17"/>
              </w:rPr>
            </w:r>
            <w:r>
              <w:rPr>
                <w:b w:val="0"/>
                <w:i w:val="0"/>
                <w:sz w:val="17"/>
              </w:rPr>
              <w:t>C4</w:t>
            </w:r>
          </w:p>
        </w:tc>
        <w:tc>
          <w:tcPr>
            <w:tcW w:type="dxa" w:w="3600"/>
          </w:tcPr>
          <w:p>
            <w:r>
              <w:rPr>
                <w:sz w:val="17"/>
              </w:rPr>
            </w:r>
            <w:r>
              <w:rPr>
                <w:b w:val="0"/>
                <w:i w:val="0"/>
                <w:sz w:val="17"/>
              </w:rPr>
              <w:t>Area 4 (body only) — all HCP communications about Velcara, with any HCP, in any context (efficacy, safety, dosing, formulary, prescribing, reimbursement)</w:t>
            </w:r>
          </w:p>
        </w:tc>
        <w:tc>
          <w:tcPr>
            <w:tcW w:type="dxa" w:w="1008"/>
          </w:tcPr>
          <w:p>
            <w:r>
              <w:rPr>
                <w:sz w:val="17"/>
              </w:rPr>
            </w:r>
            <w:r>
              <w:rPr>
                <w:b w:val="0"/>
                <w:i w:val="0"/>
                <w:sz w:val="17"/>
              </w:rPr>
              <w:t>¶23</w:t>
            </w:r>
          </w:p>
        </w:tc>
        <w:tc>
          <w:tcPr>
            <w:tcW w:type="dxa" w:w="1152"/>
          </w:tcPr>
          <w:p>
            <w:r>
              <w:rPr>
                <w:sz w:val="17"/>
              </w:rPr>
            </w:r>
            <w:r>
              <w:rPr>
                <w:b w:val="0"/>
                <w:i w:val="0"/>
                <w:sz w:val="17"/>
              </w:rPr>
              <w:t>Immediate</w:t>
            </w:r>
          </w:p>
        </w:tc>
        <w:tc>
          <w:tcPr>
            <w:tcW w:type="dxa" w:w="1152"/>
          </w:tcPr>
          <w:p>
            <w:r>
              <w:rPr>
                <w:sz w:val="17"/>
              </w:rPr>
            </w:r>
            <w:r>
              <w:rPr>
                <w:b w:val="0"/>
                <w:i w:val="0"/>
                <w:sz w:val="17"/>
              </w:rPr>
              <w:t>Commercial / Medical Affairs</w:t>
            </w:r>
          </w:p>
        </w:tc>
        <w:tc>
          <w:tcPr>
            <w:tcW w:type="dxa" w:w="2160"/>
          </w:tcPr>
          <w:p>
            <w:r>
              <w:rPr>
                <w:sz w:val="17"/>
              </w:rPr>
            </w:r>
            <w:r>
              <w:rPr>
                <w:b w:val="0"/>
                <w:i w:val="0"/>
                <w:sz w:val="17"/>
              </w:rPr>
              <w:t xml:space="preserve">Very broad: effectively all field and MSL communications. </w:t>
            </w:r>
            <w:r>
              <w:rPr>
                <w:b/>
                <w:i w:val="0"/>
                <w:sz w:val="17"/>
              </w:rPr>
              <w:t>No matching Exhibit B category.</w:t>
            </w:r>
            <w:r>
              <w:rPr>
                <w:b w:val="0"/>
                <w:i w:val="0"/>
                <w:sz w:val="17"/>
              </w:rPr>
              <w:t xml:space="preserve"> Call records were partly destroyed Jan. 15</w:t>
            </w:r>
          </w:p>
        </w:tc>
      </w:tr>
      <w:tr>
        <w:tc>
          <w:tcPr>
            <w:tcW w:type="dxa" w:w="648"/>
          </w:tcPr>
          <w:p>
            <w:r>
              <w:rPr>
                <w:sz w:val="17"/>
              </w:rPr>
            </w:r>
            <w:r>
              <w:rPr>
                <w:b w:val="0"/>
                <w:i w:val="0"/>
                <w:sz w:val="17"/>
              </w:rPr>
              <w:t>C5</w:t>
            </w:r>
          </w:p>
        </w:tc>
        <w:tc>
          <w:tcPr>
            <w:tcW w:type="dxa" w:w="3600"/>
          </w:tcPr>
          <w:p>
            <w:r>
              <w:rPr>
                <w:sz w:val="17"/>
              </w:rPr>
            </w:r>
            <w:r>
              <w:rPr>
                <w:b w:val="0"/>
                <w:i w:val="0"/>
                <w:sz w:val="17"/>
              </w:rPr>
              <w:t>Area 4B — communications with the Exhibit D HCPs on every channel (email, SMS, Slack, Teams, voicemail, third-party apps, employees' personal devices)</w:t>
            </w:r>
          </w:p>
        </w:tc>
        <w:tc>
          <w:tcPr>
            <w:tcW w:type="dxa" w:w="1008"/>
          </w:tcPr>
          <w:p>
            <w:r>
              <w:rPr>
                <w:sz w:val="17"/>
              </w:rPr>
            </w:r>
            <w:r>
              <w:rPr>
                <w:b w:val="0"/>
                <w:i w:val="0"/>
                <w:sz w:val="17"/>
              </w:rPr>
              <w:t>¶24</w:t>
            </w:r>
          </w:p>
        </w:tc>
        <w:tc>
          <w:tcPr>
            <w:tcW w:type="dxa" w:w="1152"/>
          </w:tcPr>
          <w:p>
            <w:r>
              <w:rPr>
                <w:sz w:val="17"/>
              </w:rPr>
            </w:r>
            <w:r>
              <w:rPr>
                <w:b w:val="0"/>
                <w:i w:val="0"/>
                <w:sz w:val="17"/>
              </w:rPr>
              <w:t>Immediate</w:t>
            </w:r>
          </w:p>
        </w:tc>
        <w:tc>
          <w:tcPr>
            <w:tcW w:type="dxa" w:w="1152"/>
          </w:tcPr>
          <w:p>
            <w:r>
              <w:rPr>
                <w:sz w:val="17"/>
              </w:rPr>
            </w:r>
            <w:r>
              <w:rPr>
                <w:b w:val="0"/>
                <w:i w:val="0"/>
                <w:sz w:val="17"/>
              </w:rPr>
              <w:t>HTM / IT</w:t>
            </w:r>
          </w:p>
        </w:tc>
        <w:tc>
          <w:tcPr>
            <w:tcW w:type="dxa" w:w="2160"/>
          </w:tcPr>
          <w:p>
            <w:r>
              <w:rPr>
                <w:sz w:val="17"/>
              </w:rPr>
            </w:r>
            <w:r>
              <w:rPr>
                <w:b w:val="0"/>
                <w:i w:val="0"/>
                <w:sz w:val="17"/>
              </w:rPr>
              <w:t>Voicemail on 90-day and IM on 1-year deletion. Suspend</w:t>
            </w:r>
          </w:p>
        </w:tc>
      </w:tr>
      <w:tr>
        <w:tc>
          <w:tcPr>
            <w:tcW w:type="dxa" w:w="648"/>
          </w:tcPr>
          <w:p>
            <w:r>
              <w:rPr>
                <w:sz w:val="17"/>
              </w:rPr>
            </w:r>
            <w:r>
              <w:rPr>
                <w:b w:val="0"/>
                <w:i w:val="0"/>
                <w:sz w:val="17"/>
              </w:rPr>
              <w:t>C6</w:t>
            </w:r>
          </w:p>
        </w:tc>
        <w:tc>
          <w:tcPr>
            <w:tcW w:type="dxa" w:w="3600"/>
          </w:tcPr>
          <w:p>
            <w:r>
              <w:rPr>
                <w:sz w:val="17"/>
              </w:rPr>
            </w:r>
            <w:r>
              <w:rPr>
                <w:b w:val="0"/>
                <w:i w:val="0"/>
                <w:sz w:val="17"/>
              </w:rPr>
              <w:t>RPAF: governing documents; board minutes; grant applications and disbursements; Ridgeline–RPAF communications; RPAF financials and Forms 990 (Cats. 15–19)</w:t>
            </w:r>
          </w:p>
        </w:tc>
        <w:tc>
          <w:tcPr>
            <w:tcW w:type="dxa" w:w="1008"/>
          </w:tcPr>
          <w:p>
            <w:r>
              <w:rPr>
                <w:sz w:val="17"/>
              </w:rPr>
            </w:r>
            <w:r>
              <w:rPr>
                <w:b w:val="0"/>
                <w:i w:val="0"/>
                <w:sz w:val="17"/>
              </w:rPr>
              <w:t>¶25; Exh. B</w:t>
            </w:r>
          </w:p>
        </w:tc>
        <w:tc>
          <w:tcPr>
            <w:tcW w:type="dxa" w:w="1152"/>
          </w:tcPr>
          <w:p>
            <w:r>
              <w:rPr>
                <w:sz w:val="17"/>
              </w:rPr>
            </w:r>
            <w:r>
              <w:rPr>
                <w:b w:val="0"/>
                <w:i w:val="0"/>
                <w:sz w:val="17"/>
              </w:rPr>
              <w:t>Immediate</w:t>
            </w:r>
          </w:p>
        </w:tc>
        <w:tc>
          <w:tcPr>
            <w:tcW w:type="dxa" w:w="1152"/>
          </w:tcPr>
          <w:p>
            <w:r>
              <w:rPr>
                <w:sz w:val="17"/>
              </w:rPr>
            </w:r>
            <w:r>
              <w:rPr>
                <w:b w:val="0"/>
                <w:i w:val="0"/>
                <w:sz w:val="17"/>
              </w:rPr>
              <w:t>Blaine / GC / RPAF board</w:t>
            </w:r>
          </w:p>
        </w:tc>
        <w:tc>
          <w:tcPr>
            <w:tcW w:type="dxa" w:w="2160"/>
          </w:tcPr>
          <w:p>
            <w:r>
              <w:rPr>
                <w:sz w:val="17"/>
              </w:rPr>
            </w:r>
            <w:r>
              <w:rPr>
                <w:b w:val="0"/>
                <w:i w:val="0"/>
                <w:sz w:val="17"/>
              </w:rPr>
            </w:r>
            <w:r>
              <w:rPr>
                <w:b/>
                <w:i w:val="0"/>
                <w:sz w:val="17"/>
              </w:rPr>
              <w:t>~320,000 RPAF correspondence records destroyed Jan. 15.</w:t>
            </w:r>
            <w:r>
              <w:rPr>
                <w:b w:val="0"/>
                <w:i w:val="0"/>
                <w:sz w:val="17"/>
              </w:rPr>
              <w:t xml:space="preserve"> RPAF not yet notified; see VIII.D</w:t>
            </w:r>
          </w:p>
        </w:tc>
      </w:tr>
      <w:tr>
        <w:tc>
          <w:tcPr>
            <w:tcW w:type="dxa" w:w="648"/>
          </w:tcPr>
          <w:p>
            <w:r>
              <w:rPr>
                <w:sz w:val="17"/>
              </w:rPr>
            </w:r>
            <w:r>
              <w:rPr>
                <w:b w:val="0"/>
                <w:i w:val="0"/>
                <w:sz w:val="17"/>
              </w:rPr>
              <w:t>C7</w:t>
            </w:r>
          </w:p>
        </w:tc>
        <w:tc>
          <w:tcPr>
            <w:tcW w:type="dxa" w:w="3600"/>
          </w:tcPr>
          <w:p>
            <w:r>
              <w:rPr>
                <w:sz w:val="17"/>
              </w:rPr>
            </w:r>
            <w:r>
              <w:rPr>
                <w:b w:val="0"/>
                <w:i w:val="0"/>
                <w:sz w:val="17"/>
              </w:rPr>
              <w:t>Compliance: internal audits; compliance reports (including for the CCO); third-party audits; IntegriCall hotline records; internal investigation files (Cats. 20–23)</w:t>
            </w:r>
          </w:p>
        </w:tc>
        <w:tc>
          <w:tcPr>
            <w:tcW w:type="dxa" w:w="1008"/>
          </w:tcPr>
          <w:p>
            <w:r>
              <w:rPr>
                <w:sz w:val="17"/>
              </w:rPr>
            </w:r>
            <w:r>
              <w:rPr>
                <w:b w:val="0"/>
                <w:i w:val="0"/>
                <w:sz w:val="17"/>
              </w:rPr>
              <w:t>¶26; Exh. B</w:t>
            </w:r>
          </w:p>
        </w:tc>
        <w:tc>
          <w:tcPr>
            <w:tcW w:type="dxa" w:w="1152"/>
          </w:tcPr>
          <w:p>
            <w:r>
              <w:rPr>
                <w:sz w:val="17"/>
              </w:rPr>
            </w:r>
            <w:r>
              <w:rPr>
                <w:b w:val="0"/>
                <w:i w:val="0"/>
                <w:sz w:val="17"/>
              </w:rPr>
              <w:t>Immediate</w:t>
            </w:r>
          </w:p>
        </w:tc>
        <w:tc>
          <w:tcPr>
            <w:tcW w:type="dxa" w:w="1152"/>
          </w:tcPr>
          <w:p>
            <w:r>
              <w:rPr>
                <w:sz w:val="17"/>
              </w:rPr>
            </w:r>
            <w:r>
              <w:rPr>
                <w:b w:val="0"/>
                <w:i w:val="0"/>
                <w:sz w:val="17"/>
              </w:rPr>
              <w:t>Cho-Rosen</w:t>
            </w:r>
          </w:p>
        </w:tc>
        <w:tc>
          <w:tcPr>
            <w:tcW w:type="dxa" w:w="2160"/>
          </w:tcPr>
          <w:p>
            <w:r>
              <w:rPr>
                <w:sz w:val="17"/>
              </w:rPr>
            </w:r>
            <w:r>
              <w:rPr>
                <w:b w:val="0"/>
                <w:i w:val="0"/>
                <w:sz w:val="17"/>
              </w:rPr>
              <w:t>IntegriCall retains 6 years under its addendum. Suspend</w:t>
            </w:r>
          </w:p>
        </w:tc>
      </w:tr>
      <w:tr>
        <w:tc>
          <w:tcPr>
            <w:tcW w:type="dxa" w:w="648"/>
          </w:tcPr>
          <w:p>
            <w:r>
              <w:rPr>
                <w:sz w:val="17"/>
              </w:rPr>
            </w:r>
            <w:r>
              <w:rPr>
                <w:b w:val="0"/>
                <w:i w:val="0"/>
                <w:sz w:val="17"/>
              </w:rPr>
              <w:t>C8</w:t>
            </w:r>
          </w:p>
        </w:tc>
        <w:tc>
          <w:tcPr>
            <w:tcW w:type="dxa" w:w="3600"/>
          </w:tcPr>
          <w:p>
            <w:r>
              <w:rPr>
                <w:sz w:val="17"/>
              </w:rPr>
            </w:r>
            <w:r>
              <w:rPr>
                <w:b w:val="0"/>
                <w:i w:val="0"/>
                <w:sz w:val="17"/>
              </w:rPr>
              <w:t xml:space="preserve">Financial: GL, journals, reconciliations; AP/AR; budgets and forecasts; Velcara revenue by region, territory, rep and payer (Cats. 24–27), </w:t>
            </w:r>
            <w:r>
              <w:rPr>
                <w:b/>
                <w:i w:val="0"/>
                <w:sz w:val="17"/>
              </w:rPr>
              <w:t>from Jan. 1, 2017</w:t>
            </w:r>
            <w:r>
              <w:rPr>
                <w:b w:val="0"/>
                <w:i w:val="0"/>
                <w:sz w:val="17"/>
              </w:rPr>
            </w:r>
          </w:p>
        </w:tc>
        <w:tc>
          <w:tcPr>
            <w:tcW w:type="dxa" w:w="1008"/>
          </w:tcPr>
          <w:p>
            <w:r>
              <w:rPr>
                <w:sz w:val="17"/>
              </w:rPr>
            </w:r>
            <w:r>
              <w:rPr>
                <w:b w:val="0"/>
                <w:i w:val="0"/>
                <w:sz w:val="17"/>
              </w:rPr>
              <w:t>¶¶27, 47; Exh. B</w:t>
            </w:r>
          </w:p>
        </w:tc>
        <w:tc>
          <w:tcPr>
            <w:tcW w:type="dxa" w:w="1152"/>
          </w:tcPr>
          <w:p>
            <w:r>
              <w:rPr>
                <w:sz w:val="17"/>
              </w:rPr>
            </w:r>
            <w:r>
              <w:rPr>
                <w:b w:val="0"/>
                <w:i w:val="0"/>
                <w:sz w:val="17"/>
              </w:rPr>
              <w:t>Immediate</w:t>
            </w:r>
          </w:p>
        </w:tc>
        <w:tc>
          <w:tcPr>
            <w:tcW w:type="dxa" w:w="1152"/>
          </w:tcPr>
          <w:p>
            <w:r>
              <w:rPr>
                <w:sz w:val="17"/>
              </w:rPr>
            </w:r>
            <w:r>
              <w:rPr>
                <w:b w:val="0"/>
                <w:i w:val="0"/>
                <w:sz w:val="17"/>
              </w:rPr>
              <w:t>CFO / Controller</w:t>
            </w:r>
          </w:p>
        </w:tc>
        <w:tc>
          <w:tcPr>
            <w:tcW w:type="dxa" w:w="2160"/>
          </w:tcPr>
          <w:p>
            <w:r>
              <w:rPr>
                <w:sz w:val="17"/>
              </w:rPr>
            </w:r>
            <w:r>
              <w:rPr>
                <w:b w:val="0"/>
                <w:i w:val="0"/>
                <w:sz w:val="17"/>
              </w:rPr>
              <w:t>2017–2018 data at risk under the 7-year schedule (Policy Cat. D)</w:t>
            </w:r>
          </w:p>
        </w:tc>
      </w:tr>
      <w:tr>
        <w:tc>
          <w:tcPr>
            <w:tcW w:type="dxa" w:w="648"/>
          </w:tcPr>
          <w:p>
            <w:r>
              <w:rPr>
                <w:sz w:val="17"/>
              </w:rPr>
            </w:r>
            <w:r>
              <w:rPr>
                <w:b w:val="0"/>
                <w:i w:val="0"/>
                <w:sz w:val="17"/>
              </w:rPr>
              <w:t>C9</w:t>
            </w:r>
          </w:p>
        </w:tc>
        <w:tc>
          <w:tcPr>
            <w:tcW w:type="dxa" w:w="3600"/>
          </w:tcPr>
          <w:p>
            <w:r>
              <w:rPr>
                <w:sz w:val="17"/>
              </w:rPr>
            </w:r>
            <w:r>
              <w:rPr>
                <w:b w:val="0"/>
                <w:i w:val="0"/>
                <w:sz w:val="17"/>
              </w:rPr>
              <w:t>Marketing: sales aids, reprints, promotional items, branded merchandise (physical Materials); PRC/MLR minutes and approvals; digital, social, web, search and email campaigns (Cats. 28–30)</w:t>
            </w:r>
          </w:p>
        </w:tc>
        <w:tc>
          <w:tcPr>
            <w:tcW w:type="dxa" w:w="1008"/>
          </w:tcPr>
          <w:p>
            <w:r>
              <w:rPr>
                <w:sz w:val="17"/>
              </w:rPr>
            </w:r>
            <w:r>
              <w:rPr>
                <w:b w:val="0"/>
                <w:i w:val="0"/>
                <w:sz w:val="17"/>
              </w:rPr>
              <w:t>¶28; Exh. B</w:t>
            </w:r>
          </w:p>
        </w:tc>
        <w:tc>
          <w:tcPr>
            <w:tcW w:type="dxa" w:w="1152"/>
          </w:tcPr>
          <w:p>
            <w:r>
              <w:rPr>
                <w:sz w:val="17"/>
              </w:rPr>
            </w:r>
            <w:r>
              <w:rPr>
                <w:b w:val="0"/>
                <w:i w:val="0"/>
                <w:sz w:val="17"/>
              </w:rPr>
              <w:t>Immediate</w:t>
            </w:r>
          </w:p>
        </w:tc>
        <w:tc>
          <w:tcPr>
            <w:tcW w:type="dxa" w:w="1152"/>
          </w:tcPr>
          <w:p>
            <w:r>
              <w:rPr>
                <w:sz w:val="17"/>
              </w:rPr>
            </w:r>
            <w:r>
              <w:rPr>
                <w:b w:val="0"/>
                <w:i w:val="0"/>
                <w:sz w:val="17"/>
              </w:rPr>
              <w:t>Marketing / MLR</w:t>
            </w:r>
          </w:p>
        </w:tc>
        <w:tc>
          <w:tcPr>
            <w:tcW w:type="dxa" w:w="2160"/>
          </w:tcPr>
          <w:p>
            <w:r>
              <w:rPr>
                <w:sz w:val="17"/>
              </w:rPr>
            </w:r>
            <w:r>
              <w:rPr>
                <w:b w:val="0"/>
                <w:i w:val="0"/>
                <w:sz w:val="17"/>
              </w:rPr>
              <w:t>Policy Cat. G 5-years-from-last-use. Suspend. Secure physical samples and merchandise</w:t>
            </w:r>
          </w:p>
        </w:tc>
      </w:tr>
      <w:tr>
        <w:tc>
          <w:tcPr>
            <w:tcW w:type="dxa" w:w="648"/>
          </w:tcPr>
          <w:p>
            <w:r>
              <w:rPr>
                <w:sz w:val="17"/>
              </w:rPr>
            </w:r>
            <w:r>
              <w:rPr>
                <w:b w:val="0"/>
                <w:i w:val="0"/>
                <w:sz w:val="17"/>
              </w:rPr>
              <w:t>C10</w:t>
            </w:r>
          </w:p>
        </w:tc>
        <w:tc>
          <w:tcPr>
            <w:tcW w:type="dxa" w:w="3600"/>
          </w:tcPr>
          <w:p>
            <w:r>
              <w:rPr>
                <w:sz w:val="17"/>
              </w:rPr>
            </w:r>
            <w:r>
              <w:rPr>
                <w:b w:val="0"/>
                <w:i w:val="0"/>
                <w:sz w:val="17"/>
              </w:rPr>
              <w:t xml:space="preserve">Government inquiry: all communications about any DOJ, HHS-OIG, FDA, state AG or other inquiry; outside counsel communications including </w:t>
            </w:r>
            <w:r>
              <w:rPr>
                <w:b/>
                <w:i w:val="0"/>
                <w:sz w:val="17"/>
              </w:rPr>
              <w:t>Linden &amp; Pruitt</w:t>
            </w:r>
            <w:r>
              <w:rPr>
                <w:b w:val="0"/>
                <w:i w:val="0"/>
                <w:sz w:val="17"/>
              </w:rPr>
              <w:t xml:space="preserve"> (Cats. 31–32)</w:t>
            </w:r>
          </w:p>
        </w:tc>
        <w:tc>
          <w:tcPr>
            <w:tcW w:type="dxa" w:w="1008"/>
          </w:tcPr>
          <w:p>
            <w:r>
              <w:rPr>
                <w:sz w:val="17"/>
              </w:rPr>
            </w:r>
            <w:r>
              <w:rPr>
                <w:b w:val="0"/>
                <w:i w:val="0"/>
                <w:sz w:val="17"/>
              </w:rPr>
              <w:t>¶29; Exh. B</w:t>
            </w:r>
          </w:p>
        </w:tc>
        <w:tc>
          <w:tcPr>
            <w:tcW w:type="dxa" w:w="1152"/>
          </w:tcPr>
          <w:p>
            <w:r>
              <w:rPr>
                <w:sz w:val="17"/>
              </w:rPr>
            </w:r>
            <w:r>
              <w:rPr>
                <w:b w:val="0"/>
                <w:i w:val="0"/>
                <w:sz w:val="17"/>
              </w:rPr>
              <w:t>Immediate</w:t>
            </w:r>
          </w:p>
        </w:tc>
        <w:tc>
          <w:tcPr>
            <w:tcW w:type="dxa" w:w="1152"/>
          </w:tcPr>
          <w:p>
            <w:r>
              <w:rPr>
                <w:sz w:val="17"/>
              </w:rPr>
            </w:r>
            <w:r>
              <w:rPr>
                <w:b w:val="0"/>
                <w:i w:val="0"/>
                <w:sz w:val="17"/>
              </w:rPr>
              <w:t>GC / HTM</w:t>
            </w:r>
          </w:p>
        </w:tc>
        <w:tc>
          <w:tcPr>
            <w:tcW w:type="dxa" w:w="2160"/>
          </w:tcPr>
          <w:p>
            <w:r>
              <w:rPr>
                <w:sz w:val="17"/>
              </w:rPr>
            </w:r>
            <w:r>
              <w:rPr>
                <w:b w:val="0"/>
                <w:i w:val="0"/>
                <w:sz w:val="17"/>
              </w:rPr>
              <w:t>Also covers lobbyist and government affairs communications (Cat. 32)</w:t>
            </w:r>
          </w:p>
        </w:tc>
      </w:tr>
      <w:tr>
        <w:tc>
          <w:tcPr>
            <w:tcW w:type="dxa" w:w="648"/>
          </w:tcPr>
          <w:p>
            <w:r>
              <w:rPr>
                <w:sz w:val="17"/>
              </w:rPr>
            </w:r>
            <w:r>
              <w:rPr>
                <w:b w:val="0"/>
                <w:i w:val="0"/>
                <w:sz w:val="17"/>
              </w:rPr>
              <w:t>C11</w:t>
            </w:r>
          </w:p>
        </w:tc>
        <w:tc>
          <w:tcPr>
            <w:tcW w:type="dxa" w:w="3600"/>
          </w:tcPr>
          <w:p>
            <w:r>
              <w:rPr>
                <w:sz w:val="17"/>
              </w:rPr>
            </w:r>
            <w:r>
              <w:rPr>
                <w:b w:val="0"/>
                <w:i w:val="0"/>
                <w:sz w:val="17"/>
              </w:rPr>
              <w:t xml:space="preserve">IT documentation: architecture, data maps, access controls, retention and purge configurations, </w:t>
            </w:r>
            <w:r>
              <w:rPr>
                <w:b/>
                <w:i w:val="0"/>
                <w:sz w:val="17"/>
              </w:rPr>
              <w:t>all migration and decommissioning documentation</w:t>
            </w:r>
            <w:r>
              <w:rPr>
                <w:b w:val="0"/>
                <w:i w:val="0"/>
                <w:sz w:val="17"/>
              </w:rPr>
              <w:t xml:space="preserve"> including the 2021 on-prem-to-cloud migration (Cats. 33–34)</w:t>
            </w:r>
          </w:p>
        </w:tc>
        <w:tc>
          <w:tcPr>
            <w:tcW w:type="dxa" w:w="1008"/>
          </w:tcPr>
          <w:p>
            <w:r>
              <w:rPr>
                <w:sz w:val="17"/>
              </w:rPr>
            </w:r>
            <w:r>
              <w:rPr>
                <w:b w:val="0"/>
                <w:i w:val="0"/>
                <w:sz w:val="17"/>
              </w:rPr>
              <w:t>¶30; Exh. B</w:t>
            </w:r>
          </w:p>
        </w:tc>
        <w:tc>
          <w:tcPr>
            <w:tcW w:type="dxa" w:w="1152"/>
          </w:tcPr>
          <w:p>
            <w:r>
              <w:rPr>
                <w:sz w:val="17"/>
              </w:rPr>
            </w:r>
            <w:r>
              <w:rPr>
                <w:b w:val="0"/>
                <w:i w:val="0"/>
                <w:sz w:val="17"/>
              </w:rPr>
              <w:t>Immediate</w:t>
            </w:r>
          </w:p>
        </w:tc>
        <w:tc>
          <w:tcPr>
            <w:tcW w:type="dxa" w:w="1152"/>
          </w:tcPr>
          <w:p>
            <w:r>
              <w:rPr>
                <w:sz w:val="17"/>
              </w:rPr>
            </w:r>
            <w:r>
              <w:rPr>
                <w:b w:val="0"/>
                <w:i w:val="0"/>
                <w:sz w:val="17"/>
              </w:rPr>
              <w:t>Wardlow</w:t>
            </w:r>
          </w:p>
        </w:tc>
        <w:tc>
          <w:tcPr>
            <w:tcW w:type="dxa" w:w="2160"/>
          </w:tcPr>
          <w:p>
            <w:r>
              <w:rPr>
                <w:sz w:val="17"/>
              </w:rPr>
            </w:r>
            <w:r>
              <w:rPr>
                <w:b w:val="0"/>
                <w:i w:val="0"/>
                <w:sz w:val="17"/>
              </w:rPr>
              <w:t>Wardlow reports Ashford agreement, incident report, $280K proposal, budget memos and Sentinel inventory preserved. Collect them to HTM</w:t>
            </w:r>
          </w:p>
        </w:tc>
      </w:tr>
    </w:tbl>
    <w:p/>
    <w:p>
      <w:pPr>
        <w:pStyle w:val="Heading2"/>
      </w:pPr>
      <w:r>
        <w:t>D. ESI Format and Email</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648"/>
            <w:shd w:val="clear" w:color="auto" w:fill="1F3A5F"/>
          </w:tcPr>
          <w:p>
            <w:r/>
            <w:r>
              <w:rPr>
                <w:b/>
                <w:color w:val="FFFFFF"/>
                <w:sz w:val="17"/>
              </w:rPr>
              <w:t>Ref</w:t>
            </w:r>
          </w:p>
        </w:tc>
        <w:tc>
          <w:tcPr>
            <w:tcW w:type="dxa" w:w="3600"/>
            <w:shd w:val="clear" w:color="auto" w:fill="1F3A5F"/>
          </w:tcPr>
          <w:p>
            <w:r/>
            <w:r>
              <w:rPr>
                <w:b/>
                <w:color w:val="FFFFFF"/>
                <w:sz w:val="17"/>
              </w:rPr>
              <w:t>Obligation</w:t>
            </w:r>
          </w:p>
        </w:tc>
        <w:tc>
          <w:tcPr>
            <w:tcW w:type="dxa" w:w="1008"/>
            <w:shd w:val="clear" w:color="auto" w:fill="1F3A5F"/>
          </w:tcPr>
          <w:p>
            <w:r/>
            <w:r>
              <w:rPr>
                <w:b/>
                <w:color w:val="FFFFFF"/>
                <w:sz w:val="17"/>
              </w:rPr>
              <w:t>Source</w:t>
            </w:r>
          </w:p>
        </w:tc>
        <w:tc>
          <w:tcPr>
            <w:tcW w:type="dxa" w:w="1152"/>
            <w:shd w:val="clear" w:color="auto" w:fill="1F3A5F"/>
          </w:tcPr>
          <w:p>
            <w:r/>
            <w:r>
              <w:rPr>
                <w:b/>
                <w:color w:val="FFFFFF"/>
                <w:sz w:val="17"/>
              </w:rPr>
              <w:t>Deadline</w:t>
            </w:r>
          </w:p>
        </w:tc>
        <w:tc>
          <w:tcPr>
            <w:tcW w:type="dxa" w:w="1152"/>
            <w:shd w:val="clear" w:color="auto" w:fill="1F3A5F"/>
          </w:tcPr>
          <w:p>
            <w:r/>
            <w:r>
              <w:rPr>
                <w:b/>
                <w:color w:val="FFFFFF"/>
                <w:sz w:val="17"/>
              </w:rPr>
              <w:t>Owner</w:t>
            </w:r>
          </w:p>
        </w:tc>
        <w:tc>
          <w:tcPr>
            <w:tcW w:type="dxa" w:w="2160"/>
            <w:shd w:val="clear" w:color="auto" w:fill="1F3A5F"/>
          </w:tcPr>
          <w:p>
            <w:r/>
            <w:r>
              <w:rPr>
                <w:b/>
                <w:color w:val="FFFFFF"/>
                <w:sz w:val="17"/>
              </w:rPr>
              <w:t>Status / gap</w:t>
            </w:r>
          </w:p>
        </w:tc>
      </w:tr>
      <w:tr>
        <w:tc>
          <w:tcPr>
            <w:tcW w:type="dxa" w:w="648"/>
          </w:tcPr>
          <w:p>
            <w:r>
              <w:rPr>
                <w:sz w:val="17"/>
              </w:rPr>
            </w:r>
            <w:r>
              <w:rPr>
                <w:b w:val="0"/>
                <w:i w:val="0"/>
                <w:sz w:val="17"/>
              </w:rPr>
              <w:t>D1</w:t>
            </w:r>
          </w:p>
        </w:tc>
        <w:tc>
          <w:tcPr>
            <w:tcW w:type="dxa" w:w="3600"/>
          </w:tcPr>
          <w:p>
            <w:r>
              <w:rPr>
                <w:sz w:val="17"/>
              </w:rPr>
            </w:r>
            <w:r>
              <w:rPr>
                <w:b w:val="0"/>
                <w:i w:val="0"/>
                <w:sz w:val="17"/>
              </w:rPr>
              <w:t>Preserve all ESI natively with metadata intact. No printing, PDF, CSV export or screenshots as a substitute. Keep all versions and locations. No action that alters metadata</w:t>
            </w:r>
          </w:p>
        </w:tc>
        <w:tc>
          <w:tcPr>
            <w:tcW w:type="dxa" w:w="1008"/>
          </w:tcPr>
          <w:p>
            <w:r>
              <w:rPr>
                <w:sz w:val="17"/>
              </w:rPr>
            </w:r>
            <w:r>
              <w:rPr>
                <w:b w:val="0"/>
                <w:i w:val="0"/>
                <w:sz w:val="17"/>
              </w:rPr>
              <w:t>¶35</w:t>
            </w:r>
          </w:p>
        </w:tc>
        <w:tc>
          <w:tcPr>
            <w:tcW w:type="dxa" w:w="1152"/>
          </w:tcPr>
          <w:p>
            <w:r>
              <w:rPr>
                <w:sz w:val="17"/>
              </w:rPr>
            </w:r>
            <w:r>
              <w:rPr>
                <w:b w:val="0"/>
                <w:i w:val="0"/>
                <w:sz w:val="17"/>
              </w:rPr>
              <w:t>Immediate</w:t>
            </w:r>
          </w:p>
        </w:tc>
        <w:tc>
          <w:tcPr>
            <w:tcW w:type="dxa" w:w="1152"/>
          </w:tcPr>
          <w:p>
            <w:r>
              <w:rPr>
                <w:sz w:val="17"/>
              </w:rPr>
            </w:r>
            <w:r>
              <w:rPr>
                <w:b w:val="0"/>
                <w:i w:val="0"/>
                <w:sz w:val="17"/>
              </w:rPr>
              <w:t>IT / Greenwell</w:t>
            </w:r>
          </w:p>
        </w:tc>
        <w:tc>
          <w:tcPr>
            <w:tcW w:type="dxa" w:w="2160"/>
          </w:tcPr>
          <w:p>
            <w:r>
              <w:rPr>
                <w:sz w:val="17"/>
              </w:rPr>
            </w:r>
            <w:r>
              <w:rPr>
                <w:b w:val="0"/>
                <w:i w:val="0"/>
                <w:sz w:val="17"/>
              </w:rPr>
              <w:t>Warn custodians against "self-collection" (forwarding and moving files changes metadata)</w:t>
            </w:r>
          </w:p>
        </w:tc>
      </w:tr>
      <w:tr>
        <w:tc>
          <w:tcPr>
            <w:tcW w:type="dxa" w:w="648"/>
          </w:tcPr>
          <w:p>
            <w:r>
              <w:rPr>
                <w:sz w:val="17"/>
              </w:rPr>
            </w:r>
            <w:r>
              <w:rPr>
                <w:b w:val="0"/>
                <w:i w:val="0"/>
                <w:sz w:val="17"/>
              </w:rPr>
              <w:t>D2</w:t>
            </w:r>
          </w:p>
        </w:tc>
        <w:tc>
          <w:tcPr>
            <w:tcW w:type="dxa" w:w="3600"/>
          </w:tcPr>
          <w:p>
            <w:r>
              <w:rPr>
                <w:sz w:val="17"/>
              </w:rPr>
            </w:r>
            <w:r>
              <w:rPr>
                <w:b w:val="0"/>
                <w:i w:val="0"/>
                <w:sz w:val="17"/>
              </w:rPr>
              <w:t>Email of all 23 custodians: sent, received, drafts, deleted, archived; Exchange and M365 and any platform used in the Relevant Period; Recoverable Items/Purges must not be purged; archive and journal mailboxes kept; personal webmail preserved</w:t>
            </w:r>
          </w:p>
        </w:tc>
        <w:tc>
          <w:tcPr>
            <w:tcW w:type="dxa" w:w="1008"/>
          </w:tcPr>
          <w:p>
            <w:r>
              <w:rPr>
                <w:sz w:val="17"/>
              </w:rPr>
            </w:r>
            <w:r>
              <w:rPr>
                <w:b w:val="0"/>
                <w:i w:val="0"/>
                <w:sz w:val="17"/>
              </w:rPr>
              <w:t>¶36</w:t>
            </w:r>
          </w:p>
        </w:tc>
        <w:tc>
          <w:tcPr>
            <w:tcW w:type="dxa" w:w="1152"/>
          </w:tcPr>
          <w:p>
            <w:r>
              <w:rPr>
                <w:sz w:val="17"/>
              </w:rPr>
            </w:r>
            <w:r>
              <w:rPr>
                <w:b w:val="0"/>
                <w:i w:val="0"/>
                <w:sz w:val="17"/>
              </w:rPr>
              <w:t>Immediate</w:t>
            </w:r>
          </w:p>
        </w:tc>
        <w:tc>
          <w:tcPr>
            <w:tcW w:type="dxa" w:w="1152"/>
          </w:tcPr>
          <w:p>
            <w:r>
              <w:rPr>
                <w:sz w:val="17"/>
              </w:rPr>
            </w:r>
            <w:r>
              <w:rPr>
                <w:b w:val="0"/>
                <w:i w:val="0"/>
                <w:sz w:val="17"/>
              </w:rPr>
              <w:t>IT</w:t>
            </w:r>
          </w:p>
        </w:tc>
        <w:tc>
          <w:tcPr>
            <w:tcW w:type="dxa" w:w="2160"/>
            <w:shd w:val="clear" w:color="auto" w:fill="F8D7DA"/>
          </w:tcPr>
          <w:p>
            <w:r>
              <w:rPr>
                <w:sz w:val="17"/>
              </w:rPr>
            </w:r>
            <w:r>
              <w:rPr>
                <w:b w:val="0"/>
                <w:i w:val="0"/>
                <w:sz w:val="17"/>
              </w:rPr>
            </w:r>
            <w:r>
              <w:rPr>
                <w:b/>
                <w:i w:val="0"/>
                <w:sz w:val="17"/>
              </w:rPr>
              <w:t>CRITICAL — M365 holds not in place.</w:t>
            </w:r>
            <w:r>
              <w:rPr>
                <w:b w:val="0"/>
                <w:i w:val="0"/>
                <w:sz w:val="17"/>
              </w:rPr>
              <w:t xml:space="preserve"> 30-day Recoverable Items purge (Policy §4.1) still running. Legacy Exchange covered; see VIII.C</w:t>
            </w:r>
          </w:p>
        </w:tc>
      </w:tr>
    </w:tbl>
    <w:p/>
    <w:p>
      <w:pPr>
        <w:pStyle w:val="Heading2"/>
      </w:pPr>
      <w:r>
        <w:t>E. Messaging, Enterprise Apps, Cloud</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648"/>
            <w:shd w:val="clear" w:color="auto" w:fill="1F3A5F"/>
          </w:tcPr>
          <w:p>
            <w:r/>
            <w:r>
              <w:rPr>
                <w:b/>
                <w:color w:val="FFFFFF"/>
                <w:sz w:val="17"/>
              </w:rPr>
              <w:t>Ref</w:t>
            </w:r>
          </w:p>
        </w:tc>
        <w:tc>
          <w:tcPr>
            <w:tcW w:type="dxa" w:w="3600"/>
            <w:shd w:val="clear" w:color="auto" w:fill="1F3A5F"/>
          </w:tcPr>
          <w:p>
            <w:r/>
            <w:r>
              <w:rPr>
                <w:b/>
                <w:color w:val="FFFFFF"/>
                <w:sz w:val="17"/>
              </w:rPr>
              <w:t>Obligation</w:t>
            </w:r>
          </w:p>
        </w:tc>
        <w:tc>
          <w:tcPr>
            <w:tcW w:type="dxa" w:w="1008"/>
            <w:shd w:val="clear" w:color="auto" w:fill="1F3A5F"/>
          </w:tcPr>
          <w:p>
            <w:r/>
            <w:r>
              <w:rPr>
                <w:b/>
                <w:color w:val="FFFFFF"/>
                <w:sz w:val="17"/>
              </w:rPr>
              <w:t>Source</w:t>
            </w:r>
          </w:p>
        </w:tc>
        <w:tc>
          <w:tcPr>
            <w:tcW w:type="dxa" w:w="1152"/>
            <w:shd w:val="clear" w:color="auto" w:fill="1F3A5F"/>
          </w:tcPr>
          <w:p>
            <w:r/>
            <w:r>
              <w:rPr>
                <w:b/>
                <w:color w:val="FFFFFF"/>
                <w:sz w:val="17"/>
              </w:rPr>
              <w:t>Deadline</w:t>
            </w:r>
          </w:p>
        </w:tc>
        <w:tc>
          <w:tcPr>
            <w:tcW w:type="dxa" w:w="1152"/>
            <w:shd w:val="clear" w:color="auto" w:fill="1F3A5F"/>
          </w:tcPr>
          <w:p>
            <w:r/>
            <w:r>
              <w:rPr>
                <w:b/>
                <w:color w:val="FFFFFF"/>
                <w:sz w:val="17"/>
              </w:rPr>
              <w:t>Owner</w:t>
            </w:r>
          </w:p>
        </w:tc>
        <w:tc>
          <w:tcPr>
            <w:tcW w:type="dxa" w:w="2160"/>
            <w:shd w:val="clear" w:color="auto" w:fill="1F3A5F"/>
          </w:tcPr>
          <w:p>
            <w:r/>
            <w:r>
              <w:rPr>
                <w:b/>
                <w:color w:val="FFFFFF"/>
                <w:sz w:val="17"/>
              </w:rPr>
              <w:t>Status / gap</w:t>
            </w:r>
          </w:p>
        </w:tc>
      </w:tr>
      <w:tr>
        <w:tc>
          <w:tcPr>
            <w:tcW w:type="dxa" w:w="648"/>
          </w:tcPr>
          <w:p>
            <w:r>
              <w:rPr>
                <w:sz w:val="17"/>
              </w:rPr>
            </w:r>
            <w:r>
              <w:rPr>
                <w:b w:val="0"/>
                <w:i w:val="0"/>
                <w:sz w:val="17"/>
              </w:rPr>
              <w:t>E1</w:t>
            </w:r>
          </w:p>
        </w:tc>
        <w:tc>
          <w:tcPr>
            <w:tcW w:type="dxa" w:w="3600"/>
          </w:tcPr>
          <w:p>
            <w:r>
              <w:rPr>
                <w:sz w:val="17"/>
              </w:rPr>
            </w:r>
            <w:r>
              <w:rPr>
                <w:b w:val="0"/>
                <w:i w:val="0"/>
                <w:sz w:val="17"/>
              </w:rPr>
              <w:t xml:space="preserve">Preserve Slack (all channels, DMs, threads) and Teams (chats, channels, meeting chats, recordings). Set retention to </w:t>
            </w:r>
            <w:r>
              <w:rPr>
                <w:b/>
                <w:i w:val="0"/>
                <w:sz w:val="17"/>
              </w:rPr>
              <w:t>indefinite</w:t>
            </w:r>
            <w:r>
              <w:rPr>
                <w:b w:val="0"/>
                <w:i w:val="0"/>
                <w:sz w:val="17"/>
              </w:rPr>
              <w:t>. No auto-deletion</w:t>
            </w:r>
          </w:p>
        </w:tc>
        <w:tc>
          <w:tcPr>
            <w:tcW w:type="dxa" w:w="1008"/>
          </w:tcPr>
          <w:p>
            <w:r>
              <w:rPr>
                <w:sz w:val="17"/>
              </w:rPr>
            </w:r>
            <w:r>
              <w:rPr>
                <w:b w:val="0"/>
                <w:i w:val="0"/>
                <w:sz w:val="17"/>
              </w:rPr>
              <w:t>¶37</w:t>
            </w:r>
          </w:p>
        </w:tc>
        <w:tc>
          <w:tcPr>
            <w:tcW w:type="dxa" w:w="1152"/>
          </w:tcPr>
          <w:p>
            <w:r>
              <w:rPr>
                <w:sz w:val="17"/>
              </w:rPr>
            </w:r>
            <w:r>
              <w:rPr>
                <w:b w:val="0"/>
                <w:i w:val="0"/>
                <w:sz w:val="17"/>
              </w:rPr>
              <w:t>Immediate</w:t>
            </w:r>
          </w:p>
        </w:tc>
        <w:tc>
          <w:tcPr>
            <w:tcW w:type="dxa" w:w="1152"/>
          </w:tcPr>
          <w:p>
            <w:r>
              <w:rPr>
                <w:sz w:val="17"/>
              </w:rPr>
            </w:r>
            <w:r>
              <w:rPr>
                <w:b w:val="0"/>
                <w:i w:val="0"/>
                <w:sz w:val="17"/>
              </w:rPr>
              <w:t>IT</w:t>
            </w:r>
          </w:p>
        </w:tc>
        <w:tc>
          <w:tcPr>
            <w:tcW w:type="dxa" w:w="2160"/>
          </w:tcPr>
          <w:p>
            <w:r>
              <w:rPr>
                <w:sz w:val="17"/>
              </w:rPr>
            </w:r>
            <w:r>
              <w:rPr>
                <w:b w:val="0"/>
                <w:i w:val="0"/>
                <w:sz w:val="17"/>
              </w:rPr>
              <w:t>Policy Cat. T 1-year deletion; Slack project-channel archiving after 90 days; Stream recordings 1 year. Change settings on the Enterprise Grid org and the Teams tenant</w:t>
            </w:r>
          </w:p>
        </w:tc>
      </w:tr>
      <w:tr>
        <w:tc>
          <w:tcPr>
            <w:tcW w:type="dxa" w:w="648"/>
          </w:tcPr>
          <w:p>
            <w:r>
              <w:rPr>
                <w:sz w:val="17"/>
              </w:rPr>
            </w:r>
            <w:r>
              <w:rPr>
                <w:b w:val="0"/>
                <w:i w:val="0"/>
                <w:sz w:val="17"/>
              </w:rPr>
              <w:t>E2</w:t>
            </w:r>
          </w:p>
        </w:tc>
        <w:tc>
          <w:tcPr>
            <w:tcW w:type="dxa" w:w="3600"/>
          </w:tcPr>
          <w:p>
            <w:r>
              <w:rPr>
                <w:sz w:val="17"/>
              </w:rPr>
            </w:r>
            <w:r>
              <w:rPr>
                <w:b w:val="0"/>
                <w:i w:val="0"/>
                <w:sz w:val="17"/>
              </w:rPr>
              <w:t>Preserve Salesforce CRM, Veeva Vault/CRM, SAP ERP and Concur in full, including audit trails. No deletion, archiving or loss of access</w:t>
            </w:r>
          </w:p>
        </w:tc>
        <w:tc>
          <w:tcPr>
            <w:tcW w:type="dxa" w:w="1008"/>
          </w:tcPr>
          <w:p>
            <w:r>
              <w:rPr>
                <w:sz w:val="17"/>
              </w:rPr>
            </w:r>
            <w:r>
              <w:rPr>
                <w:b w:val="0"/>
                <w:i w:val="0"/>
                <w:sz w:val="17"/>
              </w:rPr>
              <w:t>¶38</w:t>
            </w:r>
          </w:p>
        </w:tc>
        <w:tc>
          <w:tcPr>
            <w:tcW w:type="dxa" w:w="1152"/>
          </w:tcPr>
          <w:p>
            <w:r>
              <w:rPr>
                <w:sz w:val="17"/>
              </w:rPr>
            </w:r>
            <w:r>
              <w:rPr>
                <w:b w:val="0"/>
                <w:i w:val="0"/>
                <w:sz w:val="17"/>
              </w:rPr>
              <w:t>Immediate</w:t>
            </w:r>
          </w:p>
        </w:tc>
        <w:tc>
          <w:tcPr>
            <w:tcW w:type="dxa" w:w="1152"/>
          </w:tcPr>
          <w:p>
            <w:r>
              <w:rPr>
                <w:sz w:val="17"/>
              </w:rPr>
            </w:r>
            <w:r>
              <w:rPr>
                <w:b w:val="0"/>
                <w:i w:val="0"/>
                <w:sz w:val="17"/>
              </w:rPr>
              <w:t>IT / business owners</w:t>
            </w:r>
          </w:p>
        </w:tc>
        <w:tc>
          <w:tcPr>
            <w:tcW w:type="dxa" w:w="2160"/>
          </w:tcPr>
          <w:p>
            <w:r>
              <w:rPr>
                <w:sz w:val="17"/>
              </w:rPr>
            </w:r>
            <w:r>
              <w:rPr>
                <w:b w:val="0"/>
                <w:i w:val="0"/>
                <w:sz w:val="17"/>
              </w:rPr>
              <w:t>Policy Cat. F 2-year purge configured in Veeva/Salesforce (§4.4). Disable it. Confirm whether Salesforce source data survives behind the destroyed "exports"</w:t>
            </w:r>
          </w:p>
        </w:tc>
      </w:tr>
      <w:tr>
        <w:tc>
          <w:tcPr>
            <w:tcW w:type="dxa" w:w="648"/>
          </w:tcPr>
          <w:p>
            <w:r>
              <w:rPr>
                <w:sz w:val="17"/>
              </w:rPr>
            </w:r>
            <w:r>
              <w:rPr>
                <w:b w:val="0"/>
                <w:i w:val="0"/>
                <w:sz w:val="17"/>
              </w:rPr>
              <w:t>E3</w:t>
            </w:r>
          </w:p>
        </w:tc>
        <w:tc>
          <w:tcPr>
            <w:tcW w:type="dxa" w:w="3600"/>
          </w:tcPr>
          <w:p>
            <w:r>
              <w:rPr>
                <w:sz w:val="17"/>
              </w:rPr>
            </w:r>
            <w:r>
              <w:rPr>
                <w:b w:val="0"/>
                <w:i w:val="0"/>
                <w:sz w:val="17"/>
              </w:rPr>
              <w:t>SharePoint (online and on-prem) and OneDrive: keep full version histories; no version-limit reduction; suspend disposition rules</w:t>
            </w:r>
          </w:p>
        </w:tc>
        <w:tc>
          <w:tcPr>
            <w:tcW w:type="dxa" w:w="1008"/>
          </w:tcPr>
          <w:p>
            <w:r>
              <w:rPr>
                <w:sz w:val="17"/>
              </w:rPr>
            </w:r>
            <w:r>
              <w:rPr>
                <w:b w:val="0"/>
                <w:i w:val="0"/>
                <w:sz w:val="17"/>
              </w:rPr>
              <w:t>¶39</w:t>
            </w:r>
          </w:p>
        </w:tc>
        <w:tc>
          <w:tcPr>
            <w:tcW w:type="dxa" w:w="1152"/>
          </w:tcPr>
          <w:p>
            <w:r>
              <w:rPr>
                <w:sz w:val="17"/>
              </w:rPr>
            </w:r>
            <w:r>
              <w:rPr>
                <w:b w:val="0"/>
                <w:i w:val="0"/>
                <w:sz w:val="17"/>
              </w:rPr>
              <w:t>Immediate</w:t>
            </w:r>
          </w:p>
        </w:tc>
        <w:tc>
          <w:tcPr>
            <w:tcW w:type="dxa" w:w="1152"/>
          </w:tcPr>
          <w:p>
            <w:r>
              <w:rPr>
                <w:sz w:val="17"/>
              </w:rPr>
            </w:r>
            <w:r>
              <w:rPr>
                <w:b w:val="0"/>
                <w:i w:val="0"/>
                <w:sz w:val="17"/>
              </w:rPr>
              <w:t>IT</w:t>
            </w:r>
          </w:p>
        </w:tc>
        <w:tc>
          <w:tcPr>
            <w:tcW w:type="dxa" w:w="2160"/>
          </w:tcPr>
          <w:p>
            <w:r>
              <w:rPr>
                <w:sz w:val="17"/>
              </w:rPr>
            </w:r>
            <w:r>
              <w:rPr>
                <w:b w:val="0"/>
                <w:i w:val="0"/>
                <w:sz w:val="17"/>
              </w:rPr>
              <w:t>Apply M365 retention holds; check version-limit settings</w:t>
            </w:r>
          </w:p>
        </w:tc>
      </w:tr>
    </w:tbl>
    <w:p/>
    <w:p>
      <w:pPr>
        <w:pStyle w:val="Heading2"/>
      </w:pPr>
      <w:r>
        <w:t>F. Mobile Devices</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648"/>
            <w:shd w:val="clear" w:color="auto" w:fill="1F3A5F"/>
          </w:tcPr>
          <w:p>
            <w:r/>
            <w:r>
              <w:rPr>
                <w:b/>
                <w:color w:val="FFFFFF"/>
                <w:sz w:val="17"/>
              </w:rPr>
              <w:t>Ref</w:t>
            </w:r>
          </w:p>
        </w:tc>
        <w:tc>
          <w:tcPr>
            <w:tcW w:type="dxa" w:w="3600"/>
            <w:shd w:val="clear" w:color="auto" w:fill="1F3A5F"/>
          </w:tcPr>
          <w:p>
            <w:r/>
            <w:r>
              <w:rPr>
                <w:b/>
                <w:color w:val="FFFFFF"/>
                <w:sz w:val="17"/>
              </w:rPr>
              <w:t>Obligation</w:t>
            </w:r>
          </w:p>
        </w:tc>
        <w:tc>
          <w:tcPr>
            <w:tcW w:type="dxa" w:w="1008"/>
            <w:shd w:val="clear" w:color="auto" w:fill="1F3A5F"/>
          </w:tcPr>
          <w:p>
            <w:r/>
            <w:r>
              <w:rPr>
                <w:b/>
                <w:color w:val="FFFFFF"/>
                <w:sz w:val="17"/>
              </w:rPr>
              <w:t>Source</w:t>
            </w:r>
          </w:p>
        </w:tc>
        <w:tc>
          <w:tcPr>
            <w:tcW w:type="dxa" w:w="1152"/>
            <w:shd w:val="clear" w:color="auto" w:fill="1F3A5F"/>
          </w:tcPr>
          <w:p>
            <w:r/>
            <w:r>
              <w:rPr>
                <w:b/>
                <w:color w:val="FFFFFF"/>
                <w:sz w:val="17"/>
              </w:rPr>
              <w:t>Deadline</w:t>
            </w:r>
          </w:p>
        </w:tc>
        <w:tc>
          <w:tcPr>
            <w:tcW w:type="dxa" w:w="1152"/>
            <w:shd w:val="clear" w:color="auto" w:fill="1F3A5F"/>
          </w:tcPr>
          <w:p>
            <w:r/>
            <w:r>
              <w:rPr>
                <w:b/>
                <w:color w:val="FFFFFF"/>
                <w:sz w:val="17"/>
              </w:rPr>
              <w:t>Owner</w:t>
            </w:r>
          </w:p>
        </w:tc>
        <w:tc>
          <w:tcPr>
            <w:tcW w:type="dxa" w:w="2160"/>
            <w:shd w:val="clear" w:color="auto" w:fill="1F3A5F"/>
          </w:tcPr>
          <w:p>
            <w:r/>
            <w:r>
              <w:rPr>
                <w:b/>
                <w:color w:val="FFFFFF"/>
                <w:sz w:val="17"/>
              </w:rPr>
              <w:t>Status / gap</w:t>
            </w:r>
          </w:p>
        </w:tc>
      </w:tr>
      <w:tr>
        <w:tc>
          <w:tcPr>
            <w:tcW w:type="dxa" w:w="648"/>
          </w:tcPr>
          <w:p>
            <w:r>
              <w:rPr>
                <w:sz w:val="17"/>
              </w:rPr>
            </w:r>
            <w:r>
              <w:rPr>
                <w:b w:val="0"/>
                <w:i w:val="0"/>
                <w:sz w:val="17"/>
              </w:rPr>
              <w:t>F1</w:t>
            </w:r>
          </w:p>
        </w:tc>
        <w:tc>
          <w:tcPr>
            <w:tcW w:type="dxa" w:w="3600"/>
          </w:tcPr>
          <w:p>
            <w:r>
              <w:rPr>
                <w:sz w:val="17"/>
              </w:rPr>
            </w:r>
            <w:r>
              <w:rPr>
                <w:b w:val="0"/>
                <w:i w:val="0"/>
                <w:sz w:val="17"/>
              </w:rPr>
              <w:t xml:space="preserve">Full physical forensic image (bit-for-bit; deleted data, app data, iMessage, WhatsApp, Signal, Telegram, location, browser) of </w:t>
            </w:r>
            <w:r>
              <w:rPr>
                <w:b/>
                <w:i w:val="0"/>
                <w:sz w:val="17"/>
              </w:rPr>
              <w:t>all personal and company devices of all 23 custodians</w:t>
            </w:r>
            <w:r>
              <w:rPr>
                <w:b w:val="0"/>
                <w:i w:val="0"/>
                <w:sz w:val="17"/>
              </w:rPr>
              <w:t>; logical extraction is not enough</w:t>
            </w:r>
          </w:p>
        </w:tc>
        <w:tc>
          <w:tcPr>
            <w:tcW w:type="dxa" w:w="1008"/>
          </w:tcPr>
          <w:p>
            <w:r>
              <w:rPr>
                <w:sz w:val="17"/>
              </w:rPr>
            </w:r>
            <w:r>
              <w:rPr>
                <w:b w:val="0"/>
                <w:i w:val="0"/>
                <w:sz w:val="17"/>
              </w:rPr>
              <w:t>¶¶17, 40</w:t>
            </w:r>
          </w:p>
        </w:tc>
        <w:tc>
          <w:tcPr>
            <w:tcW w:type="dxa" w:w="1152"/>
          </w:tcPr>
          <w:p>
            <w:r>
              <w:rPr>
                <w:sz w:val="17"/>
              </w:rPr>
            </w:r>
            <w:r>
              <w:rPr>
                <w:b w:val="0"/>
                <w:i w:val="0"/>
                <w:sz w:val="17"/>
              </w:rPr>
            </w:r>
            <w:r>
              <w:rPr>
                <w:b/>
                <w:i w:val="0"/>
                <w:sz w:val="17"/>
              </w:rPr>
              <w:t>Mar. 24</w:t>
            </w:r>
            <w:r>
              <w:rPr>
                <w:b w:val="0"/>
                <w:i w:val="0"/>
                <w:sz w:val="17"/>
              </w:rPr>
            </w:r>
          </w:p>
        </w:tc>
        <w:tc>
          <w:tcPr>
            <w:tcW w:type="dxa" w:w="1152"/>
          </w:tcPr>
          <w:p>
            <w:r>
              <w:rPr>
                <w:sz w:val="17"/>
              </w:rPr>
            </w:r>
            <w:r>
              <w:rPr>
                <w:b w:val="0"/>
                <w:i w:val="0"/>
                <w:sz w:val="17"/>
              </w:rPr>
              <w:t>HTM / Greenwell</w:t>
            </w:r>
          </w:p>
        </w:tc>
        <w:tc>
          <w:tcPr>
            <w:tcW w:type="dxa" w:w="2160"/>
          </w:tcPr>
          <w:p>
            <w:r>
              <w:rPr>
                <w:sz w:val="17"/>
              </w:rPr>
            </w:r>
            <w:r>
              <w:rPr>
                <w:b w:val="0"/>
                <w:i w:val="0"/>
                <w:sz w:val="17"/>
              </w:rPr>
              <w:t>Includes 5 external HCPs and BYOD. Policy §4.5 requires consent or a court order; see VIII.E</w:t>
            </w:r>
          </w:p>
        </w:tc>
      </w:tr>
      <w:tr>
        <w:tc>
          <w:tcPr>
            <w:tcW w:type="dxa" w:w="648"/>
          </w:tcPr>
          <w:p>
            <w:r>
              <w:rPr>
                <w:sz w:val="17"/>
              </w:rPr>
            </w:r>
            <w:r>
              <w:rPr>
                <w:b w:val="0"/>
                <w:i w:val="0"/>
                <w:sz w:val="17"/>
              </w:rPr>
              <w:t>F2</w:t>
            </w:r>
          </w:p>
        </w:tc>
        <w:tc>
          <w:tcPr>
            <w:tcW w:type="dxa" w:w="3600"/>
          </w:tcPr>
          <w:p>
            <w:r>
              <w:rPr>
                <w:sz w:val="17"/>
              </w:rPr>
            </w:r>
            <w:r>
              <w:rPr>
                <w:b w:val="0"/>
                <w:i w:val="0"/>
                <w:sz w:val="17"/>
              </w:rPr>
              <w:t>Use a qualified examiner and industry tools (Cellebrite UFED, GrayKey, Magnet AXIOM)</w:t>
            </w:r>
          </w:p>
        </w:tc>
        <w:tc>
          <w:tcPr>
            <w:tcW w:type="dxa" w:w="1008"/>
          </w:tcPr>
          <w:p>
            <w:r>
              <w:rPr>
                <w:sz w:val="17"/>
              </w:rPr>
            </w:r>
            <w:r>
              <w:rPr>
                <w:b w:val="0"/>
                <w:i w:val="0"/>
                <w:sz w:val="17"/>
              </w:rPr>
              <w:t>¶40</w:t>
            </w:r>
          </w:p>
        </w:tc>
        <w:tc>
          <w:tcPr>
            <w:tcW w:type="dxa" w:w="1152"/>
          </w:tcPr>
          <w:p>
            <w:r>
              <w:rPr>
                <w:sz w:val="17"/>
              </w:rPr>
            </w:r>
            <w:r>
              <w:rPr>
                <w:b w:val="0"/>
                <w:i w:val="0"/>
                <w:sz w:val="17"/>
              </w:rPr>
              <w:t>Mar. 24</w:t>
            </w:r>
          </w:p>
        </w:tc>
        <w:tc>
          <w:tcPr>
            <w:tcW w:type="dxa" w:w="1152"/>
          </w:tcPr>
          <w:p>
            <w:r>
              <w:rPr>
                <w:sz w:val="17"/>
              </w:rPr>
            </w:r>
            <w:r>
              <w:rPr>
                <w:b w:val="0"/>
                <w:i w:val="0"/>
                <w:sz w:val="17"/>
              </w:rPr>
              <w:t>Greenwell</w:t>
            </w:r>
          </w:p>
        </w:tc>
        <w:tc>
          <w:tcPr>
            <w:tcW w:type="dxa" w:w="2160"/>
          </w:tcPr>
          <w:p>
            <w:r>
              <w:rPr>
                <w:sz w:val="17"/>
              </w:rPr>
            </w:r>
            <w:r>
              <w:rPr>
                <w:b w:val="0"/>
                <w:i w:val="0"/>
                <w:sz w:val="17"/>
              </w:rPr>
              <w:t>Confirm capacity: roughly 18 employees × 1–3 devices in 7+ cities</w:t>
            </w:r>
          </w:p>
        </w:tc>
      </w:tr>
      <w:tr>
        <w:tc>
          <w:tcPr>
            <w:tcW w:type="dxa" w:w="648"/>
          </w:tcPr>
          <w:p>
            <w:r>
              <w:rPr>
                <w:sz w:val="17"/>
              </w:rPr>
            </w:r>
            <w:r>
              <w:rPr>
                <w:b w:val="0"/>
                <w:i w:val="0"/>
                <w:sz w:val="17"/>
              </w:rPr>
              <w:t>F3</w:t>
            </w:r>
          </w:p>
        </w:tc>
        <w:tc>
          <w:tcPr>
            <w:tcW w:type="dxa" w:w="3600"/>
          </w:tcPr>
          <w:p>
            <w:r>
              <w:rPr>
                <w:sz w:val="17"/>
              </w:rPr>
            </w:r>
            <w:r>
              <w:rPr>
                <w:b w:val="0"/>
                <w:i w:val="0"/>
                <w:sz w:val="17"/>
              </w:rPr>
              <w:t>Chain-of-custody log per device: date, time, make/model, serial/IMEI, custodian, examiner</w:t>
            </w:r>
          </w:p>
        </w:tc>
        <w:tc>
          <w:tcPr>
            <w:tcW w:type="dxa" w:w="1008"/>
          </w:tcPr>
          <w:p>
            <w:r>
              <w:rPr>
                <w:sz w:val="17"/>
              </w:rPr>
            </w:r>
            <w:r>
              <w:rPr>
                <w:b w:val="0"/>
                <w:i w:val="0"/>
                <w:sz w:val="17"/>
              </w:rPr>
              <w:t>¶40</w:t>
            </w:r>
          </w:p>
        </w:tc>
        <w:tc>
          <w:tcPr>
            <w:tcW w:type="dxa" w:w="1152"/>
          </w:tcPr>
          <w:p>
            <w:r>
              <w:rPr>
                <w:sz w:val="17"/>
              </w:rPr>
            </w:r>
            <w:r>
              <w:rPr>
                <w:b w:val="0"/>
                <w:i w:val="0"/>
                <w:sz w:val="17"/>
              </w:rPr>
              <w:t>Per device</w:t>
            </w:r>
          </w:p>
        </w:tc>
        <w:tc>
          <w:tcPr>
            <w:tcW w:type="dxa" w:w="1152"/>
          </w:tcPr>
          <w:p>
            <w:r>
              <w:rPr>
                <w:sz w:val="17"/>
              </w:rPr>
            </w:r>
            <w:r>
              <w:rPr>
                <w:b w:val="0"/>
                <w:i w:val="0"/>
                <w:sz w:val="17"/>
              </w:rPr>
              <w:t>Greenwell</w:t>
            </w:r>
          </w:p>
        </w:tc>
        <w:tc>
          <w:tcPr>
            <w:tcW w:type="dxa" w:w="2160"/>
          </w:tcPr>
          <w:p>
            <w:r>
              <w:rPr>
                <w:sz w:val="17"/>
              </w:rPr>
            </w:r>
            <w:r>
              <w:rPr>
                <w:b w:val="0"/>
                <w:i w:val="0"/>
                <w:sz w:val="17"/>
              </w:rPr>
              <w:t>Template needed</w:t>
            </w:r>
          </w:p>
        </w:tc>
      </w:tr>
      <w:tr>
        <w:tc>
          <w:tcPr>
            <w:tcW w:type="dxa" w:w="648"/>
          </w:tcPr>
          <w:p>
            <w:r>
              <w:rPr>
                <w:sz w:val="17"/>
              </w:rPr>
            </w:r>
            <w:r>
              <w:rPr>
                <w:b w:val="0"/>
                <w:i w:val="0"/>
                <w:sz w:val="17"/>
              </w:rPr>
              <w:t>F4</w:t>
            </w:r>
          </w:p>
        </w:tc>
        <w:tc>
          <w:tcPr>
            <w:tcW w:type="dxa" w:w="3600"/>
          </w:tcPr>
          <w:p>
            <w:r>
              <w:rPr>
                <w:sz w:val="17"/>
              </w:rPr>
            </w:r>
            <w:r>
              <w:rPr>
                <w:b w:val="0"/>
                <w:i w:val="0"/>
                <w:sz w:val="17"/>
              </w:rPr>
              <w:t>Meanwhile: stop MDM remote wipes, device refreshes and trade-ins; suspend the 2-year mobile retention (Policy Cat. V); instruct custodians not to delete messages or disable auto-delete settings</w:t>
            </w:r>
          </w:p>
        </w:tc>
        <w:tc>
          <w:tcPr>
            <w:tcW w:type="dxa" w:w="1008"/>
          </w:tcPr>
          <w:p>
            <w:r>
              <w:rPr>
                <w:sz w:val="17"/>
              </w:rPr>
            </w:r>
            <w:r>
              <w:rPr>
                <w:b w:val="0"/>
                <w:i w:val="0"/>
                <w:sz w:val="17"/>
              </w:rPr>
              <w:t>¶¶5, 33 (implied)</w:t>
            </w:r>
          </w:p>
        </w:tc>
        <w:tc>
          <w:tcPr>
            <w:tcW w:type="dxa" w:w="1152"/>
          </w:tcPr>
          <w:p>
            <w:r>
              <w:rPr>
                <w:sz w:val="17"/>
              </w:rPr>
            </w:r>
            <w:r>
              <w:rPr>
                <w:b w:val="0"/>
                <w:i w:val="0"/>
                <w:sz w:val="17"/>
              </w:rPr>
              <w:t>Immediate</w:t>
            </w:r>
          </w:p>
        </w:tc>
        <w:tc>
          <w:tcPr>
            <w:tcW w:type="dxa" w:w="1152"/>
          </w:tcPr>
          <w:p>
            <w:r>
              <w:rPr>
                <w:sz w:val="17"/>
              </w:rPr>
            </w:r>
            <w:r>
              <w:rPr>
                <w:b w:val="0"/>
                <w:i w:val="0"/>
                <w:sz w:val="17"/>
              </w:rPr>
              <w:t>IT</w:t>
            </w:r>
          </w:p>
        </w:tc>
        <w:tc>
          <w:tcPr>
            <w:tcW w:type="dxa" w:w="2160"/>
          </w:tcPr>
          <w:p>
            <w:r>
              <w:rPr>
                <w:sz w:val="17"/>
              </w:rPr>
            </w:r>
            <w:r>
              <w:rPr>
                <w:b w:val="0"/>
                <w:i w:val="0"/>
                <w:sz w:val="17"/>
              </w:rPr>
              <w:t>Check disappearing-message settings (Signal, WhatsApp, iMessage "keep messages 30 days")</w:t>
            </w:r>
          </w:p>
        </w:tc>
      </w:tr>
    </w:tbl>
    <w:p/>
    <w:p>
      <w:pPr>
        <w:pStyle w:val="Heading2"/>
      </w:pPr>
      <w:r>
        <w:t>G. Backup Tapes, Legacy Hardware, Paper</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648"/>
            <w:shd w:val="clear" w:color="auto" w:fill="1F3A5F"/>
          </w:tcPr>
          <w:p>
            <w:r/>
            <w:r>
              <w:rPr>
                <w:b/>
                <w:color w:val="FFFFFF"/>
                <w:sz w:val="17"/>
              </w:rPr>
              <w:t>Ref</w:t>
            </w:r>
          </w:p>
        </w:tc>
        <w:tc>
          <w:tcPr>
            <w:tcW w:type="dxa" w:w="3600"/>
            <w:shd w:val="clear" w:color="auto" w:fill="1F3A5F"/>
          </w:tcPr>
          <w:p>
            <w:r/>
            <w:r>
              <w:rPr>
                <w:b/>
                <w:color w:val="FFFFFF"/>
                <w:sz w:val="17"/>
              </w:rPr>
              <w:t>Obligation</w:t>
            </w:r>
          </w:p>
        </w:tc>
        <w:tc>
          <w:tcPr>
            <w:tcW w:type="dxa" w:w="1008"/>
            <w:shd w:val="clear" w:color="auto" w:fill="1F3A5F"/>
          </w:tcPr>
          <w:p>
            <w:r/>
            <w:r>
              <w:rPr>
                <w:b/>
                <w:color w:val="FFFFFF"/>
                <w:sz w:val="17"/>
              </w:rPr>
              <w:t>Source</w:t>
            </w:r>
          </w:p>
        </w:tc>
        <w:tc>
          <w:tcPr>
            <w:tcW w:type="dxa" w:w="1152"/>
            <w:shd w:val="clear" w:color="auto" w:fill="1F3A5F"/>
          </w:tcPr>
          <w:p>
            <w:r/>
            <w:r>
              <w:rPr>
                <w:b/>
                <w:color w:val="FFFFFF"/>
                <w:sz w:val="17"/>
              </w:rPr>
              <w:t>Deadline</w:t>
            </w:r>
          </w:p>
        </w:tc>
        <w:tc>
          <w:tcPr>
            <w:tcW w:type="dxa" w:w="1152"/>
            <w:shd w:val="clear" w:color="auto" w:fill="1F3A5F"/>
          </w:tcPr>
          <w:p>
            <w:r/>
            <w:r>
              <w:rPr>
                <w:b/>
                <w:color w:val="FFFFFF"/>
                <w:sz w:val="17"/>
              </w:rPr>
              <w:t>Owner</w:t>
            </w:r>
          </w:p>
        </w:tc>
        <w:tc>
          <w:tcPr>
            <w:tcW w:type="dxa" w:w="2160"/>
            <w:shd w:val="clear" w:color="auto" w:fill="1F3A5F"/>
          </w:tcPr>
          <w:p>
            <w:r/>
            <w:r>
              <w:rPr>
                <w:b/>
                <w:color w:val="FFFFFF"/>
                <w:sz w:val="17"/>
              </w:rPr>
              <w:t>Status / gap</w:t>
            </w:r>
          </w:p>
        </w:tc>
      </w:tr>
      <w:tr>
        <w:tc>
          <w:tcPr>
            <w:tcW w:type="dxa" w:w="648"/>
          </w:tcPr>
          <w:p>
            <w:r>
              <w:rPr>
                <w:sz w:val="17"/>
              </w:rPr>
            </w:r>
            <w:r>
              <w:rPr>
                <w:b w:val="0"/>
                <w:i w:val="0"/>
                <w:sz w:val="17"/>
              </w:rPr>
              <w:t>G1</w:t>
            </w:r>
          </w:p>
        </w:tc>
        <w:tc>
          <w:tcPr>
            <w:tcW w:type="dxa" w:w="3600"/>
          </w:tcPr>
          <w:p>
            <w:r>
              <w:rPr>
                <w:sz w:val="17"/>
              </w:rPr>
            </w:r>
            <w:r>
              <w:rPr>
                <w:b w:val="0"/>
                <w:i w:val="0"/>
                <w:sz w:val="17"/>
              </w:rPr>
              <w:t xml:space="preserve">Suspend the 90-day backup rotation </w:t>
            </w:r>
            <w:r>
              <w:rPr>
                <w:b/>
                <w:i w:val="0"/>
                <w:sz w:val="17"/>
              </w:rPr>
              <w:t>in its entirety</w:t>
            </w:r>
            <w:r>
              <w:rPr>
                <w:b w:val="0"/>
                <w:i w:val="0"/>
                <w:sz w:val="17"/>
              </w:rPr>
              <w:t>; no tape recycled, overwritten or degaussed; covers tapes offsite at Sentinel and any DR vendor; notify those vendors</w:t>
            </w:r>
          </w:p>
        </w:tc>
        <w:tc>
          <w:tcPr>
            <w:tcW w:type="dxa" w:w="1008"/>
          </w:tcPr>
          <w:p>
            <w:r>
              <w:rPr>
                <w:sz w:val="17"/>
              </w:rPr>
            </w:r>
            <w:r>
              <w:rPr>
                <w:b w:val="0"/>
                <w:i w:val="0"/>
                <w:sz w:val="17"/>
              </w:rPr>
              <w:t>¶41</w:t>
            </w:r>
          </w:p>
        </w:tc>
        <w:tc>
          <w:tcPr>
            <w:tcW w:type="dxa" w:w="1152"/>
          </w:tcPr>
          <w:p>
            <w:r>
              <w:rPr>
                <w:sz w:val="17"/>
              </w:rPr>
            </w:r>
            <w:r>
              <w:rPr>
                <w:b w:val="0"/>
                <w:i w:val="0"/>
                <w:sz w:val="17"/>
              </w:rPr>
              <w:t>Immediate</w:t>
            </w:r>
          </w:p>
        </w:tc>
        <w:tc>
          <w:tcPr>
            <w:tcW w:type="dxa" w:w="1152"/>
          </w:tcPr>
          <w:p>
            <w:r>
              <w:rPr>
                <w:sz w:val="17"/>
              </w:rPr>
            </w:r>
            <w:r>
              <w:rPr>
                <w:b w:val="0"/>
                <w:i w:val="0"/>
                <w:sz w:val="17"/>
              </w:rPr>
              <w:t>IT / GC</w:t>
            </w:r>
          </w:p>
        </w:tc>
        <w:tc>
          <w:tcPr>
            <w:tcW w:type="dxa" w:w="2160"/>
            <w:shd w:val="clear" w:color="auto" w:fill="F8D7DA"/>
          </w:tcPr>
          <w:p>
            <w:r>
              <w:rPr>
                <w:sz w:val="17"/>
              </w:rPr>
            </w:r>
            <w:r>
              <w:rPr>
                <w:b w:val="0"/>
                <w:i w:val="0"/>
                <w:sz w:val="17"/>
              </w:rPr>
            </w:r>
            <w:r>
              <w:rPr>
                <w:b/>
                <w:i w:val="0"/>
                <w:sz w:val="17"/>
              </w:rPr>
              <w:t>CRITICAL.</w:t>
            </w:r>
            <w:r>
              <w:rPr>
                <w:b w:val="0"/>
                <w:i w:val="0"/>
                <w:sz w:val="17"/>
              </w:rPr>
              <w:t xml:space="preserve"> Tapes are stored at Sentinel (Policy §4.3). They may hold the only copies of data deleted Jan. 15, 2025</w:t>
            </w:r>
          </w:p>
        </w:tc>
      </w:tr>
      <w:tr>
        <w:tc>
          <w:tcPr>
            <w:tcW w:type="dxa" w:w="648"/>
          </w:tcPr>
          <w:p>
            <w:r>
              <w:rPr>
                <w:sz w:val="17"/>
              </w:rPr>
            </w:r>
            <w:r>
              <w:rPr>
                <w:b w:val="0"/>
                <w:i w:val="0"/>
                <w:sz w:val="17"/>
              </w:rPr>
              <w:t>G2</w:t>
            </w:r>
          </w:p>
        </w:tc>
        <w:tc>
          <w:tcPr>
            <w:tcW w:type="dxa" w:w="3600"/>
          </w:tcPr>
          <w:p>
            <w:r>
              <w:rPr>
                <w:sz w:val="17"/>
              </w:rPr>
            </w:r>
            <w:r>
              <w:rPr>
                <w:b w:val="0"/>
                <w:i w:val="0"/>
                <w:sz w:val="17"/>
              </w:rPr>
              <w:t>Preserve decommissioned servers, drives, arrays, NAS and tape libraries in current physical condition; no disposal without written DOJ authorization; keep storage contracts; notify the facility operator in writing; keep retired legacy systems accessible</w:t>
            </w:r>
          </w:p>
        </w:tc>
        <w:tc>
          <w:tcPr>
            <w:tcW w:type="dxa" w:w="1008"/>
          </w:tcPr>
          <w:p>
            <w:r>
              <w:rPr>
                <w:sz w:val="17"/>
              </w:rPr>
            </w:r>
            <w:r>
              <w:rPr>
                <w:b w:val="0"/>
                <w:i w:val="0"/>
                <w:sz w:val="17"/>
              </w:rPr>
              <w:t>¶42</w:t>
            </w:r>
          </w:p>
        </w:tc>
        <w:tc>
          <w:tcPr>
            <w:tcW w:type="dxa" w:w="1152"/>
          </w:tcPr>
          <w:p>
            <w:r>
              <w:rPr>
                <w:sz w:val="17"/>
              </w:rPr>
            </w:r>
            <w:r>
              <w:rPr>
                <w:b w:val="0"/>
                <w:i w:val="0"/>
                <w:sz w:val="17"/>
              </w:rPr>
              <w:t>Immediate</w:t>
            </w:r>
          </w:p>
        </w:tc>
        <w:tc>
          <w:tcPr>
            <w:tcW w:type="dxa" w:w="1152"/>
          </w:tcPr>
          <w:p>
            <w:r>
              <w:rPr>
                <w:sz w:val="17"/>
              </w:rPr>
            </w:r>
            <w:r>
              <w:rPr>
                <w:b w:val="0"/>
                <w:i w:val="0"/>
                <w:sz w:val="17"/>
              </w:rPr>
              <w:t>IT / GC</w:t>
            </w:r>
          </w:p>
        </w:tc>
        <w:tc>
          <w:tcPr>
            <w:tcW w:type="dxa" w:w="2160"/>
          </w:tcPr>
          <w:p>
            <w:r>
              <w:rPr>
                <w:sz w:val="17"/>
              </w:rPr>
            </w:r>
            <w:r>
              <w:rPr>
                <w:b w:val="0"/>
                <w:i w:val="0"/>
                <w:sz w:val="17"/>
              </w:rPr>
              <w:t>Six Dell PowerEdge Exchange servers at Sentinel (SM-2247891). Pay invoices; written hold to Sentinel. Tension with recovery; see VIII.C</w:t>
            </w:r>
          </w:p>
        </w:tc>
      </w:tr>
      <w:tr>
        <w:tc>
          <w:tcPr>
            <w:tcW w:type="dxa" w:w="648"/>
          </w:tcPr>
          <w:p>
            <w:r>
              <w:rPr>
                <w:sz w:val="17"/>
              </w:rPr>
            </w:r>
            <w:r>
              <w:rPr>
                <w:b w:val="0"/>
                <w:i w:val="0"/>
                <w:sz w:val="17"/>
              </w:rPr>
              <w:t>G3</w:t>
            </w:r>
          </w:p>
        </w:tc>
        <w:tc>
          <w:tcPr>
            <w:tcW w:type="dxa" w:w="3600"/>
          </w:tcPr>
          <w:p>
            <w:r>
              <w:rPr>
                <w:sz w:val="17"/>
              </w:rPr>
            </w:r>
            <w:r>
              <w:rPr>
                <w:b w:val="0"/>
                <w:i w:val="0"/>
                <w:sz w:val="17"/>
              </w:rPr>
              <w:t>Paper: secure and restrict access to custodian offices and central files at Durham and Atlanta; no removal (except safeguarded business use), shredding or discard; inventory off-site paper storage and instruct operators</w:t>
            </w:r>
          </w:p>
        </w:tc>
        <w:tc>
          <w:tcPr>
            <w:tcW w:type="dxa" w:w="1008"/>
          </w:tcPr>
          <w:p>
            <w:r>
              <w:rPr>
                <w:sz w:val="17"/>
              </w:rPr>
            </w:r>
            <w:r>
              <w:rPr>
                <w:b w:val="0"/>
                <w:i w:val="0"/>
                <w:sz w:val="17"/>
              </w:rPr>
              <w:t>¶44</w:t>
            </w:r>
          </w:p>
        </w:tc>
        <w:tc>
          <w:tcPr>
            <w:tcW w:type="dxa" w:w="1152"/>
          </w:tcPr>
          <w:p>
            <w:r>
              <w:rPr>
                <w:sz w:val="17"/>
              </w:rPr>
            </w:r>
            <w:r>
              <w:rPr>
                <w:b w:val="0"/>
                <w:i w:val="0"/>
                <w:sz w:val="17"/>
              </w:rPr>
              <w:t>Immediate</w:t>
            </w:r>
          </w:p>
        </w:tc>
        <w:tc>
          <w:tcPr>
            <w:tcW w:type="dxa" w:w="1152"/>
          </w:tcPr>
          <w:p>
            <w:r>
              <w:rPr>
                <w:sz w:val="17"/>
              </w:rPr>
            </w:r>
            <w:r>
              <w:rPr>
                <w:b w:val="0"/>
                <w:i w:val="0"/>
                <w:sz w:val="17"/>
              </w:rPr>
              <w:t>Facilities / Records Mgmt</w:t>
            </w:r>
          </w:p>
        </w:tc>
        <w:tc>
          <w:tcPr>
            <w:tcW w:type="dxa" w:w="2160"/>
          </w:tcPr>
          <w:p>
            <w:r>
              <w:rPr>
                <w:sz w:val="17"/>
              </w:rPr>
            </w:r>
            <w:r>
              <w:rPr>
                <w:b w:val="0"/>
                <w:i w:val="0"/>
                <w:sz w:val="17"/>
              </w:rPr>
              <w:t>47 Sentinel boxes (2019–2020) destroyed Jan. 15 (Cert. SM-CERT-2025-00412). Inventory the remaining Sentinel boxes. Extend to other Exh. C offices as a precaution</w:t>
            </w:r>
          </w:p>
        </w:tc>
      </w:tr>
    </w:tbl>
    <w:p/>
    <w:p>
      <w:pPr>
        <w:pStyle w:val="Heading2"/>
      </w:pPr>
      <w:r>
        <w:t>H. Third-Party Notices</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648"/>
            <w:shd w:val="clear" w:color="auto" w:fill="1F3A5F"/>
          </w:tcPr>
          <w:p>
            <w:r/>
            <w:r>
              <w:rPr>
                <w:b/>
                <w:color w:val="FFFFFF"/>
                <w:sz w:val="17"/>
              </w:rPr>
              <w:t>Ref</w:t>
            </w:r>
          </w:p>
        </w:tc>
        <w:tc>
          <w:tcPr>
            <w:tcW w:type="dxa" w:w="3600"/>
            <w:shd w:val="clear" w:color="auto" w:fill="1F3A5F"/>
          </w:tcPr>
          <w:p>
            <w:r/>
            <w:r>
              <w:rPr>
                <w:b/>
                <w:color w:val="FFFFFF"/>
                <w:sz w:val="17"/>
              </w:rPr>
              <w:t>Obligation</w:t>
            </w:r>
          </w:p>
        </w:tc>
        <w:tc>
          <w:tcPr>
            <w:tcW w:type="dxa" w:w="1008"/>
            <w:shd w:val="clear" w:color="auto" w:fill="1F3A5F"/>
          </w:tcPr>
          <w:p>
            <w:r/>
            <w:r>
              <w:rPr>
                <w:b/>
                <w:color w:val="FFFFFF"/>
                <w:sz w:val="17"/>
              </w:rPr>
              <w:t>Source</w:t>
            </w:r>
          </w:p>
        </w:tc>
        <w:tc>
          <w:tcPr>
            <w:tcW w:type="dxa" w:w="1152"/>
            <w:shd w:val="clear" w:color="auto" w:fill="1F3A5F"/>
          </w:tcPr>
          <w:p>
            <w:r/>
            <w:r>
              <w:rPr>
                <w:b/>
                <w:color w:val="FFFFFF"/>
                <w:sz w:val="17"/>
              </w:rPr>
              <w:t>Deadline</w:t>
            </w:r>
          </w:p>
        </w:tc>
        <w:tc>
          <w:tcPr>
            <w:tcW w:type="dxa" w:w="1152"/>
            <w:shd w:val="clear" w:color="auto" w:fill="1F3A5F"/>
          </w:tcPr>
          <w:p>
            <w:r/>
            <w:r>
              <w:rPr>
                <w:b/>
                <w:color w:val="FFFFFF"/>
                <w:sz w:val="17"/>
              </w:rPr>
              <w:t>Owner</w:t>
            </w:r>
          </w:p>
        </w:tc>
        <w:tc>
          <w:tcPr>
            <w:tcW w:type="dxa" w:w="2160"/>
            <w:shd w:val="clear" w:color="auto" w:fill="1F3A5F"/>
          </w:tcPr>
          <w:p>
            <w:r/>
            <w:r>
              <w:rPr>
                <w:b/>
                <w:color w:val="FFFFFF"/>
                <w:sz w:val="17"/>
              </w:rPr>
              <w:t>Status / gap</w:t>
            </w:r>
          </w:p>
        </w:tc>
      </w:tr>
      <w:tr>
        <w:tc>
          <w:tcPr>
            <w:tcW w:type="dxa" w:w="648"/>
          </w:tcPr>
          <w:p>
            <w:r>
              <w:rPr>
                <w:sz w:val="17"/>
              </w:rPr>
            </w:r>
            <w:r>
              <w:rPr>
                <w:b w:val="0"/>
                <w:i w:val="0"/>
                <w:sz w:val="17"/>
              </w:rPr>
              <w:t>H1</w:t>
            </w:r>
          </w:p>
        </w:tc>
        <w:tc>
          <w:tcPr>
            <w:tcW w:type="dxa" w:w="3600"/>
          </w:tcPr>
          <w:p>
            <w:r>
              <w:rPr>
                <w:sz w:val="17"/>
              </w:rPr>
            </w:r>
            <w:r>
              <w:rPr>
                <w:b w:val="0"/>
                <w:i w:val="0"/>
                <w:sz w:val="17"/>
              </w:rPr>
              <w:t>Written preservation notices to all vendors hosting in-scope data, at least Veeva, SAP SE, Concur and IntegriCall, instructing them to suspend deletion, purging and disposal and preserve Ridgeline data in its current state</w:t>
            </w:r>
          </w:p>
        </w:tc>
        <w:tc>
          <w:tcPr>
            <w:tcW w:type="dxa" w:w="1008"/>
          </w:tcPr>
          <w:p>
            <w:r>
              <w:rPr>
                <w:sz w:val="17"/>
              </w:rPr>
            </w:r>
            <w:r>
              <w:rPr>
                <w:b w:val="0"/>
                <w:i w:val="0"/>
                <w:sz w:val="17"/>
              </w:rPr>
              <w:t>¶43</w:t>
            </w:r>
          </w:p>
        </w:tc>
        <w:tc>
          <w:tcPr>
            <w:tcW w:type="dxa" w:w="1152"/>
          </w:tcPr>
          <w:p>
            <w:r>
              <w:rPr>
                <w:sz w:val="17"/>
              </w:rPr>
            </w:r>
            <w:r>
              <w:rPr>
                <w:b w:val="0"/>
                <w:i w:val="0"/>
                <w:sz w:val="17"/>
              </w:rPr>
            </w:r>
            <w:r>
              <w:rPr>
                <w:b/>
                <w:i w:val="0"/>
                <w:sz w:val="17"/>
              </w:rPr>
              <w:t>Mar. 13</w:t>
            </w:r>
            <w:r>
              <w:rPr>
                <w:b w:val="0"/>
                <w:i w:val="0"/>
                <w:sz w:val="17"/>
              </w:rPr>
            </w:r>
          </w:p>
        </w:tc>
        <w:tc>
          <w:tcPr>
            <w:tcW w:type="dxa" w:w="1152"/>
          </w:tcPr>
          <w:p>
            <w:r>
              <w:rPr>
                <w:sz w:val="17"/>
              </w:rPr>
            </w:r>
            <w:r>
              <w:rPr>
                <w:b w:val="0"/>
                <w:i w:val="0"/>
                <w:sz w:val="17"/>
              </w:rPr>
              <w:t>GC / HTM</w:t>
            </w:r>
          </w:p>
        </w:tc>
        <w:tc>
          <w:tcPr>
            <w:tcW w:type="dxa" w:w="2160"/>
          </w:tcPr>
          <w:p>
            <w:r>
              <w:rPr>
                <w:sz w:val="17"/>
              </w:rPr>
            </w:r>
            <w:r>
              <w:rPr>
                <w:b w:val="0"/>
                <w:i w:val="0"/>
                <w:sz w:val="17"/>
              </w:rPr>
              <w:t>Use Policy App. C template (5-business-day confirmation). Full recipient list in Part IX</w:t>
            </w:r>
          </w:p>
        </w:tc>
      </w:tr>
      <w:tr>
        <w:tc>
          <w:tcPr>
            <w:tcW w:type="dxa" w:w="648"/>
          </w:tcPr>
          <w:p>
            <w:r>
              <w:rPr>
                <w:sz w:val="17"/>
              </w:rPr>
            </w:r>
            <w:r>
              <w:rPr>
                <w:b w:val="0"/>
                <w:i w:val="0"/>
                <w:sz w:val="17"/>
              </w:rPr>
              <w:t>H2</w:t>
            </w:r>
          </w:p>
        </w:tc>
        <w:tc>
          <w:tcPr>
            <w:tcW w:type="dxa" w:w="3600"/>
          </w:tcPr>
          <w:p>
            <w:r>
              <w:rPr>
                <w:sz w:val="17"/>
              </w:rPr>
            </w:r>
            <w:r>
              <w:rPr>
                <w:b w:val="0"/>
                <w:i w:val="0"/>
                <w:sz w:val="17"/>
              </w:rPr>
              <w:t>Obtain written confirmation of implementation from each vendor</w:t>
            </w:r>
          </w:p>
        </w:tc>
        <w:tc>
          <w:tcPr>
            <w:tcW w:type="dxa" w:w="1008"/>
          </w:tcPr>
          <w:p>
            <w:r>
              <w:rPr>
                <w:sz w:val="17"/>
              </w:rPr>
            </w:r>
            <w:r>
              <w:rPr>
                <w:b w:val="0"/>
                <w:i w:val="0"/>
                <w:sz w:val="17"/>
              </w:rPr>
              <w:t>¶43</w:t>
            </w:r>
          </w:p>
        </w:tc>
        <w:tc>
          <w:tcPr>
            <w:tcW w:type="dxa" w:w="1152"/>
          </w:tcPr>
          <w:p>
            <w:r>
              <w:rPr>
                <w:sz w:val="17"/>
              </w:rPr>
            </w:r>
            <w:r>
              <w:rPr>
                <w:b w:val="0"/>
                <w:i w:val="0"/>
                <w:sz w:val="17"/>
              </w:rPr>
              <w:t>ASAP; ideally by Mar. 17</w:t>
            </w:r>
          </w:p>
        </w:tc>
        <w:tc>
          <w:tcPr>
            <w:tcW w:type="dxa" w:w="1152"/>
          </w:tcPr>
          <w:p>
            <w:r>
              <w:rPr>
                <w:sz w:val="17"/>
              </w:rPr>
            </w:r>
            <w:r>
              <w:rPr>
                <w:b w:val="0"/>
                <w:i w:val="0"/>
                <w:sz w:val="17"/>
              </w:rPr>
              <w:t>GC</w:t>
            </w:r>
          </w:p>
        </w:tc>
        <w:tc>
          <w:tcPr>
            <w:tcW w:type="dxa" w:w="2160"/>
          </w:tcPr>
          <w:p>
            <w:r>
              <w:rPr>
                <w:sz w:val="17"/>
              </w:rPr>
            </w:r>
            <w:r>
              <w:rPr>
                <w:b w:val="0"/>
                <w:i w:val="0"/>
                <w:sz w:val="17"/>
              </w:rPr>
              <w:t>Track in a log</w:t>
            </w:r>
          </w:p>
        </w:tc>
      </w:tr>
      <w:tr>
        <w:tc>
          <w:tcPr>
            <w:tcW w:type="dxa" w:w="648"/>
          </w:tcPr>
          <w:p>
            <w:r>
              <w:rPr>
                <w:sz w:val="17"/>
              </w:rPr>
            </w:r>
            <w:r>
              <w:rPr>
                <w:b w:val="0"/>
                <w:i w:val="0"/>
                <w:sz w:val="17"/>
              </w:rPr>
              <w:t>H3</w:t>
            </w:r>
          </w:p>
        </w:tc>
        <w:tc>
          <w:tcPr>
            <w:tcW w:type="dxa" w:w="3600"/>
          </w:tcPr>
          <w:p>
            <w:r>
              <w:rPr>
                <w:sz w:val="17"/>
              </w:rPr>
            </w:r>
            <w:r>
              <w:rPr>
                <w:b w:val="0"/>
                <w:i w:val="0"/>
                <w:sz w:val="17"/>
              </w:rPr>
              <w:t>Provide copies of the vendor notices to DOJ on request</w:t>
            </w:r>
          </w:p>
        </w:tc>
        <w:tc>
          <w:tcPr>
            <w:tcW w:type="dxa" w:w="1008"/>
          </w:tcPr>
          <w:p>
            <w:r>
              <w:rPr>
                <w:sz w:val="17"/>
              </w:rPr>
            </w:r>
            <w:r>
              <w:rPr>
                <w:b w:val="0"/>
                <w:i w:val="0"/>
                <w:sz w:val="17"/>
              </w:rPr>
              <w:t>¶43</w:t>
            </w:r>
          </w:p>
        </w:tc>
        <w:tc>
          <w:tcPr>
            <w:tcW w:type="dxa" w:w="1152"/>
          </w:tcPr>
          <w:p>
            <w:r>
              <w:rPr>
                <w:sz w:val="17"/>
              </w:rPr>
            </w:r>
            <w:r>
              <w:rPr>
                <w:b w:val="0"/>
                <w:i w:val="0"/>
                <w:sz w:val="17"/>
              </w:rPr>
              <w:t>On request</w:t>
            </w:r>
          </w:p>
        </w:tc>
        <w:tc>
          <w:tcPr>
            <w:tcW w:type="dxa" w:w="1152"/>
          </w:tcPr>
          <w:p>
            <w:r>
              <w:rPr>
                <w:sz w:val="17"/>
              </w:rPr>
            </w:r>
            <w:r>
              <w:rPr>
                <w:b w:val="0"/>
                <w:i w:val="0"/>
                <w:sz w:val="17"/>
              </w:rPr>
              <w:t>HTM</w:t>
            </w:r>
          </w:p>
        </w:tc>
        <w:tc>
          <w:tcPr>
            <w:tcW w:type="dxa" w:w="2160"/>
          </w:tcPr>
          <w:p>
            <w:r>
              <w:rPr>
                <w:sz w:val="17"/>
              </w:rPr>
            </w:r>
            <w:r>
              <w:rPr>
                <w:b w:val="0"/>
                <w:i w:val="0"/>
                <w:sz w:val="17"/>
              </w:rPr>
              <w:t>Keep a clean set</w:t>
            </w:r>
          </w:p>
        </w:tc>
      </w:tr>
    </w:tbl>
    <w:p/>
    <w:p>
      <w:pPr>
        <w:pStyle w:val="Heading2"/>
      </w:pPr>
      <w:r>
        <w:t>I–J. Reporting, Cooperation, Modification</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648"/>
            <w:shd w:val="clear" w:color="auto" w:fill="1F3A5F"/>
          </w:tcPr>
          <w:p>
            <w:r/>
            <w:r>
              <w:rPr>
                <w:b/>
                <w:color w:val="FFFFFF"/>
                <w:sz w:val="17"/>
              </w:rPr>
              <w:t>Ref</w:t>
            </w:r>
          </w:p>
        </w:tc>
        <w:tc>
          <w:tcPr>
            <w:tcW w:type="dxa" w:w="3600"/>
            <w:shd w:val="clear" w:color="auto" w:fill="1F3A5F"/>
          </w:tcPr>
          <w:p>
            <w:r/>
            <w:r>
              <w:rPr>
                <w:b/>
                <w:color w:val="FFFFFF"/>
                <w:sz w:val="17"/>
              </w:rPr>
              <w:t>Obligation</w:t>
            </w:r>
          </w:p>
        </w:tc>
        <w:tc>
          <w:tcPr>
            <w:tcW w:type="dxa" w:w="1008"/>
            <w:shd w:val="clear" w:color="auto" w:fill="1F3A5F"/>
          </w:tcPr>
          <w:p>
            <w:r/>
            <w:r>
              <w:rPr>
                <w:b/>
                <w:color w:val="FFFFFF"/>
                <w:sz w:val="17"/>
              </w:rPr>
              <w:t>Source</w:t>
            </w:r>
          </w:p>
        </w:tc>
        <w:tc>
          <w:tcPr>
            <w:tcW w:type="dxa" w:w="1152"/>
            <w:shd w:val="clear" w:color="auto" w:fill="1F3A5F"/>
          </w:tcPr>
          <w:p>
            <w:r/>
            <w:r>
              <w:rPr>
                <w:b/>
                <w:color w:val="FFFFFF"/>
                <w:sz w:val="17"/>
              </w:rPr>
              <w:t>Deadline</w:t>
            </w:r>
          </w:p>
        </w:tc>
        <w:tc>
          <w:tcPr>
            <w:tcW w:type="dxa" w:w="1152"/>
            <w:shd w:val="clear" w:color="auto" w:fill="1F3A5F"/>
          </w:tcPr>
          <w:p>
            <w:r/>
            <w:r>
              <w:rPr>
                <w:b/>
                <w:color w:val="FFFFFF"/>
                <w:sz w:val="17"/>
              </w:rPr>
              <w:t>Owner</w:t>
            </w:r>
          </w:p>
        </w:tc>
        <w:tc>
          <w:tcPr>
            <w:tcW w:type="dxa" w:w="2160"/>
            <w:shd w:val="clear" w:color="auto" w:fill="1F3A5F"/>
          </w:tcPr>
          <w:p>
            <w:r/>
            <w:r>
              <w:rPr>
                <w:b/>
                <w:color w:val="FFFFFF"/>
                <w:sz w:val="17"/>
              </w:rPr>
              <w:t>Status / gap</w:t>
            </w:r>
          </w:p>
        </w:tc>
      </w:tr>
      <w:tr>
        <w:tc>
          <w:tcPr>
            <w:tcW w:type="dxa" w:w="648"/>
          </w:tcPr>
          <w:p>
            <w:r>
              <w:rPr>
                <w:sz w:val="17"/>
              </w:rPr>
            </w:r>
            <w:r>
              <w:rPr>
                <w:b w:val="0"/>
                <w:i w:val="0"/>
                <w:sz w:val="17"/>
              </w:rPr>
              <w:t>I1</w:t>
            </w:r>
          </w:p>
        </w:tc>
        <w:tc>
          <w:tcPr>
            <w:tcW w:type="dxa" w:w="3600"/>
          </w:tcPr>
          <w:p>
            <w:r>
              <w:rPr>
                <w:sz w:val="17"/>
              </w:rPr>
            </w:r>
            <w:r>
              <w:rPr>
                <w:b w:val="0"/>
                <w:i w:val="0"/>
                <w:sz w:val="17"/>
              </w:rPr>
              <w:t>Prompt written notice to DOJ of any circumstance preventing compliance, including pre-Notice destruction, data loss, system failures and vendor contract expiry, with a detailed description, types and volumes, dates, and remediation</w:t>
            </w:r>
          </w:p>
        </w:tc>
        <w:tc>
          <w:tcPr>
            <w:tcW w:type="dxa" w:w="1008"/>
          </w:tcPr>
          <w:p>
            <w:r>
              <w:rPr>
                <w:sz w:val="17"/>
              </w:rPr>
            </w:r>
            <w:r>
              <w:rPr>
                <w:b w:val="0"/>
                <w:i w:val="0"/>
                <w:sz w:val="17"/>
              </w:rPr>
              <w:t>¶46</w:t>
            </w:r>
          </w:p>
        </w:tc>
        <w:tc>
          <w:tcPr>
            <w:tcW w:type="dxa" w:w="1152"/>
          </w:tcPr>
          <w:p>
            <w:r>
              <w:rPr>
                <w:sz w:val="17"/>
              </w:rPr>
            </w:r>
            <w:r>
              <w:rPr>
                <w:b w:val="0"/>
                <w:i w:val="0"/>
                <w:sz w:val="17"/>
              </w:rPr>
              <w:t>Promptly</w:t>
            </w:r>
          </w:p>
        </w:tc>
        <w:tc>
          <w:tcPr>
            <w:tcW w:type="dxa" w:w="1152"/>
          </w:tcPr>
          <w:p>
            <w:r>
              <w:rPr>
                <w:sz w:val="17"/>
              </w:rPr>
            </w:r>
            <w:r>
              <w:rPr>
                <w:b w:val="0"/>
                <w:i w:val="0"/>
                <w:sz w:val="17"/>
              </w:rPr>
              <w:t>HTM</w:t>
            </w:r>
          </w:p>
        </w:tc>
        <w:tc>
          <w:tcPr>
            <w:tcW w:type="dxa" w:w="2160"/>
          </w:tcPr>
          <w:p>
            <w:r>
              <w:rPr>
                <w:sz w:val="17"/>
              </w:rPr>
            </w:r>
            <w:r>
              <w:rPr>
                <w:b w:val="0"/>
                <w:i w:val="0"/>
                <w:sz w:val="17"/>
              </w:rPr>
            </w:r>
            <w:r>
              <w:rPr>
                <w:b/>
                <w:i w:val="0"/>
                <w:sz w:val="17"/>
              </w:rPr>
              <w:t>Triggered:</w:t>
            </w:r>
            <w:r>
              <w:rPr>
                <w:b w:val="0"/>
                <w:i w:val="0"/>
                <w:sz w:val="17"/>
              </w:rPr>
              <w:t xml:space="preserve"> Jan. 15 destruction; migration gap; possible recycled legacy tapes; Recoverable Items/IM loss after Mar. 3 (if any)</w:t>
            </w:r>
          </w:p>
        </w:tc>
      </w:tr>
      <w:tr>
        <w:tc>
          <w:tcPr>
            <w:tcW w:type="dxa" w:w="648"/>
          </w:tcPr>
          <w:p>
            <w:r>
              <w:rPr>
                <w:sz w:val="17"/>
              </w:rPr>
            </w:r>
            <w:r>
              <w:rPr>
                <w:b w:val="0"/>
                <w:i w:val="0"/>
                <w:sz w:val="17"/>
              </w:rPr>
              <w:t>I2</w:t>
            </w:r>
          </w:p>
        </w:tc>
        <w:tc>
          <w:tcPr>
            <w:tcW w:type="dxa" w:w="3600"/>
          </w:tcPr>
          <w:p>
            <w:r>
              <w:rPr>
                <w:sz w:val="17"/>
              </w:rPr>
            </w:r>
            <w:r>
              <w:rPr>
                <w:b w:val="0"/>
                <w:i w:val="0"/>
                <w:sz w:val="17"/>
              </w:rPr>
              <w:t>Direct all communications about the Notice exclusively to AUSA Faulkner ((704) 338-3170) and TA Gutierrez ((202) 514-7023)</w:t>
            </w:r>
          </w:p>
        </w:tc>
        <w:tc>
          <w:tcPr>
            <w:tcW w:type="dxa" w:w="1008"/>
          </w:tcPr>
          <w:p>
            <w:r>
              <w:rPr>
                <w:sz w:val="17"/>
              </w:rPr>
            </w:r>
            <w:r>
              <w:rPr>
                <w:b w:val="0"/>
                <w:i w:val="0"/>
                <w:sz w:val="17"/>
              </w:rPr>
              <w:t>Cover letter; ¶51</w:t>
            </w:r>
          </w:p>
        </w:tc>
        <w:tc>
          <w:tcPr>
            <w:tcW w:type="dxa" w:w="1152"/>
          </w:tcPr>
          <w:p>
            <w:r>
              <w:rPr>
                <w:sz w:val="17"/>
              </w:rPr>
            </w:r>
            <w:r>
              <w:rPr>
                <w:b w:val="0"/>
                <w:i w:val="0"/>
                <w:sz w:val="17"/>
              </w:rPr>
              <w:t>Continuing</w:t>
            </w:r>
          </w:p>
        </w:tc>
        <w:tc>
          <w:tcPr>
            <w:tcW w:type="dxa" w:w="1152"/>
          </w:tcPr>
          <w:p>
            <w:r>
              <w:rPr>
                <w:sz w:val="17"/>
              </w:rPr>
            </w:r>
            <w:r>
              <w:rPr>
                <w:b w:val="0"/>
                <w:i w:val="0"/>
                <w:sz w:val="17"/>
              </w:rPr>
              <w:t>HTM</w:t>
            </w:r>
          </w:p>
        </w:tc>
        <w:tc>
          <w:tcPr>
            <w:tcW w:type="dxa" w:w="2160"/>
          </w:tcPr>
          <w:p>
            <w:r>
              <w:rPr>
                <w:sz w:val="17"/>
              </w:rPr>
            </w:r>
            <w:r>
              <w:rPr>
                <w:b w:val="0"/>
                <w:i w:val="0"/>
                <w:sz w:val="17"/>
              </w:rPr>
              <w:t>Route through HTM</w:t>
            </w:r>
          </w:p>
        </w:tc>
      </w:tr>
      <w:tr>
        <w:tc>
          <w:tcPr>
            <w:tcW w:type="dxa" w:w="648"/>
          </w:tcPr>
          <w:p>
            <w:r>
              <w:rPr>
                <w:sz w:val="17"/>
              </w:rPr>
            </w:r>
            <w:r>
              <w:rPr>
                <w:b w:val="0"/>
                <w:i w:val="0"/>
                <w:sz w:val="17"/>
              </w:rPr>
              <w:t>I3</w:t>
            </w:r>
          </w:p>
        </w:tc>
        <w:tc>
          <w:tcPr>
            <w:tcW w:type="dxa" w:w="3600"/>
          </w:tcPr>
          <w:p>
            <w:r>
              <w:rPr>
                <w:sz w:val="17"/>
              </w:rPr>
            </w:r>
            <w:r>
              <w:rPr>
                <w:b w:val="0"/>
                <w:i w:val="0"/>
                <w:sz w:val="17"/>
              </w:rPr>
              <w:t>Raise scope questions promptly rather than interpreting unilaterally; deadlines may be changed only by written agreement</w:t>
            </w:r>
          </w:p>
        </w:tc>
        <w:tc>
          <w:tcPr>
            <w:tcW w:type="dxa" w:w="1008"/>
          </w:tcPr>
          <w:p>
            <w:r>
              <w:rPr>
                <w:sz w:val="17"/>
              </w:rPr>
            </w:r>
            <w:r>
              <w:rPr>
                <w:b w:val="0"/>
                <w:i w:val="0"/>
                <w:sz w:val="17"/>
              </w:rPr>
              <w:t>Cover letter; ¶51</w:t>
            </w:r>
          </w:p>
        </w:tc>
        <w:tc>
          <w:tcPr>
            <w:tcW w:type="dxa" w:w="1152"/>
          </w:tcPr>
          <w:p>
            <w:r>
              <w:rPr>
                <w:sz w:val="17"/>
              </w:rPr>
            </w:r>
            <w:r>
              <w:rPr>
                <w:b w:val="0"/>
                <w:i w:val="0"/>
                <w:sz w:val="17"/>
              </w:rPr>
              <w:t>Now</w:t>
            </w:r>
          </w:p>
        </w:tc>
        <w:tc>
          <w:tcPr>
            <w:tcW w:type="dxa" w:w="1152"/>
          </w:tcPr>
          <w:p>
            <w:r>
              <w:rPr>
                <w:sz w:val="17"/>
              </w:rPr>
            </w:r>
            <w:r>
              <w:rPr>
                <w:b w:val="0"/>
                <w:i w:val="0"/>
                <w:sz w:val="17"/>
              </w:rPr>
              <w:t>HTM</w:t>
            </w:r>
          </w:p>
        </w:tc>
        <w:tc>
          <w:tcPr>
            <w:tcW w:type="dxa" w:w="2160"/>
          </w:tcPr>
          <w:p>
            <w:r>
              <w:rPr>
                <w:sz w:val="17"/>
              </w:rPr>
            </w:r>
            <w:r>
              <w:rPr>
                <w:b w:val="0"/>
                <w:i w:val="0"/>
                <w:sz w:val="17"/>
              </w:rPr>
              <w:t>See Part XI</w:t>
            </w:r>
          </w:p>
        </w:tc>
      </w:tr>
      <w:tr>
        <w:tc>
          <w:tcPr>
            <w:tcW w:type="dxa" w:w="648"/>
          </w:tcPr>
          <w:p>
            <w:r>
              <w:rPr>
                <w:sz w:val="17"/>
              </w:rPr>
            </w:r>
            <w:r>
              <w:rPr>
                <w:b w:val="0"/>
                <w:i w:val="0"/>
                <w:sz w:val="17"/>
              </w:rPr>
              <w:t>J1</w:t>
            </w:r>
          </w:p>
        </w:tc>
        <w:tc>
          <w:tcPr>
            <w:tcW w:type="dxa" w:w="3600"/>
          </w:tcPr>
          <w:p>
            <w:r>
              <w:rPr>
                <w:sz w:val="17"/>
              </w:rPr>
            </w:r>
            <w:r>
              <w:rPr>
                <w:b w:val="0"/>
                <w:i w:val="0"/>
                <w:sz w:val="17"/>
              </w:rPr>
              <w:t>Cooperation is expected and weighs in charging and sentencing decisions; non-cooperation is an aggravating factor</w:t>
            </w:r>
          </w:p>
        </w:tc>
        <w:tc>
          <w:tcPr>
            <w:tcW w:type="dxa" w:w="1008"/>
          </w:tcPr>
          <w:p>
            <w:r>
              <w:rPr>
                <w:sz w:val="17"/>
              </w:rPr>
            </w:r>
            <w:r>
              <w:rPr>
                <w:b w:val="0"/>
                <w:i w:val="0"/>
                <w:sz w:val="17"/>
              </w:rPr>
              <w:t>¶50</w:t>
            </w:r>
          </w:p>
        </w:tc>
        <w:tc>
          <w:tcPr>
            <w:tcW w:type="dxa" w:w="1152"/>
          </w:tcPr>
          <w:p>
            <w:r>
              <w:rPr>
                <w:sz w:val="17"/>
              </w:rPr>
            </w:r>
            <w:r>
              <w:rPr>
                <w:b w:val="0"/>
                <w:i w:val="0"/>
                <w:sz w:val="17"/>
              </w:rPr>
              <w:t>Continuing</w:t>
            </w:r>
          </w:p>
        </w:tc>
        <w:tc>
          <w:tcPr>
            <w:tcW w:type="dxa" w:w="1152"/>
          </w:tcPr>
          <w:p>
            <w:r>
              <w:rPr>
                <w:sz w:val="17"/>
              </w:rPr>
            </w:r>
            <w:r>
              <w:rPr>
                <w:b w:val="0"/>
                <w:i w:val="0"/>
                <w:sz w:val="17"/>
              </w:rPr>
              <w:t>HTM / Board</w:t>
            </w:r>
          </w:p>
        </w:tc>
        <w:tc>
          <w:tcPr>
            <w:tcW w:type="dxa" w:w="2160"/>
          </w:tcPr>
          <w:p>
            <w:r>
              <w:rPr>
                <w:sz w:val="17"/>
              </w:rPr>
            </w:r>
            <w:r>
              <w:rPr>
                <w:b w:val="0"/>
                <w:i w:val="0"/>
                <w:sz w:val="17"/>
              </w:rPr>
              <w:t>Supports early, transparent disclosure</w:t>
            </w:r>
          </w:p>
        </w:tc>
      </w:tr>
    </w:tbl>
    <w:p/>
    <w:p>
      <w:pPr>
        <w:pStyle w:val="Heading2"/>
      </w:pPr>
      <w:r>
        <w:t>K. The March 17 Compliance Certification (¶45) — Required Contents</w:t>
      </w:r>
    </w:p>
    <w:tbl>
      <w:tblPr>
        <w:tblStyle w:val="TableGrid"/>
        <w:tblW w:type="auto" w:w="0"/>
        <w:tblLook w:firstColumn="1" w:firstRow="1" w:lastColumn="0" w:lastRow="0" w:noHBand="0" w:noVBand="1" w:val="04A0"/>
      </w:tblPr>
      <w:tblGrid>
        <w:gridCol w:w="3216"/>
        <w:gridCol w:w="3216"/>
        <w:gridCol w:w="3216"/>
      </w:tblGrid>
      <w:tr>
        <w:trPr>
          <w:tblHeader w:val="true"/>
        </w:trPr>
        <w:tc>
          <w:tcPr>
            <w:tcW w:type="dxa" w:w="720"/>
            <w:shd w:val="clear" w:color="auto" w:fill="1F3A5F"/>
          </w:tcPr>
          <w:p>
            <w:r/>
            <w:r>
              <w:rPr>
                <w:b/>
                <w:color w:val="FFFFFF"/>
                <w:sz w:val="17"/>
              </w:rPr>
              <w:t>Item</w:t>
            </w:r>
          </w:p>
        </w:tc>
        <w:tc>
          <w:tcPr>
            <w:tcW w:type="dxa" w:w="5184"/>
            <w:shd w:val="clear" w:color="auto" w:fill="1F3A5F"/>
          </w:tcPr>
          <w:p>
            <w:r/>
            <w:r>
              <w:rPr>
                <w:b/>
                <w:color w:val="FFFFFF"/>
                <w:sz w:val="17"/>
              </w:rPr>
              <w:t>Must confirm</w:t>
            </w:r>
          </w:p>
        </w:tc>
        <w:tc>
          <w:tcPr>
            <w:tcW w:type="dxa" w:w="3744"/>
            <w:shd w:val="clear" w:color="auto" w:fill="1F3A5F"/>
          </w:tcPr>
          <w:p>
            <w:r/>
            <w:r>
              <w:rPr>
                <w:b/>
                <w:color w:val="FFFFFF"/>
                <w:sz w:val="17"/>
              </w:rPr>
              <w:t>Readiness</w:t>
            </w:r>
          </w:p>
        </w:tc>
      </w:tr>
      <w:tr>
        <w:tc>
          <w:tcPr>
            <w:tcW w:type="dxa" w:w="720"/>
          </w:tcPr>
          <w:p>
            <w:r>
              <w:rPr>
                <w:sz w:val="17"/>
              </w:rPr>
            </w:r>
            <w:r>
              <w:rPr>
                <w:b w:val="0"/>
                <w:i w:val="0"/>
                <w:sz w:val="17"/>
              </w:rPr>
              <w:t>(a)</w:t>
            </w:r>
          </w:p>
        </w:tc>
        <w:tc>
          <w:tcPr>
            <w:tcW w:type="dxa" w:w="5184"/>
          </w:tcPr>
          <w:p>
            <w:r>
              <w:rPr>
                <w:sz w:val="17"/>
              </w:rPr>
            </w:r>
            <w:r>
              <w:rPr>
                <w:b w:val="0"/>
                <w:i w:val="0"/>
                <w:sz w:val="17"/>
              </w:rPr>
              <w:t>Company-wide hold implemented, including individual notices to all named custodians and to all departments, divisions and business units holding relevant data</w:t>
            </w:r>
          </w:p>
        </w:tc>
        <w:tc>
          <w:tcPr>
            <w:tcW w:type="dxa" w:w="3744"/>
          </w:tcPr>
          <w:p>
            <w:r>
              <w:rPr>
                <w:sz w:val="17"/>
              </w:rPr>
            </w:r>
            <w:r>
              <w:rPr>
                <w:b w:val="0"/>
                <w:i w:val="0"/>
                <w:sz w:val="17"/>
              </w:rPr>
              <w:t>Not ready. Needs notices, acknowledgments (Exh. C) and the 2 functional-title custodians identified</w:t>
            </w:r>
          </w:p>
        </w:tc>
      </w:tr>
      <w:tr>
        <w:tc>
          <w:tcPr>
            <w:tcW w:type="dxa" w:w="720"/>
          </w:tcPr>
          <w:p>
            <w:r>
              <w:rPr>
                <w:sz w:val="17"/>
              </w:rPr>
            </w:r>
            <w:r>
              <w:rPr>
                <w:b w:val="0"/>
                <w:i w:val="0"/>
                <w:sz w:val="17"/>
              </w:rPr>
              <w:t>(b)</w:t>
            </w:r>
          </w:p>
        </w:tc>
        <w:tc>
          <w:tcPr>
            <w:tcW w:type="dxa" w:w="5184"/>
          </w:tcPr>
          <w:p>
            <w:r>
              <w:rPr>
                <w:sz w:val="17"/>
              </w:rPr>
            </w:r>
            <w:r>
              <w:rPr>
                <w:b w:val="0"/>
                <w:i w:val="0"/>
                <w:sz w:val="17"/>
              </w:rPr>
              <w:t>All auto-deletion, destruction, tape recycling, email purge and disposal routines suspended company-wide</w:t>
            </w:r>
          </w:p>
        </w:tc>
        <w:tc>
          <w:tcPr>
            <w:tcW w:type="dxa" w:w="3744"/>
          </w:tcPr>
          <w:p>
            <w:r>
              <w:rPr>
                <w:sz w:val="17"/>
              </w:rPr>
            </w:r>
            <w:r>
              <w:rPr>
                <w:b w:val="0"/>
                <w:i w:val="0"/>
                <w:sz w:val="17"/>
              </w:rPr>
              <w:t>Not ready. See A2, D2, E1–E3, G1</w:t>
            </w:r>
          </w:p>
        </w:tc>
      </w:tr>
      <w:tr>
        <w:tc>
          <w:tcPr>
            <w:tcW w:type="dxa" w:w="720"/>
          </w:tcPr>
          <w:p>
            <w:r>
              <w:rPr>
                <w:sz w:val="17"/>
              </w:rPr>
            </w:r>
            <w:r>
              <w:rPr>
                <w:b w:val="0"/>
                <w:i w:val="0"/>
                <w:sz w:val="17"/>
              </w:rPr>
              <w:t>(c)</w:t>
            </w:r>
          </w:p>
        </w:tc>
        <w:tc>
          <w:tcPr>
            <w:tcW w:type="dxa" w:w="5184"/>
          </w:tcPr>
          <w:p>
            <w:r>
              <w:rPr>
                <w:sz w:val="17"/>
              </w:rPr>
            </w:r>
            <w:r>
              <w:rPr>
                <w:b w:val="0"/>
                <w:i w:val="0"/>
                <w:sz w:val="17"/>
              </w:rPr>
              <w:t>Written preservation notices issued to the vendors in ¶43</w:t>
            </w:r>
          </w:p>
        </w:tc>
        <w:tc>
          <w:tcPr>
            <w:tcW w:type="dxa" w:w="3744"/>
          </w:tcPr>
          <w:p>
            <w:r>
              <w:rPr>
                <w:sz w:val="17"/>
              </w:rPr>
            </w:r>
            <w:r>
              <w:rPr>
                <w:b w:val="0"/>
                <w:i w:val="0"/>
                <w:sz w:val="17"/>
              </w:rPr>
              <w:t>Not ready. Due Mar. 13</w:t>
            </w:r>
          </w:p>
        </w:tc>
      </w:tr>
      <w:tr>
        <w:tc>
          <w:tcPr>
            <w:tcW w:type="dxa" w:w="720"/>
          </w:tcPr>
          <w:p>
            <w:r>
              <w:rPr>
                <w:sz w:val="17"/>
              </w:rPr>
            </w:r>
            <w:r>
              <w:rPr>
                <w:b w:val="0"/>
                <w:i w:val="0"/>
                <w:sz w:val="17"/>
              </w:rPr>
              <w:t>(d)</w:t>
            </w:r>
          </w:p>
        </w:tc>
        <w:tc>
          <w:tcPr>
            <w:tcW w:type="dxa" w:w="5184"/>
          </w:tcPr>
          <w:p>
            <w:r>
              <w:rPr>
                <w:sz w:val="17"/>
              </w:rPr>
            </w:r>
            <w:r>
              <w:rPr>
                <w:b w:val="0"/>
                <w:i w:val="0"/>
                <w:sz w:val="17"/>
              </w:rPr>
              <w:t>Steps initiated to image mobile devices (personal and company) of all 23 custodians, with a projected completion timeline</w:t>
            </w:r>
          </w:p>
        </w:tc>
        <w:tc>
          <w:tcPr>
            <w:tcW w:type="dxa" w:w="3744"/>
          </w:tcPr>
          <w:p>
            <w:r>
              <w:rPr>
                <w:sz w:val="17"/>
              </w:rPr>
            </w:r>
            <w:r>
              <w:rPr>
                <w:b w:val="0"/>
                <w:i w:val="0"/>
                <w:sz w:val="17"/>
              </w:rPr>
              <w:t>Not ready. Needs Greenwell schedule and a position on HCP and BYOD devices</w:t>
            </w:r>
          </w:p>
        </w:tc>
      </w:tr>
      <w:tr>
        <w:tc>
          <w:tcPr>
            <w:tcW w:type="dxa" w:w="720"/>
          </w:tcPr>
          <w:p>
            <w:r>
              <w:rPr>
                <w:sz w:val="17"/>
              </w:rPr>
            </w:r>
            <w:r>
              <w:rPr>
                <w:b w:val="0"/>
                <w:i w:val="0"/>
                <w:sz w:val="17"/>
              </w:rPr>
              <w:t>(e)</w:t>
            </w:r>
          </w:p>
        </w:tc>
        <w:tc>
          <w:tcPr>
            <w:tcW w:type="dxa" w:w="5184"/>
          </w:tcPr>
          <w:p>
            <w:r>
              <w:rPr>
                <w:sz w:val="17"/>
              </w:rPr>
            </w:r>
            <w:r>
              <w:rPr>
                <w:b w:val="0"/>
                <w:i w:val="0"/>
                <w:sz w:val="17"/>
              </w:rPr>
              <w:t>Name and title of the person(s) responsible for overseeing compliance</w:t>
            </w:r>
          </w:p>
        </w:tc>
        <w:tc>
          <w:tcPr>
            <w:tcW w:type="dxa" w:w="3744"/>
          </w:tcPr>
          <w:p>
            <w:r>
              <w:rPr>
                <w:sz w:val="17"/>
              </w:rPr>
            </w:r>
            <w:r>
              <w:rPr>
                <w:b w:val="0"/>
                <w:i w:val="0"/>
                <w:sz w:val="17"/>
              </w:rPr>
              <w:t>Decision needed. We recommend HTM plus a non-custodian Ridgeline officer; see VIII.G</w:t>
            </w:r>
          </w:p>
        </w:tc>
      </w:tr>
      <w:tr>
        <w:tc>
          <w:tcPr>
            <w:tcW w:type="dxa" w:w="720"/>
          </w:tcPr>
          <w:p>
            <w:r>
              <w:rPr>
                <w:sz w:val="17"/>
              </w:rPr>
            </w:r>
            <w:r>
              <w:rPr>
                <w:b w:val="0"/>
                <w:i w:val="0"/>
                <w:sz w:val="17"/>
              </w:rPr>
              <w:t>(f)</w:t>
            </w:r>
          </w:p>
        </w:tc>
        <w:tc>
          <w:tcPr>
            <w:tcW w:type="dxa" w:w="5184"/>
          </w:tcPr>
          <w:p>
            <w:r>
              <w:rPr>
                <w:sz w:val="17"/>
              </w:rPr>
            </w:r>
            <w:r>
              <w:rPr>
                <w:b w:val="0"/>
                <w:i w:val="0"/>
                <w:sz w:val="17"/>
              </w:rPr>
              <w:t>Point of contact: name, title, address, phone, email</w:t>
            </w:r>
          </w:p>
        </w:tc>
        <w:tc>
          <w:tcPr>
            <w:tcW w:type="dxa" w:w="3744"/>
          </w:tcPr>
          <w:p>
            <w:r>
              <w:rPr>
                <w:sz w:val="17"/>
              </w:rPr>
            </w:r>
            <w:r>
              <w:rPr>
                <w:b w:val="0"/>
                <w:i w:val="0"/>
                <w:sz w:val="17"/>
              </w:rPr>
              <w:t>Recommend HTM (Hargrove/Prewitt)</w:t>
            </w:r>
          </w:p>
        </w:tc>
      </w:tr>
    </w:tbl>
    <w:p/>
    <w:p>
      <w:r>
        <w:rPr>
          <w:b w:val="0"/>
          <w:i w:val="0"/>
        </w:rPr>
      </w:r>
      <w:r>
        <w:rPr>
          <w:b/>
          <w:i w:val="0"/>
        </w:rPr>
        <w:t>Caution:</w:t>
      </w:r>
      <w:r>
        <w:rPr>
          <w:b w:val="0"/>
          <w:i w:val="0"/>
        </w:rPr>
        <w:t xml:space="preserve"> the certification must be accurate and properly qualified. A false or overstated certification could itself create §1519/§1001 exposure. It should be read together with (or come after) the ¶46 disclosure of known losses, and should not certify facts that have not been verified, such as the status of the backup tapes.</w:t>
      </w:r>
    </w:p>
    <w:p>
      <w:pPr>
        <w:pStyle w:val="Heading1"/>
      </w:pPr>
      <w:r>
        <w:t>VI. Reconciling the Notice's Category Numbering</w:t>
      </w:r>
    </w:p>
    <w:p>
      <w:r>
        <w:rPr>
          <w:b w:val="0"/>
          <w:i w:val="0"/>
        </w:rPr>
        <w:t>The body of the Notice and Exhibit B number the subject-matter areas differently. Paragraph 19 refers to "thirty-six (36) categories" in nine areas, but Exhibit B lists only 34.</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880"/>
            <w:shd w:val="clear" w:color="auto" w:fill="1F3A5F"/>
          </w:tcPr>
          <w:p>
            <w:r/>
            <w:r>
              <w:rPr>
                <w:b/>
                <w:color w:val="FFFFFF"/>
                <w:sz w:val="17"/>
              </w:rPr>
              <w:t>Topic</w:t>
            </w:r>
          </w:p>
        </w:tc>
        <w:tc>
          <w:tcPr>
            <w:tcW w:type="dxa" w:w="2736"/>
            <w:shd w:val="clear" w:color="auto" w:fill="1F3A5F"/>
          </w:tcPr>
          <w:p>
            <w:r/>
            <w:r>
              <w:rPr>
                <w:b/>
                <w:color w:val="FFFFFF"/>
                <w:sz w:val="17"/>
              </w:rPr>
              <w:t>Body ¶ and area #</w:t>
            </w:r>
          </w:p>
        </w:tc>
        <w:tc>
          <w:tcPr>
            <w:tcW w:type="dxa" w:w="1584"/>
            <w:shd w:val="clear" w:color="auto" w:fill="1F3A5F"/>
          </w:tcPr>
          <w:p>
            <w:r/>
            <w:r>
              <w:rPr>
                <w:b/>
                <w:color w:val="FFFFFF"/>
                <w:sz w:val="17"/>
              </w:rPr>
              <w:t>Exhibit B area #</w:t>
            </w:r>
          </w:p>
        </w:tc>
        <w:tc>
          <w:tcPr>
            <w:tcW w:type="dxa" w:w="2448"/>
            <w:shd w:val="clear" w:color="auto" w:fill="1F3A5F"/>
          </w:tcPr>
          <w:p>
            <w:r/>
            <w:r>
              <w:rPr>
                <w:b/>
                <w:color w:val="FFFFFF"/>
                <w:sz w:val="17"/>
              </w:rPr>
              <w:t>Categories</w:t>
            </w:r>
          </w:p>
        </w:tc>
      </w:tr>
      <w:tr>
        <w:tc>
          <w:tcPr>
            <w:tcW w:type="dxa" w:w="2880"/>
          </w:tcPr>
          <w:p>
            <w:r>
              <w:rPr>
                <w:sz w:val="17"/>
              </w:rPr>
            </w:r>
            <w:r>
              <w:rPr>
                <w:b w:val="0"/>
                <w:i w:val="0"/>
                <w:sz w:val="17"/>
              </w:rPr>
              <w:t>Speaker program administration</w:t>
            </w:r>
          </w:p>
        </w:tc>
        <w:tc>
          <w:tcPr>
            <w:tcW w:type="dxa" w:w="2736"/>
          </w:tcPr>
          <w:p>
            <w:r>
              <w:rPr>
                <w:sz w:val="17"/>
              </w:rPr>
            </w:r>
            <w:r>
              <w:rPr>
                <w:b w:val="0"/>
                <w:i w:val="0"/>
                <w:sz w:val="17"/>
              </w:rPr>
              <w:t>¶20 — Area 1</w:t>
            </w:r>
          </w:p>
        </w:tc>
        <w:tc>
          <w:tcPr>
            <w:tcW w:type="dxa" w:w="1584"/>
          </w:tcPr>
          <w:p>
            <w:r>
              <w:rPr>
                <w:sz w:val="17"/>
              </w:rPr>
            </w:r>
            <w:r>
              <w:rPr>
                <w:b w:val="0"/>
                <w:i w:val="0"/>
                <w:sz w:val="17"/>
              </w:rPr>
              <w:t>Area 1</w:t>
            </w:r>
          </w:p>
        </w:tc>
        <w:tc>
          <w:tcPr>
            <w:tcW w:type="dxa" w:w="2448"/>
          </w:tcPr>
          <w:p>
            <w:r>
              <w:rPr>
                <w:sz w:val="17"/>
              </w:rPr>
            </w:r>
            <w:r>
              <w:rPr>
                <w:b w:val="0"/>
                <w:i w:val="0"/>
                <w:sz w:val="17"/>
              </w:rPr>
              <w:t>1–6</w:t>
            </w:r>
          </w:p>
        </w:tc>
      </w:tr>
      <w:tr>
        <w:tc>
          <w:tcPr>
            <w:tcW w:type="dxa" w:w="2880"/>
          </w:tcPr>
          <w:p>
            <w:r>
              <w:rPr>
                <w:sz w:val="17"/>
              </w:rPr>
            </w:r>
            <w:r>
              <w:rPr>
                <w:b w:val="0"/>
                <w:i w:val="0"/>
                <w:sz w:val="17"/>
              </w:rPr>
              <w:t>Compensation / FMV</w:t>
            </w:r>
          </w:p>
        </w:tc>
        <w:tc>
          <w:tcPr>
            <w:tcW w:type="dxa" w:w="2736"/>
          </w:tcPr>
          <w:p>
            <w:r>
              <w:rPr>
                <w:sz w:val="17"/>
              </w:rPr>
            </w:r>
            <w:r>
              <w:rPr>
                <w:b w:val="0"/>
                <w:i w:val="0"/>
                <w:sz w:val="17"/>
              </w:rPr>
              <w:t>¶21 — Area 2</w:t>
            </w:r>
          </w:p>
        </w:tc>
        <w:tc>
          <w:tcPr>
            <w:tcW w:type="dxa" w:w="1584"/>
          </w:tcPr>
          <w:p>
            <w:r>
              <w:rPr>
                <w:sz w:val="17"/>
              </w:rPr>
            </w:r>
            <w:r>
              <w:rPr>
                <w:b w:val="0"/>
                <w:i w:val="0"/>
                <w:sz w:val="17"/>
              </w:rPr>
              <w:t>Area 2</w:t>
            </w:r>
          </w:p>
        </w:tc>
        <w:tc>
          <w:tcPr>
            <w:tcW w:type="dxa" w:w="2448"/>
          </w:tcPr>
          <w:p>
            <w:r>
              <w:rPr>
                <w:sz w:val="17"/>
              </w:rPr>
            </w:r>
            <w:r>
              <w:rPr>
                <w:b w:val="0"/>
                <w:i w:val="0"/>
                <w:sz w:val="17"/>
              </w:rPr>
              <w:t>7–10</w:t>
            </w:r>
          </w:p>
        </w:tc>
      </w:tr>
      <w:tr>
        <w:tc>
          <w:tcPr>
            <w:tcW w:type="dxa" w:w="2880"/>
          </w:tcPr>
          <w:p>
            <w:r>
              <w:rPr>
                <w:sz w:val="17"/>
              </w:rPr>
            </w:r>
            <w:r>
              <w:rPr>
                <w:b w:val="0"/>
                <w:i w:val="0"/>
                <w:sz w:val="17"/>
              </w:rPr>
              <w:t>HCP selection / due diligence</w:t>
            </w:r>
          </w:p>
        </w:tc>
        <w:tc>
          <w:tcPr>
            <w:tcW w:type="dxa" w:w="2736"/>
          </w:tcPr>
          <w:p>
            <w:r>
              <w:rPr>
                <w:sz w:val="17"/>
              </w:rPr>
            </w:r>
            <w:r>
              <w:rPr>
                <w:b w:val="0"/>
                <w:i w:val="0"/>
                <w:sz w:val="17"/>
              </w:rPr>
              <w:t>¶22 — Area 3</w:t>
            </w:r>
          </w:p>
        </w:tc>
        <w:tc>
          <w:tcPr>
            <w:tcW w:type="dxa" w:w="1584"/>
          </w:tcPr>
          <w:p>
            <w:r>
              <w:rPr>
                <w:sz w:val="17"/>
              </w:rPr>
            </w:r>
            <w:r>
              <w:rPr>
                <w:b w:val="0"/>
                <w:i w:val="0"/>
                <w:sz w:val="17"/>
              </w:rPr>
              <w:t>Area 3</w:t>
            </w:r>
          </w:p>
        </w:tc>
        <w:tc>
          <w:tcPr>
            <w:tcW w:type="dxa" w:w="2448"/>
          </w:tcPr>
          <w:p>
            <w:r>
              <w:rPr>
                <w:sz w:val="17"/>
              </w:rPr>
            </w:r>
            <w:r>
              <w:rPr>
                <w:b w:val="0"/>
                <w:i w:val="0"/>
                <w:sz w:val="17"/>
              </w:rPr>
              <w:t>11–14</w:t>
            </w:r>
          </w:p>
        </w:tc>
      </w:tr>
      <w:tr>
        <w:tc>
          <w:tcPr>
            <w:tcW w:type="dxa" w:w="2880"/>
          </w:tcPr>
          <w:p>
            <w:r>
              <w:rPr>
                <w:sz w:val="17"/>
              </w:rPr>
            </w:r>
            <w:r>
              <w:rPr>
                <w:b w:val="0"/>
                <w:i w:val="0"/>
                <w:sz w:val="17"/>
              </w:rPr>
              <w:t>HCP communications (broad and Exh. D)</w:t>
            </w:r>
          </w:p>
        </w:tc>
        <w:tc>
          <w:tcPr>
            <w:tcW w:type="dxa" w:w="2736"/>
          </w:tcPr>
          <w:p>
            <w:r>
              <w:rPr>
                <w:sz w:val="17"/>
              </w:rPr>
            </w:r>
            <w:r>
              <w:rPr>
                <w:b w:val="0"/>
                <w:i w:val="0"/>
                <w:sz w:val="17"/>
              </w:rPr>
              <w:t>¶¶23–24 — Area 4 (Parts A and B)</w:t>
            </w:r>
          </w:p>
        </w:tc>
        <w:tc>
          <w:tcPr>
            <w:tcW w:type="dxa" w:w="1584"/>
          </w:tcPr>
          <w:p>
            <w:r>
              <w:rPr>
                <w:sz w:val="17"/>
              </w:rPr>
            </w:r>
            <w:r>
              <w:rPr>
                <w:b w:val="0"/>
                <w:i w:val="0"/>
                <w:sz w:val="17"/>
              </w:rPr>
            </w:r>
            <w:r>
              <w:rPr>
                <w:b/>
                <w:i w:val="0"/>
                <w:sz w:val="17"/>
              </w:rPr>
              <w:t>None</w:t>
            </w:r>
            <w:r>
              <w:rPr>
                <w:b w:val="0"/>
                <w:i w:val="0"/>
                <w:sz w:val="17"/>
              </w:rPr>
            </w:r>
          </w:p>
        </w:tc>
        <w:tc>
          <w:tcPr>
            <w:tcW w:type="dxa" w:w="2448"/>
          </w:tcPr>
          <w:p>
            <w:r>
              <w:rPr>
                <w:sz w:val="17"/>
              </w:rPr>
            </w:r>
            <w:r>
              <w:rPr>
                <w:b w:val="0"/>
                <w:i w:val="0"/>
                <w:sz w:val="17"/>
              </w:rPr>
              <w:t>Unnumbered. Probably the 2 "missing" categories (36 − 34)</w:t>
            </w:r>
          </w:p>
        </w:tc>
      </w:tr>
      <w:tr>
        <w:tc>
          <w:tcPr>
            <w:tcW w:type="dxa" w:w="2880"/>
          </w:tcPr>
          <w:p>
            <w:r>
              <w:rPr>
                <w:sz w:val="17"/>
              </w:rPr>
            </w:r>
            <w:r>
              <w:rPr>
                <w:b w:val="0"/>
                <w:i w:val="0"/>
                <w:sz w:val="17"/>
              </w:rPr>
              <w:t>Patient assistance / RPAF</w:t>
            </w:r>
          </w:p>
        </w:tc>
        <w:tc>
          <w:tcPr>
            <w:tcW w:type="dxa" w:w="2736"/>
          </w:tcPr>
          <w:p>
            <w:r>
              <w:rPr>
                <w:sz w:val="17"/>
              </w:rPr>
            </w:r>
            <w:r>
              <w:rPr>
                <w:b w:val="0"/>
                <w:i w:val="0"/>
                <w:sz w:val="17"/>
              </w:rPr>
              <w:t>¶25 — Area 5</w:t>
            </w:r>
          </w:p>
        </w:tc>
        <w:tc>
          <w:tcPr>
            <w:tcW w:type="dxa" w:w="1584"/>
          </w:tcPr>
          <w:p>
            <w:r>
              <w:rPr>
                <w:sz w:val="17"/>
              </w:rPr>
            </w:r>
            <w:r>
              <w:rPr>
                <w:b w:val="0"/>
                <w:i w:val="0"/>
                <w:sz w:val="17"/>
              </w:rPr>
              <w:t>Area 4</w:t>
            </w:r>
          </w:p>
        </w:tc>
        <w:tc>
          <w:tcPr>
            <w:tcW w:type="dxa" w:w="2448"/>
          </w:tcPr>
          <w:p>
            <w:r>
              <w:rPr>
                <w:sz w:val="17"/>
              </w:rPr>
            </w:r>
            <w:r>
              <w:rPr>
                <w:b w:val="0"/>
                <w:i w:val="0"/>
                <w:sz w:val="17"/>
              </w:rPr>
              <w:t>15–19</w:t>
            </w:r>
          </w:p>
        </w:tc>
      </w:tr>
      <w:tr>
        <w:tc>
          <w:tcPr>
            <w:tcW w:type="dxa" w:w="2880"/>
          </w:tcPr>
          <w:p>
            <w:r>
              <w:rPr>
                <w:sz w:val="17"/>
              </w:rPr>
            </w:r>
            <w:r>
              <w:rPr>
                <w:b w:val="0"/>
                <w:i w:val="0"/>
                <w:sz w:val="17"/>
              </w:rPr>
              <w:t>Compliance / audit</w:t>
            </w:r>
          </w:p>
        </w:tc>
        <w:tc>
          <w:tcPr>
            <w:tcW w:type="dxa" w:w="2736"/>
          </w:tcPr>
          <w:p>
            <w:r>
              <w:rPr>
                <w:sz w:val="17"/>
              </w:rPr>
            </w:r>
            <w:r>
              <w:rPr>
                <w:b w:val="0"/>
                <w:i w:val="0"/>
                <w:sz w:val="17"/>
              </w:rPr>
              <w:t>¶26 — Area 6</w:t>
            </w:r>
          </w:p>
        </w:tc>
        <w:tc>
          <w:tcPr>
            <w:tcW w:type="dxa" w:w="1584"/>
          </w:tcPr>
          <w:p>
            <w:r>
              <w:rPr>
                <w:sz w:val="17"/>
              </w:rPr>
            </w:r>
            <w:r>
              <w:rPr>
                <w:b w:val="0"/>
                <w:i w:val="0"/>
                <w:sz w:val="17"/>
              </w:rPr>
              <w:t>Area 5</w:t>
            </w:r>
          </w:p>
        </w:tc>
        <w:tc>
          <w:tcPr>
            <w:tcW w:type="dxa" w:w="2448"/>
          </w:tcPr>
          <w:p>
            <w:r>
              <w:rPr>
                <w:sz w:val="17"/>
              </w:rPr>
            </w:r>
            <w:r>
              <w:rPr>
                <w:b w:val="0"/>
                <w:i w:val="0"/>
                <w:sz w:val="17"/>
              </w:rPr>
              <w:t>20–23</w:t>
            </w:r>
          </w:p>
        </w:tc>
      </w:tr>
      <w:tr>
        <w:tc>
          <w:tcPr>
            <w:tcW w:type="dxa" w:w="2880"/>
          </w:tcPr>
          <w:p>
            <w:r>
              <w:rPr>
                <w:sz w:val="17"/>
              </w:rPr>
            </w:r>
            <w:r>
              <w:rPr>
                <w:b w:val="0"/>
                <w:i w:val="0"/>
                <w:sz w:val="17"/>
              </w:rPr>
              <w:t>Financial records</w:t>
            </w:r>
          </w:p>
        </w:tc>
        <w:tc>
          <w:tcPr>
            <w:tcW w:type="dxa" w:w="2736"/>
          </w:tcPr>
          <w:p>
            <w:r>
              <w:rPr>
                <w:sz w:val="17"/>
              </w:rPr>
            </w:r>
            <w:r>
              <w:rPr>
                <w:b w:val="0"/>
                <w:i w:val="0"/>
                <w:sz w:val="17"/>
              </w:rPr>
              <w:t>¶27 — Area 7</w:t>
            </w:r>
          </w:p>
        </w:tc>
        <w:tc>
          <w:tcPr>
            <w:tcW w:type="dxa" w:w="1584"/>
          </w:tcPr>
          <w:p>
            <w:r>
              <w:rPr>
                <w:sz w:val="17"/>
              </w:rPr>
            </w:r>
            <w:r>
              <w:rPr>
                <w:b w:val="0"/>
                <w:i w:val="0"/>
                <w:sz w:val="17"/>
              </w:rPr>
              <w:t>Area 6</w:t>
            </w:r>
          </w:p>
        </w:tc>
        <w:tc>
          <w:tcPr>
            <w:tcW w:type="dxa" w:w="2448"/>
          </w:tcPr>
          <w:p>
            <w:r>
              <w:rPr>
                <w:sz w:val="17"/>
              </w:rPr>
            </w:r>
            <w:r>
              <w:rPr>
                <w:b w:val="0"/>
                <w:i w:val="0"/>
                <w:sz w:val="17"/>
              </w:rPr>
              <w:t>24–27</w:t>
            </w:r>
          </w:p>
        </w:tc>
      </w:tr>
      <w:tr>
        <w:tc>
          <w:tcPr>
            <w:tcW w:type="dxa" w:w="2880"/>
          </w:tcPr>
          <w:p>
            <w:r>
              <w:rPr>
                <w:sz w:val="17"/>
              </w:rPr>
            </w:r>
            <w:r>
              <w:rPr>
                <w:b w:val="0"/>
                <w:i w:val="0"/>
                <w:sz w:val="17"/>
              </w:rPr>
              <w:t>Marketing / promotional</w:t>
            </w:r>
          </w:p>
        </w:tc>
        <w:tc>
          <w:tcPr>
            <w:tcW w:type="dxa" w:w="2736"/>
          </w:tcPr>
          <w:p>
            <w:r>
              <w:rPr>
                <w:sz w:val="17"/>
              </w:rPr>
            </w:r>
            <w:r>
              <w:rPr>
                <w:b w:val="0"/>
                <w:i w:val="0"/>
                <w:sz w:val="17"/>
              </w:rPr>
              <w:t>¶28 — Area 8</w:t>
            </w:r>
          </w:p>
        </w:tc>
        <w:tc>
          <w:tcPr>
            <w:tcW w:type="dxa" w:w="1584"/>
          </w:tcPr>
          <w:p>
            <w:r>
              <w:rPr>
                <w:sz w:val="17"/>
              </w:rPr>
            </w:r>
            <w:r>
              <w:rPr>
                <w:b w:val="0"/>
                <w:i w:val="0"/>
                <w:sz w:val="17"/>
              </w:rPr>
              <w:t>Area 7</w:t>
            </w:r>
          </w:p>
        </w:tc>
        <w:tc>
          <w:tcPr>
            <w:tcW w:type="dxa" w:w="2448"/>
          </w:tcPr>
          <w:p>
            <w:r>
              <w:rPr>
                <w:sz w:val="17"/>
              </w:rPr>
            </w:r>
            <w:r>
              <w:rPr>
                <w:b w:val="0"/>
                <w:i w:val="0"/>
                <w:sz w:val="17"/>
              </w:rPr>
              <w:t>28–30</w:t>
            </w:r>
          </w:p>
        </w:tc>
      </w:tr>
      <w:tr>
        <w:tc>
          <w:tcPr>
            <w:tcW w:type="dxa" w:w="2880"/>
          </w:tcPr>
          <w:p>
            <w:r>
              <w:rPr>
                <w:sz w:val="17"/>
              </w:rPr>
            </w:r>
            <w:r>
              <w:rPr>
                <w:b w:val="0"/>
                <w:i w:val="0"/>
                <w:sz w:val="17"/>
              </w:rPr>
              <w:t>Government inquiry communications</w:t>
            </w:r>
          </w:p>
        </w:tc>
        <w:tc>
          <w:tcPr>
            <w:tcW w:type="dxa" w:w="2736"/>
          </w:tcPr>
          <w:p>
            <w:r>
              <w:rPr>
                <w:sz w:val="17"/>
              </w:rPr>
            </w:r>
            <w:r>
              <w:rPr>
                <w:b w:val="0"/>
                <w:i w:val="0"/>
                <w:sz w:val="17"/>
              </w:rPr>
              <w:t>¶29 — Area 9 Part A</w:t>
            </w:r>
          </w:p>
        </w:tc>
        <w:tc>
          <w:tcPr>
            <w:tcW w:type="dxa" w:w="1584"/>
          </w:tcPr>
          <w:p>
            <w:r>
              <w:rPr>
                <w:sz w:val="17"/>
              </w:rPr>
            </w:r>
            <w:r>
              <w:rPr>
                <w:b w:val="0"/>
                <w:i w:val="0"/>
                <w:sz w:val="17"/>
              </w:rPr>
              <w:t>Area 8</w:t>
            </w:r>
          </w:p>
        </w:tc>
        <w:tc>
          <w:tcPr>
            <w:tcW w:type="dxa" w:w="2448"/>
          </w:tcPr>
          <w:p>
            <w:r>
              <w:rPr>
                <w:sz w:val="17"/>
              </w:rPr>
            </w:r>
            <w:r>
              <w:rPr>
                <w:b w:val="0"/>
                <w:i w:val="0"/>
                <w:sz w:val="17"/>
              </w:rPr>
              <w:t>31–32</w:t>
            </w:r>
          </w:p>
        </w:tc>
      </w:tr>
      <w:tr>
        <w:tc>
          <w:tcPr>
            <w:tcW w:type="dxa" w:w="2880"/>
          </w:tcPr>
          <w:p>
            <w:r>
              <w:rPr>
                <w:sz w:val="17"/>
              </w:rPr>
            </w:r>
            <w:r>
              <w:rPr>
                <w:b w:val="0"/>
                <w:i w:val="0"/>
                <w:sz w:val="17"/>
              </w:rPr>
              <w:t>IT / data systems</w:t>
            </w:r>
          </w:p>
        </w:tc>
        <w:tc>
          <w:tcPr>
            <w:tcW w:type="dxa" w:w="2736"/>
          </w:tcPr>
          <w:p>
            <w:r>
              <w:rPr>
                <w:sz w:val="17"/>
              </w:rPr>
            </w:r>
            <w:r>
              <w:rPr>
                <w:b w:val="0"/>
                <w:i w:val="0"/>
                <w:sz w:val="17"/>
              </w:rPr>
              <w:t>¶30 — Area 9 Part B</w:t>
            </w:r>
          </w:p>
        </w:tc>
        <w:tc>
          <w:tcPr>
            <w:tcW w:type="dxa" w:w="1584"/>
          </w:tcPr>
          <w:p>
            <w:r>
              <w:rPr>
                <w:sz w:val="17"/>
              </w:rPr>
            </w:r>
            <w:r>
              <w:rPr>
                <w:b w:val="0"/>
                <w:i w:val="0"/>
                <w:sz w:val="17"/>
              </w:rPr>
              <w:t>Area 9</w:t>
            </w:r>
          </w:p>
        </w:tc>
        <w:tc>
          <w:tcPr>
            <w:tcW w:type="dxa" w:w="2448"/>
          </w:tcPr>
          <w:p>
            <w:r>
              <w:rPr>
                <w:sz w:val="17"/>
              </w:rPr>
            </w:r>
            <w:r>
              <w:rPr>
                <w:b w:val="0"/>
                <w:i w:val="0"/>
                <w:sz w:val="17"/>
              </w:rPr>
              <w:t>33–34</w:t>
            </w:r>
          </w:p>
        </w:tc>
      </w:tr>
    </w:tbl>
    <w:p/>
    <w:p>
      <w:r>
        <w:rPr>
          <w:b w:val="0"/>
          <w:i w:val="0"/>
        </w:rPr>
      </w:r>
      <w:r>
        <w:rPr>
          <w:b/>
          <w:i w:val="0"/>
        </w:rPr>
        <w:t>Consequence for ¶47:</w:t>
      </w:r>
      <w:r>
        <w:rPr>
          <w:b w:val="0"/>
          <w:i w:val="0"/>
        </w:rPr>
        <w:t xml:space="preserve"> the extended 2017 period applies to "Subject-Matter Area 7 (Categories 24–27) of Exhibit B." In Exhibit B, Area 7 is Marketing (Categories 28–30); Categories 24–27 are Financial, which is Area 6. The text of ¶47 and the category numbers show that financial records are intended. </w:t>
      </w:r>
      <w:r>
        <w:rPr>
          <w:b/>
          <w:i w:val="0"/>
        </w:rPr>
        <w:t>Recommendation:</w:t>
      </w:r>
      <w:r>
        <w:rPr>
          <w:b w:val="0"/>
          <w:i w:val="0"/>
        </w:rPr>
        <w:t xml:space="preserve"> apply the 2017 start date to Categories 24–27 and all financial and payment records. Also consider preserving 2017–2018 Velcara pre-launch marketing materials (Area 7 in Exhibit B) until DOJ clarifies in writing.</w:t>
      </w:r>
    </w:p>
    <w:p>
      <w:pPr>
        <w:pStyle w:val="Heading1"/>
      </w:pPr>
      <w:r>
        <w:t>VII. Conflicts Between the Notice and Internal Policy / Practice</w:t>
      </w:r>
    </w:p>
    <w:tbl>
      <w:tblPr>
        <w:tblStyle w:val="TableGrid"/>
        <w:tblW w:type="auto" w:w="0"/>
        <w:tblLook w:firstColumn="1" w:firstRow="1" w:lastColumn="0" w:lastRow="0" w:noHBand="0" w:noVBand="1" w:val="04A0"/>
      </w:tblPr>
      <w:tblGrid>
        <w:gridCol w:w="3216"/>
        <w:gridCol w:w="3216"/>
        <w:gridCol w:w="3216"/>
      </w:tblGrid>
      <w:tr>
        <w:trPr>
          <w:tblHeader w:val="true"/>
        </w:trPr>
        <w:tc>
          <w:tcPr>
            <w:tcW w:type="dxa" w:w="3168"/>
            <w:shd w:val="clear" w:color="auto" w:fill="1F3A5F"/>
          </w:tcPr>
          <w:p>
            <w:r/>
            <w:r>
              <w:rPr>
                <w:b/>
                <w:color w:val="FFFFFF"/>
                <w:sz w:val="17"/>
              </w:rPr>
              <w:t>Policy RDG-LGL-007 provision</w:t>
            </w:r>
          </w:p>
        </w:tc>
        <w:tc>
          <w:tcPr>
            <w:tcW w:type="dxa" w:w="2736"/>
            <w:shd w:val="clear" w:color="auto" w:fill="1F3A5F"/>
          </w:tcPr>
          <w:p>
            <w:r/>
            <w:r>
              <w:rPr>
                <w:b/>
                <w:color w:val="FFFFFF"/>
                <w:sz w:val="17"/>
              </w:rPr>
              <w:t>Notice requirement</w:t>
            </w:r>
          </w:p>
        </w:tc>
        <w:tc>
          <w:tcPr>
            <w:tcW w:type="dxa" w:w="3744"/>
            <w:shd w:val="clear" w:color="auto" w:fill="1F3A5F"/>
          </w:tcPr>
          <w:p>
            <w:r/>
            <w:r>
              <w:rPr>
                <w:b/>
                <w:color w:val="FFFFFF"/>
                <w:sz w:val="17"/>
              </w:rPr>
              <w:t>Required action</w:t>
            </w:r>
          </w:p>
        </w:tc>
      </w:tr>
      <w:tr>
        <w:tc>
          <w:tcPr>
            <w:tcW w:type="dxa" w:w="3168"/>
          </w:tcPr>
          <w:p>
            <w:r>
              <w:rPr>
                <w:sz w:val="17"/>
              </w:rPr>
            </w:r>
            <w:r>
              <w:rPr>
                <w:b w:val="0"/>
                <w:i w:val="0"/>
                <w:sz w:val="17"/>
              </w:rPr>
              <w:t>§5.1 quarterly destruction (Jan/Apr/Jul/Oct 15); next cycle Apr. 15, 2025</w:t>
            </w:r>
          </w:p>
        </w:tc>
        <w:tc>
          <w:tcPr>
            <w:tcW w:type="dxa" w:w="2736"/>
          </w:tcPr>
          <w:p>
            <w:r>
              <w:rPr>
                <w:sz w:val="17"/>
              </w:rPr>
            </w:r>
            <w:r>
              <w:rPr>
                <w:b w:val="0"/>
                <w:i w:val="0"/>
                <w:sz w:val="17"/>
              </w:rPr>
              <w:t>¶¶5, 33: all destruction suspended</w:t>
            </w:r>
          </w:p>
        </w:tc>
        <w:tc>
          <w:tcPr>
            <w:tcW w:type="dxa" w:w="3744"/>
          </w:tcPr>
          <w:p>
            <w:r>
              <w:rPr>
                <w:sz w:val="17"/>
              </w:rPr>
            </w:r>
            <w:r>
              <w:rPr>
                <w:b w:val="0"/>
                <w:i w:val="0"/>
                <w:sz w:val="17"/>
              </w:rPr>
              <w:t>Cancel the Apr. 15 cycle in writing; instruct the Records Coordinator; direct Sentinel to take no destruction orders without HTM countersignature</w:t>
            </w:r>
          </w:p>
        </w:tc>
      </w:tr>
      <w:tr>
        <w:tc>
          <w:tcPr>
            <w:tcW w:type="dxa" w:w="3168"/>
          </w:tcPr>
          <w:p>
            <w:r>
              <w:rPr>
                <w:sz w:val="17"/>
              </w:rPr>
            </w:r>
            <w:r>
              <w:rPr>
                <w:b w:val="0"/>
                <w:i w:val="0"/>
                <w:sz w:val="17"/>
              </w:rPr>
              <w:t>§4.3 90-day tape rotation; no permanent archive</w:t>
            </w:r>
          </w:p>
        </w:tc>
        <w:tc>
          <w:tcPr>
            <w:tcW w:type="dxa" w:w="2736"/>
          </w:tcPr>
          <w:p>
            <w:r>
              <w:rPr>
                <w:sz w:val="17"/>
              </w:rPr>
            </w:r>
            <w:r>
              <w:rPr>
                <w:b w:val="0"/>
                <w:i w:val="0"/>
                <w:sz w:val="17"/>
              </w:rPr>
              <w:t>¶41: suspend rotation entirely</w:t>
            </w:r>
          </w:p>
        </w:tc>
        <w:tc>
          <w:tcPr>
            <w:tcW w:type="dxa" w:w="3744"/>
          </w:tcPr>
          <w:p>
            <w:r>
              <w:rPr>
                <w:sz w:val="17"/>
              </w:rPr>
            </w:r>
            <w:r>
              <w:rPr>
                <w:b w:val="0"/>
                <w:i w:val="0"/>
                <w:sz w:val="17"/>
              </w:rPr>
              <w:t>Pull all tapes from rotation now; buy new media for DR; label with a hold reference</w:t>
            </w:r>
          </w:p>
        </w:tc>
      </w:tr>
      <w:tr>
        <w:tc>
          <w:tcPr>
            <w:tcW w:type="dxa" w:w="3168"/>
          </w:tcPr>
          <w:p>
            <w:r>
              <w:rPr>
                <w:sz w:val="17"/>
              </w:rPr>
            </w:r>
            <w:r>
              <w:rPr>
                <w:b w:val="0"/>
                <w:i w:val="0"/>
                <w:sz w:val="17"/>
              </w:rPr>
              <w:t>§4.1 30-day Recoverable Items purge; Cat. E 3-year email retention</w:t>
            </w:r>
          </w:p>
        </w:tc>
        <w:tc>
          <w:tcPr>
            <w:tcW w:type="dxa" w:w="2736"/>
          </w:tcPr>
          <w:p>
            <w:r>
              <w:rPr>
                <w:sz w:val="17"/>
              </w:rPr>
            </w:r>
            <w:r>
              <w:rPr>
                <w:b w:val="0"/>
                <w:i w:val="0"/>
                <w:sz w:val="17"/>
              </w:rPr>
              <w:t>¶36: no purge of Recoverable Items or Purges; archives and journals preserved</w:t>
            </w:r>
          </w:p>
        </w:tc>
        <w:tc>
          <w:tcPr>
            <w:tcW w:type="dxa" w:w="3744"/>
          </w:tcPr>
          <w:p>
            <w:r>
              <w:rPr>
                <w:sz w:val="17"/>
              </w:rPr>
            </w:r>
            <w:r>
              <w:rPr>
                <w:b w:val="0"/>
                <w:i w:val="0"/>
                <w:sz w:val="17"/>
              </w:rPr>
              <w:t>Org-wide M365 retention hold (not only 23 mailboxes, given ¶23 breadth); Litigation Hold on custodian mailboxes</w:t>
            </w:r>
          </w:p>
        </w:tc>
      </w:tr>
      <w:tr>
        <w:tc>
          <w:tcPr>
            <w:tcW w:type="dxa" w:w="3168"/>
          </w:tcPr>
          <w:p>
            <w:r>
              <w:rPr>
                <w:sz w:val="17"/>
              </w:rPr>
            </w:r>
            <w:r>
              <w:rPr>
                <w:b w:val="0"/>
                <w:i w:val="0"/>
                <w:sz w:val="17"/>
              </w:rPr>
              <w:t>Cat. T IM 1 year; Slack 90-day archiving; Teams recordings 1 year</w:t>
            </w:r>
          </w:p>
        </w:tc>
        <w:tc>
          <w:tcPr>
            <w:tcW w:type="dxa" w:w="2736"/>
          </w:tcPr>
          <w:p>
            <w:r>
              <w:rPr>
                <w:sz w:val="17"/>
              </w:rPr>
            </w:r>
            <w:r>
              <w:rPr>
                <w:b w:val="0"/>
                <w:i w:val="0"/>
                <w:sz w:val="17"/>
              </w:rPr>
              <w:t>¶37: indefinite retention</w:t>
            </w:r>
          </w:p>
        </w:tc>
        <w:tc>
          <w:tcPr>
            <w:tcW w:type="dxa" w:w="3744"/>
          </w:tcPr>
          <w:p>
            <w:r>
              <w:rPr>
                <w:sz w:val="17"/>
              </w:rPr>
            </w:r>
            <w:r>
              <w:rPr>
                <w:b w:val="0"/>
                <w:i w:val="0"/>
                <w:sz w:val="17"/>
              </w:rPr>
              <w:t>Change Slack Enterprise Grid and Teams retention to indefinite, org-wide</w:t>
            </w:r>
          </w:p>
        </w:tc>
      </w:tr>
      <w:tr>
        <w:tc>
          <w:tcPr>
            <w:tcW w:type="dxa" w:w="3168"/>
          </w:tcPr>
          <w:p>
            <w:r>
              <w:rPr>
                <w:sz w:val="17"/>
              </w:rPr>
            </w:r>
            <w:r>
              <w:rPr>
                <w:b w:val="0"/>
                <w:i w:val="0"/>
                <w:sz w:val="17"/>
              </w:rPr>
              <w:t>Cat. U voicemail 90 days</w:t>
            </w:r>
          </w:p>
        </w:tc>
        <w:tc>
          <w:tcPr>
            <w:tcW w:type="dxa" w:w="2736"/>
          </w:tcPr>
          <w:p>
            <w:r>
              <w:rPr>
                <w:sz w:val="17"/>
              </w:rPr>
            </w:r>
            <w:r>
              <w:rPr>
                <w:b w:val="0"/>
                <w:i w:val="0"/>
                <w:sz w:val="17"/>
              </w:rPr>
              <w:t>¶¶3(d), 24: voicemail is a Communication</w:t>
            </w:r>
          </w:p>
        </w:tc>
        <w:tc>
          <w:tcPr>
            <w:tcW w:type="dxa" w:w="3744"/>
          </w:tcPr>
          <w:p>
            <w:r>
              <w:rPr>
                <w:sz w:val="17"/>
              </w:rPr>
            </w:r>
            <w:r>
              <w:rPr>
                <w:b w:val="0"/>
                <w:i w:val="0"/>
                <w:sz w:val="17"/>
              </w:rPr>
              <w:t>Suspend voicemail purge (phone system / Teams Voice)</w:t>
            </w:r>
          </w:p>
        </w:tc>
      </w:tr>
      <w:tr>
        <w:tc>
          <w:tcPr>
            <w:tcW w:type="dxa" w:w="3168"/>
          </w:tcPr>
          <w:p>
            <w:r>
              <w:rPr>
                <w:sz w:val="17"/>
              </w:rPr>
            </w:r>
            <w:r>
              <w:rPr>
                <w:b w:val="0"/>
                <w:i w:val="0"/>
                <w:sz w:val="17"/>
              </w:rPr>
              <w:t>Cat. V mobile data 2 years; §4.5 MDM remote wipe</w:t>
            </w:r>
          </w:p>
        </w:tc>
        <w:tc>
          <w:tcPr>
            <w:tcW w:type="dxa" w:w="2736"/>
          </w:tcPr>
          <w:p>
            <w:r>
              <w:rPr>
                <w:sz w:val="17"/>
              </w:rPr>
            </w:r>
            <w:r>
              <w:rPr>
                <w:b w:val="0"/>
                <w:i w:val="0"/>
                <w:sz w:val="17"/>
              </w:rPr>
              <w:t>¶40: full forensic images</w:t>
            </w:r>
          </w:p>
        </w:tc>
        <w:tc>
          <w:tcPr>
            <w:tcW w:type="dxa" w:w="3744"/>
          </w:tcPr>
          <w:p>
            <w:r>
              <w:rPr>
                <w:sz w:val="17"/>
              </w:rPr>
            </w:r>
            <w:r>
              <w:rPr>
                <w:b w:val="0"/>
                <w:i w:val="0"/>
                <w:sz w:val="17"/>
              </w:rPr>
              <w:t>Suspend wipes and device replacement; image devices</w:t>
            </w:r>
          </w:p>
        </w:tc>
      </w:tr>
      <w:tr>
        <w:tc>
          <w:tcPr>
            <w:tcW w:type="dxa" w:w="3168"/>
          </w:tcPr>
          <w:p>
            <w:r>
              <w:rPr>
                <w:sz w:val="17"/>
              </w:rPr>
            </w:r>
            <w:r>
              <w:rPr>
                <w:b w:val="0"/>
                <w:i w:val="0"/>
                <w:sz w:val="17"/>
              </w:rPr>
              <w:t>§4.5 BYOD: imaging requires employee consent or court order</w:t>
            </w:r>
          </w:p>
        </w:tc>
        <w:tc>
          <w:tcPr>
            <w:tcW w:type="dxa" w:w="2736"/>
          </w:tcPr>
          <w:p>
            <w:r>
              <w:rPr>
                <w:sz w:val="17"/>
              </w:rPr>
            </w:r>
            <w:r>
              <w:rPr>
                <w:b w:val="0"/>
                <w:i w:val="0"/>
                <w:sz w:val="17"/>
              </w:rPr>
              <w:t>¶¶17, 40: image personal devices</w:t>
            </w:r>
          </w:p>
        </w:tc>
        <w:tc>
          <w:tcPr>
            <w:tcW w:type="dxa" w:w="3744"/>
          </w:tcPr>
          <w:p>
            <w:r>
              <w:rPr>
                <w:sz w:val="17"/>
              </w:rPr>
            </w:r>
            <w:r>
              <w:rPr>
                <w:b w:val="0"/>
                <w:i w:val="0"/>
                <w:sz w:val="17"/>
              </w:rPr>
              <w:t>Obtain written consent; escalate refusals to HTM; tell DOJ; possible separate counsel for individuals</w:t>
            </w:r>
          </w:p>
        </w:tc>
      </w:tr>
      <w:tr>
        <w:tc>
          <w:tcPr>
            <w:tcW w:type="dxa" w:w="3168"/>
          </w:tcPr>
          <w:p>
            <w:r>
              <w:rPr>
                <w:sz w:val="17"/>
              </w:rPr>
            </w:r>
            <w:r>
              <w:rPr>
                <w:b w:val="0"/>
                <w:i w:val="0"/>
                <w:sz w:val="17"/>
              </w:rPr>
              <w:t>Cat. F 2-year CRM retention (Veeva, Salesforce)</w:t>
            </w:r>
          </w:p>
        </w:tc>
        <w:tc>
          <w:tcPr>
            <w:tcW w:type="dxa" w:w="2736"/>
          </w:tcPr>
          <w:p>
            <w:r>
              <w:rPr>
                <w:sz w:val="17"/>
              </w:rPr>
            </w:r>
            <w:r>
              <w:rPr>
                <w:b w:val="0"/>
                <w:i w:val="0"/>
                <w:sz w:val="17"/>
              </w:rPr>
              <w:t>¶38: preserve CRM in full, including audit trail</w:t>
            </w:r>
          </w:p>
        </w:tc>
        <w:tc>
          <w:tcPr>
            <w:tcW w:type="dxa" w:w="3744"/>
          </w:tcPr>
          <w:p>
            <w:r>
              <w:rPr>
                <w:sz w:val="17"/>
              </w:rPr>
            </w:r>
            <w:r>
              <w:rPr>
                <w:b w:val="0"/>
                <w:i w:val="0"/>
                <w:sz w:val="17"/>
              </w:rPr>
              <w:t>Disable purge jobs; vendor notices</w:t>
            </w:r>
          </w:p>
        </w:tc>
      </w:tr>
      <w:tr>
        <w:tc>
          <w:tcPr>
            <w:tcW w:type="dxa" w:w="3168"/>
          </w:tcPr>
          <w:p>
            <w:r>
              <w:rPr>
                <w:sz w:val="17"/>
              </w:rPr>
            </w:r>
            <w:r>
              <w:rPr>
                <w:b w:val="0"/>
                <w:i w:val="0"/>
                <w:sz w:val="17"/>
              </w:rPr>
              <w:t>Cat. G 5 years from last use; K, L, M 6 years; D 7 years</w:t>
            </w:r>
          </w:p>
        </w:tc>
        <w:tc>
          <w:tcPr>
            <w:tcW w:type="dxa" w:w="2736"/>
          </w:tcPr>
          <w:p>
            <w:r>
              <w:rPr>
                <w:sz w:val="17"/>
              </w:rPr>
            </w:r>
            <w:r>
              <w:rPr>
                <w:b w:val="0"/>
                <w:i w:val="0"/>
                <w:sz w:val="17"/>
              </w:rPr>
              <w:t>¶¶5, 47: all suspended; financial records back to 2017</w:t>
            </w:r>
          </w:p>
        </w:tc>
        <w:tc>
          <w:tcPr>
            <w:tcW w:type="dxa" w:w="3744"/>
          </w:tcPr>
          <w:p>
            <w:r>
              <w:rPr>
                <w:sz w:val="17"/>
              </w:rPr>
            </w:r>
            <w:r>
              <w:rPr>
                <w:b w:val="0"/>
                <w:i w:val="0"/>
                <w:sz w:val="17"/>
              </w:rPr>
              <w:t>Suspend all schedules; confirm 2017–2018 financial data still exists</w:t>
            </w:r>
          </w:p>
        </w:tc>
      </w:tr>
      <w:tr>
        <w:tc>
          <w:tcPr>
            <w:tcW w:type="dxa" w:w="3168"/>
          </w:tcPr>
          <w:p>
            <w:r>
              <w:rPr>
                <w:sz w:val="17"/>
              </w:rPr>
            </w:r>
            <w:r>
              <w:rPr>
                <w:b w:val="0"/>
                <w:i w:val="0"/>
                <w:sz w:val="17"/>
              </w:rPr>
              <w:t>§1.2 / §3.3: RPAF outside Policy</w:t>
            </w:r>
          </w:p>
        </w:tc>
        <w:tc>
          <w:tcPr>
            <w:tcW w:type="dxa" w:w="2736"/>
          </w:tcPr>
          <w:p>
            <w:r>
              <w:rPr>
                <w:sz w:val="17"/>
              </w:rPr>
            </w:r>
            <w:r>
              <w:rPr>
                <w:b w:val="0"/>
                <w:i w:val="0"/>
                <w:sz w:val="17"/>
              </w:rPr>
              <w:t>¶4: RPAF expressly bound</w:t>
            </w:r>
          </w:p>
        </w:tc>
        <w:tc>
          <w:tcPr>
            <w:tcW w:type="dxa" w:w="3744"/>
          </w:tcPr>
          <w:p>
            <w:r>
              <w:rPr>
                <w:sz w:val="17"/>
              </w:rPr>
            </w:r>
            <w:r>
              <w:rPr>
                <w:b w:val="0"/>
                <w:i w:val="0"/>
                <w:sz w:val="17"/>
              </w:rPr>
              <w:t>Separate notice to RPAF board and executive director; see VIII.D</w:t>
            </w:r>
          </w:p>
        </w:tc>
      </w:tr>
      <w:tr>
        <w:tc>
          <w:tcPr>
            <w:tcW w:type="dxa" w:w="3168"/>
          </w:tcPr>
          <w:p>
            <w:r>
              <w:rPr>
                <w:sz w:val="17"/>
              </w:rPr>
            </w:r>
            <w:r>
              <w:rPr>
                <w:b w:val="0"/>
                <w:i w:val="0"/>
                <w:sz w:val="17"/>
              </w:rPr>
              <w:t>§2.1 lists Linden &amp; Pruitt as "current" regulatory counsel; App. B/C templates dated Apr. 2022</w:t>
            </w:r>
          </w:p>
        </w:tc>
        <w:tc>
          <w:tcPr>
            <w:tcW w:type="dxa" w:w="2736"/>
          </w:tcPr>
          <w:p>
            <w:r>
              <w:rPr>
                <w:sz w:val="17"/>
              </w:rPr>
            </w:r>
            <w:r>
              <w:rPr>
                <w:b w:val="0"/>
                <w:i w:val="0"/>
                <w:sz w:val="17"/>
              </w:rPr>
              <w:t>¶29: preserve L&amp;P communications</w:t>
            </w:r>
          </w:p>
        </w:tc>
        <w:tc>
          <w:tcPr>
            <w:tcW w:type="dxa" w:w="3744"/>
          </w:tcPr>
          <w:p>
            <w:r>
              <w:rPr>
                <w:sz w:val="17"/>
              </w:rPr>
            </w:r>
            <w:r>
              <w:rPr>
                <w:b w:val="0"/>
                <w:i w:val="0"/>
                <w:sz w:val="17"/>
              </w:rPr>
              <w:t>Update templates; route hold questions to HTM, not L&amp;P</w:t>
            </w:r>
          </w:p>
        </w:tc>
      </w:tr>
      <w:tr>
        <w:tc>
          <w:tcPr>
            <w:tcW w:type="dxa" w:w="3168"/>
          </w:tcPr>
          <w:p>
            <w:r>
              <w:rPr>
                <w:sz w:val="17"/>
              </w:rPr>
            </w:r>
            <w:r>
              <w:rPr>
                <w:b w:val="0"/>
                <w:i w:val="0"/>
                <w:sz w:val="17"/>
              </w:rPr>
              <w:t>§7.2 decommissioned hardware may be destroyed with VP-IT + GC dual approval</w:t>
            </w:r>
          </w:p>
        </w:tc>
        <w:tc>
          <w:tcPr>
            <w:tcW w:type="dxa" w:w="2736"/>
          </w:tcPr>
          <w:p>
            <w:r>
              <w:rPr>
                <w:sz w:val="17"/>
              </w:rPr>
            </w:r>
            <w:r>
              <w:rPr>
                <w:b w:val="0"/>
                <w:i w:val="0"/>
                <w:sz w:val="17"/>
              </w:rPr>
              <w:t>¶42: no disposal without written DOJ authorization</w:t>
            </w:r>
          </w:p>
        </w:tc>
        <w:tc>
          <w:tcPr>
            <w:tcW w:type="dxa" w:w="3744"/>
          </w:tcPr>
          <w:p>
            <w:r>
              <w:rPr>
                <w:sz w:val="17"/>
              </w:rPr>
            </w:r>
            <w:r>
              <w:rPr>
                <w:b w:val="0"/>
                <w:i w:val="0"/>
                <w:sz w:val="17"/>
              </w:rPr>
              <w:t>Freeze all disposition; notify Sentinel that no approval is valid without DOJ authorization</w:t>
            </w:r>
          </w:p>
        </w:tc>
      </w:tr>
      <w:tr>
        <w:tc>
          <w:tcPr>
            <w:tcW w:type="dxa" w:w="3168"/>
          </w:tcPr>
          <w:p>
            <w:r>
              <w:rPr>
                <w:sz w:val="17"/>
              </w:rPr>
            </w:r>
            <w:r>
              <w:rPr>
                <w:b w:val="0"/>
                <w:i w:val="0"/>
                <w:sz w:val="17"/>
              </w:rPr>
              <w:t>§5.3 Certificate of Destruction requires a "no hold in effect" statement</w:t>
            </w:r>
          </w:p>
        </w:tc>
        <w:tc>
          <w:tcPr>
            <w:tcW w:type="dxa" w:w="2736"/>
          </w:tcPr>
          <w:p>
            <w:r>
              <w:rPr>
                <w:sz w:val="17"/>
              </w:rPr>
            </w:r>
            <w:r>
              <w:rPr>
                <w:b w:val="0"/>
                <w:i w:val="0"/>
                <w:sz w:val="17"/>
              </w:rPr>
              <w:t>¶46: disclosure of pre-Notice destruction</w:t>
            </w:r>
          </w:p>
        </w:tc>
        <w:tc>
          <w:tcPr>
            <w:tcW w:type="dxa" w:w="3744"/>
          </w:tcPr>
          <w:p>
            <w:r>
              <w:rPr>
                <w:sz w:val="17"/>
              </w:rPr>
            </w:r>
            <w:r>
              <w:rPr>
                <w:b w:val="0"/>
                <w:i w:val="0"/>
                <w:sz w:val="17"/>
              </w:rPr>
              <w:t>Collect all certificates and deletion logs (they are themselves in scope: Cats. 33–34)</w:t>
            </w:r>
          </w:p>
        </w:tc>
      </w:tr>
    </w:tbl>
    <w:p/>
    <w:p>
      <w:pPr>
        <w:pStyle w:val="Heading1"/>
      </w:pPr>
      <w:r>
        <w:t>VIII. Key Risk Issues and Gap Analysis</w:t>
      </w:r>
    </w:p>
    <w:p>
      <w:pPr>
        <w:pStyle w:val="Heading2"/>
      </w:pPr>
      <w:r>
        <w:t>A. The January 15, 2025 Destruction Cycle</w:t>
      </w:r>
    </w:p>
    <w:p>
      <w:r>
        <w:rPr>
          <w:b w:val="0"/>
          <w:i w:val="0"/>
        </w:rPr>
      </w:r>
      <w:r>
        <w:rPr>
          <w:b/>
          <w:i w:val="0"/>
        </w:rPr>
        <w:t>Facts (Destruction Email).</w:t>
      </w:r>
      <w:r>
        <w:rPr>
          <w:b w:val="0"/>
          <w:i w:val="0"/>
        </w:rPr>
        <w:t xml:space="preserve"> On January 15, 2025, Records Management destroyed about 4.2 million records dated 2019–2021 (call records to 2022):</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880"/>
            <w:shd w:val="clear" w:color="auto" w:fill="1F3A5F"/>
          </w:tcPr>
          <w:p>
            <w:r/>
            <w:r>
              <w:rPr>
                <w:b/>
                <w:color w:val="FFFFFF"/>
                <w:sz w:val="17"/>
              </w:rPr>
              <w:t>Tranche</w:t>
            </w:r>
          </w:p>
        </w:tc>
        <w:tc>
          <w:tcPr>
            <w:tcW w:type="dxa" w:w="864"/>
            <w:shd w:val="clear" w:color="auto" w:fill="1F3A5F"/>
          </w:tcPr>
          <w:p>
            <w:r/>
            <w:r>
              <w:rPr>
                <w:b/>
                <w:color w:val="FFFFFF"/>
                <w:sz w:val="17"/>
              </w:rPr>
              <w:t>Volume</w:t>
            </w:r>
          </w:p>
        </w:tc>
        <w:tc>
          <w:tcPr>
            <w:tcW w:type="dxa" w:w="2304"/>
            <w:shd w:val="clear" w:color="auto" w:fill="1F3A5F"/>
          </w:tcPr>
          <w:p>
            <w:r/>
            <w:r>
              <w:rPr>
                <w:b/>
                <w:color w:val="FFFFFF"/>
                <w:sz w:val="17"/>
              </w:rPr>
              <w:t>Notice categories implicated</w:t>
            </w:r>
          </w:p>
        </w:tc>
        <w:tc>
          <w:tcPr>
            <w:tcW w:type="dxa" w:w="3600"/>
            <w:shd w:val="clear" w:color="auto" w:fill="1F3A5F"/>
          </w:tcPr>
          <w:p>
            <w:r/>
            <w:r>
              <w:rPr>
                <w:b/>
                <w:color w:val="FFFFFF"/>
                <w:sz w:val="17"/>
              </w:rPr>
              <w:t>Retention period cited vs. the actual Policy</w:t>
            </w:r>
          </w:p>
        </w:tc>
      </w:tr>
      <w:tr>
        <w:tc>
          <w:tcPr>
            <w:tcW w:type="dxa" w:w="2880"/>
          </w:tcPr>
          <w:p>
            <w:r>
              <w:rPr>
                <w:sz w:val="17"/>
              </w:rPr>
            </w:r>
            <w:r>
              <w:rPr>
                <w:b w:val="0"/>
                <w:i w:val="0"/>
                <w:sz w:val="17"/>
              </w:rPr>
              <w:t>Routine business correspondence (emails and attachments, Jan. 2019–Dec. 2021)</w:t>
            </w:r>
          </w:p>
        </w:tc>
        <w:tc>
          <w:tcPr>
            <w:tcW w:type="dxa" w:w="864"/>
          </w:tcPr>
          <w:p>
            <w:r>
              <w:rPr>
                <w:sz w:val="17"/>
              </w:rPr>
            </w:r>
            <w:r>
              <w:rPr>
                <w:b w:val="0"/>
                <w:i w:val="0"/>
                <w:sz w:val="17"/>
              </w:rPr>
              <w:t>~2.1M</w:t>
            </w:r>
          </w:p>
        </w:tc>
        <w:tc>
          <w:tcPr>
            <w:tcW w:type="dxa" w:w="2304"/>
          </w:tcPr>
          <w:p>
            <w:r>
              <w:rPr>
                <w:sz w:val="17"/>
              </w:rPr>
            </w:r>
            <w:r>
              <w:rPr>
                <w:b w:val="0"/>
                <w:i w:val="0"/>
                <w:sz w:val="17"/>
              </w:rPr>
              <w:t>Potentially all; ¶23 HCP communications; custodian email</w:t>
            </w:r>
          </w:p>
        </w:tc>
        <w:tc>
          <w:tcPr>
            <w:tcW w:type="dxa" w:w="3600"/>
          </w:tcPr>
          <w:p>
            <w:r>
              <w:rPr>
                <w:sz w:val="17"/>
              </w:rPr>
            </w:r>
            <w:r>
              <w:rPr>
                <w:b w:val="0"/>
                <w:i w:val="0"/>
                <w:sz w:val="17"/>
              </w:rPr>
              <w:t>3 yrs "per §4.2". The Policy's schedule is in §3.2 (Cat. E); §4.2 covers IM. Substantive speaker, RPAF or compliance emails carry 6–7 year periods (§3.1: longest applies)</w:t>
            </w:r>
          </w:p>
        </w:tc>
      </w:tr>
      <w:tr>
        <w:tc>
          <w:tcPr>
            <w:tcW w:type="dxa" w:w="2880"/>
          </w:tcPr>
          <w:p>
            <w:r>
              <w:rPr>
                <w:sz w:val="17"/>
              </w:rPr>
            </w:r>
            <w:r>
              <w:rPr>
                <w:b w:val="0"/>
                <w:i w:val="0"/>
                <w:sz w:val="17"/>
              </w:rPr>
              <w:t>Sales call records and field activity reports (Salesforce exports, ride-along notes, territory summaries, Jan. 2019–Dec. 2022), including RSMs and the National Sales Director's team</w:t>
            </w:r>
          </w:p>
        </w:tc>
        <w:tc>
          <w:tcPr>
            <w:tcW w:type="dxa" w:w="864"/>
          </w:tcPr>
          <w:p>
            <w:r>
              <w:rPr>
                <w:sz w:val="17"/>
              </w:rPr>
            </w:r>
            <w:r>
              <w:rPr>
                <w:b w:val="0"/>
                <w:i w:val="0"/>
                <w:sz w:val="17"/>
              </w:rPr>
              <w:t>~1.4M</w:t>
            </w:r>
          </w:p>
        </w:tc>
        <w:tc>
          <w:tcPr>
            <w:tcW w:type="dxa" w:w="2304"/>
          </w:tcPr>
          <w:p>
            <w:r>
              <w:rPr>
                <w:sz w:val="17"/>
              </w:rPr>
            </w:r>
            <w:r>
              <w:rPr>
                <w:b w:val="0"/>
                <w:i w:val="0"/>
                <w:sz w:val="17"/>
              </w:rPr>
              <w:t>¶23; Cats. 14, 27; Exh. C custodians; Delgado</w:t>
            </w:r>
          </w:p>
        </w:tc>
        <w:tc>
          <w:tcPr>
            <w:tcW w:type="dxa" w:w="3600"/>
          </w:tcPr>
          <w:p>
            <w:r>
              <w:rPr>
                <w:sz w:val="17"/>
              </w:rPr>
            </w:r>
            <w:r>
              <w:rPr>
                <w:b w:val="0"/>
                <w:i w:val="0"/>
                <w:sz w:val="17"/>
              </w:rPr>
              <w:t>2 yrs "per §4.5" (actually Cat. F; §4.5 covers mobile devices)</w:t>
            </w:r>
          </w:p>
        </w:tc>
      </w:tr>
      <w:tr>
        <w:tc>
          <w:tcPr>
            <w:tcW w:type="dxa" w:w="2880"/>
          </w:tcPr>
          <w:p>
            <w:r>
              <w:rPr>
                <w:sz w:val="17"/>
              </w:rPr>
            </w:r>
            <w:r>
              <w:rPr>
                <w:b w:val="0"/>
                <w:i w:val="0"/>
                <w:sz w:val="17"/>
              </w:rPr>
              <w:t>KOL event files: attendance logs, planning documents, venue contracts, post-event summaries (2019–2021)</w:t>
            </w:r>
          </w:p>
        </w:tc>
        <w:tc>
          <w:tcPr>
            <w:tcW w:type="dxa" w:w="864"/>
          </w:tcPr>
          <w:p>
            <w:r>
              <w:rPr>
                <w:sz w:val="17"/>
              </w:rPr>
            </w:r>
            <w:r>
              <w:rPr>
                <w:b w:val="0"/>
                <w:i w:val="0"/>
                <w:sz w:val="17"/>
              </w:rPr>
              <w:t>~380K</w:t>
            </w:r>
          </w:p>
        </w:tc>
        <w:tc>
          <w:tcPr>
            <w:tcW w:type="dxa" w:w="2304"/>
          </w:tcPr>
          <w:p>
            <w:r>
              <w:rPr>
                <w:sz w:val="17"/>
              </w:rPr>
            </w:r>
            <w:r>
              <w:rPr>
                <w:b w:val="0"/>
                <w:i w:val="0"/>
                <w:sz w:val="17"/>
              </w:rPr>
              <w:t>Cats. 1, 3, 4 (direct hit)</w:t>
            </w:r>
          </w:p>
        </w:tc>
        <w:tc>
          <w:tcPr>
            <w:tcW w:type="dxa" w:w="3600"/>
          </w:tcPr>
          <w:p>
            <w:r>
              <w:rPr>
                <w:sz w:val="17"/>
              </w:rPr>
            </w:r>
            <w:r>
              <w:rPr>
                <w:b w:val="0"/>
                <w:i w:val="0"/>
                <w:sz w:val="17"/>
              </w:rPr>
              <w:t xml:space="preserve">3 yrs "per §4.8". </w:t>
            </w:r>
            <w:r>
              <w:rPr>
                <w:b/>
                <w:i w:val="0"/>
                <w:sz w:val="17"/>
              </w:rPr>
              <w:t>The Policy has no §4.8. Cat. L and §8.2 require 6 years</w:t>
            </w:r>
            <w:r>
              <w:rPr>
                <w:b w:val="0"/>
                <w:i w:val="0"/>
                <w:sz w:val="17"/>
              </w:rPr>
              <w:t xml:space="preserve"> for "event documentation (including event planning records, venue contracts…), attendee lists." These records were apparently not yet eligible for destruction</w:t>
            </w:r>
          </w:p>
        </w:tc>
      </w:tr>
      <w:tr>
        <w:tc>
          <w:tcPr>
            <w:tcW w:type="dxa" w:w="2880"/>
          </w:tcPr>
          <w:p>
            <w:r>
              <w:rPr>
                <w:sz w:val="17"/>
              </w:rPr>
            </w:r>
            <w:r>
              <w:rPr>
                <w:b w:val="0"/>
                <w:i w:val="0"/>
                <w:sz w:val="17"/>
              </w:rPr>
              <w:t>RPAF routine correspondence (2019–2021)</w:t>
            </w:r>
          </w:p>
        </w:tc>
        <w:tc>
          <w:tcPr>
            <w:tcW w:type="dxa" w:w="864"/>
          </w:tcPr>
          <w:p>
            <w:r>
              <w:rPr>
                <w:sz w:val="17"/>
              </w:rPr>
            </w:r>
            <w:r>
              <w:rPr>
                <w:b w:val="0"/>
                <w:i w:val="0"/>
                <w:sz w:val="17"/>
              </w:rPr>
              <w:t>~320K</w:t>
            </w:r>
          </w:p>
        </w:tc>
        <w:tc>
          <w:tcPr>
            <w:tcW w:type="dxa" w:w="2304"/>
          </w:tcPr>
          <w:p>
            <w:r>
              <w:rPr>
                <w:sz w:val="17"/>
              </w:rPr>
            </w:r>
            <w:r>
              <w:rPr>
                <w:b w:val="0"/>
                <w:i w:val="0"/>
                <w:sz w:val="17"/>
              </w:rPr>
              <w:t>Cat. 18; ¶25</w:t>
            </w:r>
          </w:p>
        </w:tc>
        <w:tc>
          <w:tcPr>
            <w:tcW w:type="dxa" w:w="3600"/>
          </w:tcPr>
          <w:p>
            <w:r>
              <w:rPr>
                <w:sz w:val="17"/>
              </w:rPr>
            </w:r>
            <w:r>
              <w:rPr>
                <w:b w:val="0"/>
                <w:i w:val="0"/>
                <w:sz w:val="17"/>
              </w:rPr>
              <w:t xml:space="preserve">3 yrs "per §4.2". </w:t>
            </w:r>
            <w:r>
              <w:rPr>
                <w:b/>
                <w:i w:val="0"/>
                <w:sz w:val="17"/>
              </w:rPr>
              <w:t>Cat. M and §8.3 require 6 years</w:t>
            </w:r>
            <w:r>
              <w:rPr>
                <w:b w:val="0"/>
                <w:i w:val="0"/>
                <w:sz w:val="17"/>
              </w:rPr>
              <w:t xml:space="preserve"> for Ridgeline–RPAF interaction records and patient correspondence on Ridgeline systems</w:t>
            </w:r>
          </w:p>
        </w:tc>
      </w:tr>
      <w:tr>
        <w:tc>
          <w:tcPr>
            <w:tcW w:type="dxa" w:w="2880"/>
          </w:tcPr>
          <w:p>
            <w:r>
              <w:rPr>
                <w:sz w:val="17"/>
              </w:rPr>
            </w:r>
            <w:r>
              <w:rPr>
                <w:b w:val="0"/>
                <w:i w:val="0"/>
                <w:sz w:val="17"/>
              </w:rPr>
              <w:t>Paper: 47 boxes at Sentinel (2019–2020) plus on-site shredding at Durham</w:t>
            </w:r>
          </w:p>
        </w:tc>
        <w:tc>
          <w:tcPr>
            <w:tcW w:type="dxa" w:w="864"/>
          </w:tcPr>
          <w:p>
            <w:r>
              <w:rPr>
                <w:sz w:val="17"/>
              </w:rPr>
            </w:r>
            <w:r>
              <w:rPr>
                <w:b w:val="0"/>
                <w:i w:val="0"/>
                <w:sz w:val="17"/>
              </w:rPr>
              <w:t>—</w:t>
            </w:r>
          </w:p>
        </w:tc>
        <w:tc>
          <w:tcPr>
            <w:tcW w:type="dxa" w:w="2304"/>
          </w:tcPr>
          <w:p>
            <w:r>
              <w:rPr>
                <w:sz w:val="17"/>
              </w:rPr>
            </w:r>
            <w:r>
              <w:rPr>
                <w:b w:val="0"/>
                <w:i w:val="0"/>
                <w:sz w:val="17"/>
              </w:rPr>
              <w:t>¶44; unknown contents</w:t>
            </w:r>
          </w:p>
        </w:tc>
        <w:tc>
          <w:tcPr>
            <w:tcW w:type="dxa" w:w="3600"/>
          </w:tcPr>
          <w:p>
            <w:r>
              <w:rPr>
                <w:sz w:val="17"/>
              </w:rPr>
            </w:r>
            <w:r>
              <w:rPr>
                <w:b w:val="0"/>
                <w:i w:val="0"/>
                <w:sz w:val="17"/>
              </w:rPr>
              <w:t>Cert. SM-CERT-2025-00412; box index needed</w:t>
            </w:r>
          </w:p>
        </w:tc>
      </w:tr>
    </w:tbl>
    <w:p/>
    <w:p>
      <w:r>
        <w:rPr>
          <w:b w:val="0"/>
          <w:i w:val="0"/>
        </w:rPr>
      </w:r>
      <w:r>
        <w:rPr>
          <w:b/>
          <w:i w:val="0"/>
        </w:rPr>
        <w:t>Additional procedural defects compared with Policy §5.1:</w:t>
      </w:r>
      <w:r>
        <w:rPr>
          <w:b w:val="0"/>
          <w:i w:val="0"/>
        </w:rPr>
        <w:t xml:space="preserve"> department heads were notified on January 6 with a 7-day objection window. The Policy requires 30 days' notice and a 15-day response window. The Destruction Email also cites the wrong Policy sections for every retention period. The GC's office gave the "no active holds" confirmation on January 13.</w:t>
      </w:r>
    </w:p>
    <w:p>
      <w:r>
        <w:rPr>
          <w:b w:val="0"/>
          <w:i w:val="0"/>
        </w:rPr>
      </w:r>
      <w:r>
        <w:rPr>
          <w:b/>
          <w:i w:val="0"/>
        </w:rPr>
        <w:t>Why this matters.</w:t>
      </w:r>
      <w:r>
        <w:rPr>
          <w:b w:val="0"/>
          <w:i w:val="0"/>
        </w:rPr>
        <w:t xml:space="preserve"> The destruction happened before the Notice, and the Notice alone does not make it unlawful. But: (i) the grand jury number (24-GJ-) indicates a 2024 investigation. Under Policy §6.1, the duty to preserve arises on "reasonable notice," which includes whistleblower or hotline reports, qui tam activity, subpoenas to third parties such as the Exhibit D HCPs, or industry enforcement trends. (ii) Destroying records that the company's own Policy required it to keep weakens any "routine, good-faith destruction" defense. (iii) The records go to the core of the investigation (KOL events, field call records of named custodians, RPAF communications). (iv) Paragraph 46 expressly requires disclosure of pre-Notice destruction.</w:t>
      </w:r>
    </w:p>
    <w:p>
      <w:r>
        <w:rPr>
          <w:b/>
          <w:i w:val="0"/>
        </w:rPr>
      </w:r>
      <w:r>
        <w:rPr>
          <w:b/>
          <w:i w:val="0"/>
        </w:rPr>
        <w:t>Actions:</w:t>
      </w:r>
      <w:r>
        <w:rPr>
          <w:b/>
          <w:i w:val="0"/>
        </w:rPr>
      </w:r>
    </w:p>
    <w:p>
      <w:pPr>
        <w:pStyle w:val="ListBullet"/>
      </w:pPr>
      <w:r>
        <w:rPr>
          <w:b w:val="0"/>
          <w:i w:val="0"/>
        </w:rPr>
        <w:t>Stop the tape rotation today. Electronic deletions from primary systems may survive on weekly full backups made before January 15, and the Destruction Email acknowledges this. Recovery is estimated at $3,000–$5,000 per tape (Policy §4.3).</w:t>
      </w:r>
    </w:p>
    <w:p>
      <w:pPr>
        <w:pStyle w:val="ListBullet"/>
      </w:pPr>
      <w:r>
        <w:rPr>
          <w:b w:val="0"/>
          <w:i w:val="0"/>
        </w:rPr>
        <w:t>Check whether the Salesforce/Veeva source data behind the destroyed "exports" still exists in the platforms, including the recycle bin and audit trail. Check whether copies exist in custodians' mailboxes, OneDrive, M365 retention, the vendors' systems or event-logistics vendors, and whether the KOL venue and caterer counterparties keep copies.</w:t>
      </w:r>
    </w:p>
    <w:p>
      <w:pPr>
        <w:pStyle w:val="ListBullet"/>
      </w:pPr>
      <w:r>
        <w:rPr>
          <w:b w:val="0"/>
          <w:i w:val="0"/>
        </w:rPr>
        <w:t>Preserve the destruction record set: Q1_2025_Destruction_Log.xlsx, IT deletion certificates, the facilities shredding certificate, SM-CERT-2025-00412, the Nov. 19, 2024 Records Management Committee minutes, the Jan. 6 department-head notice, and the Jan. 13 Legal Hold Register check and response.</w:t>
      </w:r>
    </w:p>
    <w:p>
      <w:pPr>
        <w:pStyle w:val="ListBullet"/>
      </w:pPr>
      <w:r>
        <w:rPr>
          <w:b w:val="0"/>
          <w:i w:val="0"/>
        </w:rPr>
        <w:t>HTM should run a privileged internal inquiry into (a) the earliest date Ridgeline had notice of a potential investigation (hotline logs, subpoenas, CIDs, HCP contacts, press) and (b) why the 6-year Categories L and M were destroyed on a 3-year schedule.</w:t>
      </w:r>
    </w:p>
    <w:p>
      <w:pPr>
        <w:pStyle w:val="ListBullet"/>
      </w:pPr>
      <w:r>
        <w:rPr>
          <w:b w:val="0"/>
          <w:i w:val="0"/>
        </w:rPr>
        <w:t>Prepare the ¶46 written disclosure to DOJ, with volumes, dates and remediation, to be made promptly and before or alongside the March 17 certification.</w:t>
      </w:r>
    </w:p>
    <w:p>
      <w:pPr>
        <w:pStyle w:val="Heading2"/>
      </w:pPr>
      <w:r>
        <w:t>B. Suspension Has Not Yet Occurred</w:t>
      </w:r>
    </w:p>
    <w:p>
      <w:r>
        <w:rPr>
          <w:b w:val="0"/>
          <w:i w:val="0"/>
        </w:rPr>
        <w:t xml:space="preserve">The Notice was effective March 3. As of the IT Memo, IT was waiting for Legal's authorization and estimated 24–48 hours to implement M365 holds. Every day of delay risks permanent loss through the 30-day Recoverable Items purge, 1-year IM expiry, 90-day voicemail purge, 2-year mobile retention, the CRM 2-year purge and the tape rotation. Any loss after March 3 is a post-Notice loss with direct §1519 and adverse-inference exposure. </w:t>
      </w:r>
      <w:r>
        <w:rPr>
          <w:b/>
          <w:i w:val="0"/>
        </w:rPr>
        <w:t>Legal should issue the technical hold directive to IT (Policy §6.3) today.</w:t>
      </w:r>
      <w:r>
        <w:rPr>
          <w:b w:val="0"/>
          <w:i w:val="0"/>
        </w:rPr>
        <w:t xml:space="preserve"> Given ¶23's breadth, it should cover org-wide retention holds, not only the 23 custodians.</w:t>
      </w:r>
    </w:p>
    <w:p>
      <w:pPr>
        <w:pStyle w:val="Heading2"/>
      </w:pPr>
      <w:r>
        <w:t>C. The 2021 Email Migration Gap and the Legacy Exchange Servers</w:t>
      </w:r>
    </w:p>
    <w:p>
      <w:pPr>
        <w:pStyle w:val="ListBullet"/>
      </w:pPr>
      <w:r>
        <w:rPr>
          <w:b w:val="0"/>
          <w:i w:val="0"/>
        </w:rPr>
      </w:r>
      <w:r>
        <w:rPr>
          <w:b/>
          <w:i w:val="0"/>
        </w:rPr>
        <w:t>Facts.</w:t>
      </w:r>
      <w:r>
        <w:rPr>
          <w:b w:val="0"/>
          <w:i w:val="0"/>
        </w:rPr>
        <w:t xml:space="preserve"> Ashford Data Solutions' tool skipped archive and .pst stores larger than 4 GB held on separate volumes, for about 2,100 of 5,800 mailboxes. Ashford acknowledged the error (~Nov. 15, 2021). A $280,000 re-migration was deferred in Q1 2022 and never funded in FY2023 or FY2024. About 340,000 emails from Jan. 2019–Sept. 2021 exist only on six powered-down Dell PowerEdge servers (Exchange 2016) at Sentinel Raleigh (SM-2247891), stored since Dec. 2021 and never verified. The custodian data is mixed in with the data of about 2,092 other employees.</w:t>
      </w:r>
    </w:p>
    <w:p>
      <w:pPr>
        <w:pStyle w:val="ListBullet"/>
      </w:pPr>
      <w:r>
        <w:rPr>
          <w:b w:val="0"/>
          <w:i w:val="0"/>
        </w:rPr>
      </w:r>
      <w:r>
        <w:rPr>
          <w:b/>
          <w:i w:val="0"/>
        </w:rPr>
        <w:t>The custodian cross-check is flawed.</w:t>
      </w:r>
      <w:r>
        <w:rPr>
          <w:b w:val="0"/>
          <w:i w:val="0"/>
        </w:rPr>
        <w:t xml:space="preserve"> The IT Memo's list of 8 includes "Jennifer Calloway, RSM Mid-Atlantic" and "David Yun, RSM West Coast." Neither appears in the Notice. Exhibit C lists Tonya Bradshaw as Mid-Atlantic RSM and has no West Coast region (James Okafor is Pacific Northwest). IT appears to have used an outdated or internal roster. </w:t>
      </w:r>
      <w:r>
        <w:rPr>
          <w:b/>
          <w:i w:val="0"/>
        </w:rPr>
        <w:t>Actions:</w:t>
      </w:r>
      <w:r>
        <w:rPr>
          <w:b w:val="0"/>
          <w:i w:val="0"/>
        </w:rPr>
        <w:t xml:space="preserve"> (i) re-run the cross-check against the correct list of 23 (including the two functional-title custodians, once identified); (ii) keep Calloway and Yun on hold anyway, since their mailboxes may hold RSM-level KOL and field data; (iii) correct the "8 of 23" / "47,000–52,000 emails" figures before any statement to DOJ. The Org Chart repeats the "8 of 23" figure and should also be corrected.</w:t>
      </w:r>
    </w:p>
    <w:p>
      <w:pPr>
        <w:pStyle w:val="ListBullet"/>
      </w:pPr>
      <w:r>
        <w:rPr>
          <w:b w:val="0"/>
          <w:i w:val="0"/>
        </w:rPr>
      </w:r>
      <w:r>
        <w:rPr>
          <w:b/>
          <w:i w:val="0"/>
        </w:rPr>
        <w:t>Legacy tapes.</w:t>
      </w:r>
      <w:r>
        <w:rPr>
          <w:b w:val="0"/>
          <w:i w:val="0"/>
        </w:rPr>
        <w:t xml:space="preserve"> Legacy Exchange tapes (last ones covering about Sept.–Nov. 2021) were probably recycled. This is unconfirmed. IT should confirm today, in writing, through Sentinel's vault inventory.</w:t>
      </w:r>
    </w:p>
    <w:p>
      <w:pPr>
        <w:pStyle w:val="ListBullet"/>
      </w:pPr>
      <w:r>
        <w:rPr>
          <w:b w:val="0"/>
          <w:i w:val="0"/>
        </w:rPr>
      </w:r>
      <w:r>
        <w:rPr>
          <w:b/>
          <w:i w:val="0"/>
        </w:rPr>
        <w:t>Preservation versus recovery.</w:t>
      </w:r>
      <w:r>
        <w:rPr>
          <w:b w:val="0"/>
          <w:i w:val="0"/>
        </w:rPr>
        <w:t xml:space="preserve"> ¶42 requires the hardware to be kept "in current physical condition" and legacy systems kept accessible. Powering on drives that have been stored for three years risks failure, but leaving them untouched also risks further degradation. </w:t>
      </w:r>
      <w:r>
        <w:rPr>
          <w:b/>
          <w:i w:val="0"/>
        </w:rPr>
        <w:t>Recommendation:</w:t>
      </w:r>
      <w:r>
        <w:rPr>
          <w:b w:val="0"/>
          <w:i w:val="0"/>
        </w:rPr>
        <w:t xml:space="preserve"> (i) send Sentinel a written hold today (no movement, disposal or environmental change; confirm chain of custody and the account is in good standing); (ii) have Greenwell (Dr. Anil Mukherjee) propose a forensic protocol, such as write-blocked imaging of each drive with no boot; (iii) </w:t>
      </w:r>
      <w:r>
        <w:rPr>
          <w:b/>
          <w:i w:val="0"/>
        </w:rPr>
        <w:t>tell DOJ about the protocol before carrying it out</w:t>
      </w:r>
      <w:r>
        <w:rPr>
          <w:b w:val="0"/>
          <w:i w:val="0"/>
        </w:rPr>
        <w:t xml:space="preserve"> and get its written agreement, to avoid any claim of alteration under ¶¶35, 42.</w:t>
      </w:r>
    </w:p>
    <w:p>
      <w:pPr>
        <w:pStyle w:val="ListBullet"/>
      </w:pPr>
      <w:r>
        <w:rPr>
          <w:b w:val="0"/>
          <w:i w:val="0"/>
        </w:rPr>
      </w:r>
      <w:r>
        <w:rPr>
          <w:b/>
          <w:i w:val="0"/>
        </w:rPr>
        <w:t>Wider exposure.</w:t>
      </w:r>
      <w:r>
        <w:rPr>
          <w:b w:val="0"/>
          <w:i w:val="0"/>
        </w:rPr>
        <w:t xml:space="preserve"> Because ¶23 covers communications with all HCPs about Velcara, the un-migrated mailboxes of the other ~2,092 employees (field sales, MSLs) are also potentially in scope, not only the named custodians' mailboxes. Preserve the entire server set.</w:t>
      </w:r>
    </w:p>
    <w:p>
      <w:pPr>
        <w:pStyle w:val="ListBullet"/>
      </w:pPr>
      <w:r>
        <w:rPr>
          <w:b w:val="0"/>
          <w:i w:val="0"/>
        </w:rPr>
      </w:r>
      <w:r>
        <w:rPr>
          <w:b/>
          <w:i w:val="0"/>
        </w:rPr>
        <w:t>Documents.</w:t>
      </w:r>
      <w:r>
        <w:rPr>
          <w:b w:val="0"/>
          <w:i w:val="0"/>
        </w:rPr>
        <w:t xml:space="preserve"> Collect and preserve the Ashford services agreement (May 2021), incident report and acknowledgment, remediation proposal, Q1 2022 budget escalation memos, CFO-office decision records, the list of 2,100 affected users and the Sentinel inventory (Cats. 33–34). Send Ashford a preservation notice for its project files, scripts and logs. Consider Ashford's contractual liability separately. Note that Mr. Wardlow's memo is partly written to protect his own position ("a business prioritization decision made above my team's level"); HTM should interview him.</w:t>
      </w:r>
    </w:p>
    <w:p>
      <w:pPr>
        <w:pStyle w:val="Heading2"/>
      </w:pPr>
      <w:r>
        <w:t>D. RPAF — Can the Notice Bind It?</w:t>
      </w:r>
    </w:p>
    <w:p>
      <w:r>
        <w:rPr>
          <w:b w:val="0"/>
          <w:i w:val="0"/>
        </w:rPr>
        <w:t>Paragraph 4 treats RPAF as a "related entity" bound "to the same extent as Ridgeline." The Org Chart and Policy §3.3 describe RPAF as a legally separate North Carolina 501(c)(3) organization. It has its own executive director, bank accounts, records and retention policy, and five directors, two of whom are independent (appointed to meet OIG independence guidance). Ridgeline does not control its day-to-day operations, and board action may be needed to adopt a hold. Richard Blaine is a liaison only.</w:t>
      </w:r>
    </w:p>
    <w:p>
      <w:pPr>
        <w:pStyle w:val="ListBullet"/>
      </w:pPr>
      <w:r>
        <w:rPr>
          <w:b w:val="0"/>
          <w:i w:val="0"/>
        </w:rPr>
        <w:t>Ridgeline must preserve everything RPAF-related on Ridgeline systems now (Policy §3.3; ¶25).</w:t>
      </w:r>
    </w:p>
    <w:p>
      <w:pPr>
        <w:pStyle w:val="ListBullet"/>
      </w:pPr>
      <w:r>
        <w:rPr>
          <w:b w:val="0"/>
          <w:i w:val="0"/>
        </w:rPr>
        <w:t xml:space="preserve">By </w:t>
      </w:r>
      <w:r>
        <w:rPr>
          <w:b/>
          <w:i w:val="0"/>
        </w:rPr>
        <w:t>March 13</w:t>
      </w:r>
      <w:r>
        <w:rPr>
          <w:b w:val="0"/>
          <w:i w:val="0"/>
        </w:rPr>
        <w:t>, send a written preservation notice directly to RPAF's executive director and full board, attaching the Notice and asking for written confirmation and a board resolution. Treat this in the same way as the third-party vendor notices.</w:t>
      </w:r>
    </w:p>
    <w:p>
      <w:pPr>
        <w:pStyle w:val="ListBullet"/>
      </w:pPr>
      <w:r>
        <w:rPr>
          <w:b w:val="0"/>
          <w:i w:val="0"/>
        </w:rPr>
        <w:t>Suggest that RPAF retain its own counsel. Pressure from Ridgeline over RPAF operations could cut against the independence the OIG structure depends on.</w:t>
      </w:r>
    </w:p>
    <w:p>
      <w:pPr>
        <w:pStyle w:val="ListBullet"/>
      </w:pPr>
      <w:r>
        <w:rPr>
          <w:b w:val="0"/>
          <w:i w:val="0"/>
        </w:rPr>
        <w:t>In the ¶45 certification and the letter to DOJ, describe accurately what Ridgeline can and cannot control. Ask DOJ whether it will serve RPAF directly.</w:t>
      </w:r>
    </w:p>
    <w:p>
      <w:pPr>
        <w:pStyle w:val="ListBullet"/>
      </w:pPr>
      <w:r>
        <w:rPr>
          <w:b w:val="0"/>
          <w:i w:val="0"/>
        </w:rPr>
        <w:t>Identify the three Ridgeline-affiliated RPAF directors and treat them as hold recipients.</w:t>
      </w:r>
    </w:p>
    <w:p>
      <w:pPr>
        <w:pStyle w:val="Heading2"/>
      </w:pPr>
      <w:r>
        <w:t>E. Mobile Device Imaging (March 24)</w:t>
      </w:r>
    </w:p>
    <w:p>
      <w:pPr>
        <w:pStyle w:val="ListBullet"/>
      </w:pPr>
      <w:r>
        <w:rPr>
          <w:b w:val="0"/>
          <w:i w:val="0"/>
        </w:rPr>
      </w:r>
      <w:r>
        <w:rPr>
          <w:b/>
          <w:i w:val="0"/>
        </w:rPr>
        <w:t>External HCPs (Exh. D).</w:t>
      </w:r>
      <w:r>
        <w:rPr>
          <w:b w:val="0"/>
          <w:i w:val="0"/>
        </w:rPr>
        <w:t xml:space="preserve"> Ridgeline cannot compel five independent physicians and pharmacists to hand over personal devices. ¶40 as written cannot be carried out for them. Ask DOJ in writing to confirm that Ridgeline's obligation for Exhibit D is limited to Ridgeline-side data (which ¶¶15, 24 and Exh. D in fact describe) and to preservation letters sent to them as a courtesy. Any contact with these HCPs should be scripted by HTM to avoid any appearance of witness influence.</w:t>
      </w:r>
    </w:p>
    <w:p>
      <w:pPr>
        <w:pStyle w:val="ListBullet"/>
      </w:pPr>
      <w:r>
        <w:rPr>
          <w:b w:val="0"/>
          <w:i w:val="0"/>
        </w:rPr>
      </w:r>
      <w:r>
        <w:rPr>
          <w:b/>
          <w:i w:val="0"/>
        </w:rPr>
        <w:t>Employee personal devices.</w:t>
      </w:r>
      <w:r>
        <w:rPr>
          <w:b w:val="0"/>
          <w:i w:val="0"/>
        </w:rPr>
        <w:t xml:space="preserve"> Under Policy §4.5, full imaging requires consent or a court order. Get written consent (explaining the privacy protocol and filtering by Greenwell). Document any refusal and tell DOJ promptly. Individuals facing criminal exposure (e.g., Hsu, Terrell, Delgado, Osei) may need separate counsel and may assert Fifth Amendment rights over personal devices.</w:t>
      </w:r>
    </w:p>
    <w:p>
      <w:pPr>
        <w:pStyle w:val="ListBullet"/>
      </w:pPr>
      <w:r>
        <w:rPr>
          <w:b w:val="0"/>
          <w:i w:val="0"/>
        </w:rPr>
      </w:r>
      <w:r>
        <w:rPr>
          <w:b/>
          <w:i w:val="0"/>
        </w:rPr>
        <w:t>Privileged devices.</w:t>
      </w:r>
      <w:r>
        <w:rPr>
          <w:b w:val="0"/>
          <w:i w:val="0"/>
        </w:rPr>
        <w:t xml:space="preserve"> The GC's and CCO's devices contain privileged material. Imaging must be followed by a filter-team protocol.</w:t>
      </w:r>
    </w:p>
    <w:p>
      <w:pPr>
        <w:pStyle w:val="ListBullet"/>
      </w:pPr>
      <w:r>
        <w:rPr>
          <w:b w:val="0"/>
          <w:i w:val="0"/>
        </w:rPr>
      </w:r>
      <w:r>
        <w:rPr>
          <w:b/>
          <w:i w:val="0"/>
        </w:rPr>
        <w:t>Logistics.</w:t>
      </w:r>
      <w:r>
        <w:rPr>
          <w:b w:val="0"/>
          <w:i w:val="0"/>
        </w:rPr>
        <w:t xml:space="preserve"> About 18 employees in Durham, Atlanta, Philadelphia, Dallas, Chicago, Seattle and Denver, plus the CEO. Greenwell needs a schedule by March 10 to meet March 24 and to supply the ¶45(d) timeline.</w:t>
      </w:r>
    </w:p>
    <w:p>
      <w:pPr>
        <w:pStyle w:val="Heading2"/>
      </w:pPr>
      <w:r>
        <w:t>F. Linden &amp; Pruitt and Dr. Osei — Privilege Complications</w:t>
      </w:r>
    </w:p>
    <w:p>
      <w:r>
        <w:rPr>
          <w:b w:val="0"/>
          <w:i w:val="0"/>
        </w:rPr>
        <w:t xml:space="preserve">Paragraph 29 expressly reaches communications with Linden &amp; Pruitt, P.A. about Velcara regulatory, FDA labeling and compliance advice (about 2020 to mid-2024). L&amp;P is conflicted out because it separately represented Dr. Osei personally. Dr. Osei is a named custodian, was L&amp;P's main business contact, and is affected by the migration gap. The Policy (§2.1) still lists L&amp;P as current counsel. </w:t>
      </w:r>
      <w:r>
        <w:rPr>
          <w:b/>
          <w:i w:val="0"/>
        </w:rPr>
        <w:t>Actions:</w:t>
      </w:r>
      <w:r>
        <w:rPr>
          <w:b w:val="0"/>
          <w:i w:val="0"/>
        </w:rPr>
        <w:t xml:space="preserve"> send L&amp;P a preservation letter for its Ridgeline client files; do not use L&amp;P for any hold or privilege work; set up a protocol for L&amp;P materials in which privilege belongs to Ridgeline, not Dr. Osei, with segregated review; advise Dr. Osei to retain separate counsel; update Policy §2.1 and the templates.</w:t>
      </w:r>
    </w:p>
    <w:p>
      <w:pPr>
        <w:pStyle w:val="Heading2"/>
      </w:pPr>
      <w:r>
        <w:t>G. The General Counsel Is a Named Custodian and a Fact Witness</w:t>
      </w:r>
    </w:p>
    <w:p>
      <w:r>
        <w:rPr>
          <w:b w:val="0"/>
          <w:i w:val="0"/>
        </w:rPr>
        <w:t xml:space="preserve">Mr. Ellsworth received the Notice and owns the Policy and the hold process. He is also custodian #2, approved the Policy, and his office confirmed on January 13, 2025 that no holds applied to the January destruction. He is copied on the Destruction Email and approved the Policy's retention periods. </w:t>
      </w:r>
      <w:r>
        <w:rPr>
          <w:b/>
          <w:i w:val="0"/>
        </w:rPr>
        <w:t>Recommendation:</w:t>
      </w:r>
      <w:r>
        <w:rPr>
          <w:b w:val="0"/>
          <w:i w:val="0"/>
        </w:rPr>
        <w:t xml:space="preserve"> HTM should direct and document the hold under Audit or Compliance Committee oversight. The ¶45(e) oversight designee should be a non-custodian (e.g., HTM together with an independent officer or a Board committee delegate). Mr. Ellsworth and Ms. Cho-Rosen (also a custodian and the Records Management reporting line) should be walled off from decisions about the January destruction inquiry.</w:t>
      </w:r>
    </w:p>
    <w:p>
      <w:pPr>
        <w:pStyle w:val="Heading2"/>
      </w:pPr>
      <w:r>
        <w:t>H. Financial Records Back to January 1, 2017 (¶47)</w:t>
      </w:r>
    </w:p>
    <w:p>
      <w:r>
        <w:rPr>
          <w:b w:val="0"/>
          <w:i w:val="0"/>
        </w:rPr>
        <w:t xml:space="preserve">Policy Category D keeps general accounting records for 7 years. 2017 records would have become eligible for destruction during 2024 and early 2025, and 2018 records are due in the upcoming cycles. The Destruction Email says financial records were excluded from the January cycle, but earlier cycles (Apr., Jul., Oct. 2024) may have removed 2017 data. </w:t>
      </w:r>
      <w:r>
        <w:rPr>
          <w:b/>
          <w:i w:val="0"/>
        </w:rPr>
        <w:t>Actions:</w:t>
      </w:r>
      <w:r>
        <w:rPr>
          <w:b w:val="0"/>
          <w:i w:val="0"/>
        </w:rPr>
        <w:t xml:space="preserve"> the CFO and Controller should confirm in writing what 2017–2018 GL, AP/AR, budget and payment data exists in SAP, archives and backups. Suspend Category B, C and D disposition. Report any gap under ¶46.</w:t>
      </w:r>
    </w:p>
    <w:p>
      <w:pPr>
        <w:pStyle w:val="Heading2"/>
      </w:pPr>
      <w:r>
        <w:t>I. Other Observations</w:t>
      </w:r>
    </w:p>
    <w:p>
      <w:pPr>
        <w:pStyle w:val="ListBullet"/>
      </w:pPr>
      <w:r>
        <w:rPr>
          <w:b w:val="0"/>
          <w:i w:val="0"/>
        </w:rPr>
      </w:r>
      <w:r>
        <w:rPr>
          <w:b/>
          <w:i w:val="0"/>
        </w:rPr>
        <w:t>International sites (London, Munich, Tokyo).</w:t>
      </w:r>
      <w:r>
        <w:rPr>
          <w:b w:val="0"/>
          <w:i w:val="0"/>
        </w:rPr>
        <w:t xml:space="preserve"> Preserving in place is lawful. Collecting or transferring data raises GDPR/UK GDPR and APPI issues, so involve local counsel before collection.</w:t>
      </w:r>
    </w:p>
    <w:p>
      <w:pPr>
        <w:pStyle w:val="ListBullet"/>
      </w:pPr>
      <w:r>
        <w:rPr>
          <w:b w:val="0"/>
          <w:i w:val="0"/>
        </w:rPr>
      </w:r>
      <w:r>
        <w:rPr>
          <w:b/>
          <w:i w:val="0"/>
        </w:rPr>
        <w:t>Physical Materials (¶3(c)).</w:t>
      </w:r>
      <w:r>
        <w:rPr>
          <w:b w:val="0"/>
          <w:i w:val="0"/>
        </w:rPr>
        <w:t xml:space="preserve"> Branded merchandise, samples and printed sales aids for Velcara must be withdrawn from disposal and pulped-inventory programs, including at print and fulfillment vendors.</w:t>
      </w:r>
    </w:p>
    <w:p>
      <w:pPr>
        <w:pStyle w:val="ListBullet"/>
      </w:pPr>
      <w:r>
        <w:rPr>
          <w:b w:val="0"/>
          <w:i w:val="0"/>
        </w:rPr>
      </w:r>
      <w:r>
        <w:rPr>
          <w:b/>
          <w:i w:val="0"/>
        </w:rPr>
        <w:t>Substantive note (for defense counsel, not preservation).</w:t>
      </w:r>
      <w:r>
        <w:rPr>
          <w:b w:val="0"/>
          <w:i w:val="0"/>
        </w:rPr>
        <w:t xml:space="preserve"> Each Exhibit D HCP averaged about $5,500 per event and 35–70 events a year, well above the $3,500 program average. The top 5 account for $8.4M of the $12.8M paid to the top 10. Expect a DOJ focus on FMV and frequency (Cats. 7, 14).</w:t>
      </w:r>
    </w:p>
    <w:p>
      <w:pPr>
        <w:pStyle w:val="ListBullet"/>
      </w:pPr>
      <w:r>
        <w:rPr>
          <w:b w:val="0"/>
          <w:i w:val="0"/>
        </w:rPr>
      </w:r>
      <w:r>
        <w:rPr>
          <w:b/>
          <w:i w:val="0"/>
        </w:rPr>
        <w:t>Policy maintenance.</w:t>
      </w:r>
      <w:r>
        <w:rPr>
          <w:b w:val="0"/>
          <w:i w:val="0"/>
        </w:rPr>
        <w:t xml:space="preserve"> Policy v2.0's annual review has been overdue since April 2023. Do not amend the Policy during the hold except to strengthen preservation; any change is itself in scope (¶5 "successor" policy).</w:t>
      </w:r>
    </w:p>
    <w:p>
      <w:pPr>
        <w:pStyle w:val="ListBullet"/>
      </w:pPr>
      <w:r>
        <w:rPr>
          <w:b w:val="0"/>
          <w:i w:val="0"/>
        </w:rPr>
      </w:r>
      <w:r>
        <w:rPr>
          <w:b/>
          <w:i w:val="0"/>
        </w:rPr>
        <w:t>Figures check.</w:t>
      </w:r>
      <w:r>
        <w:rPr>
          <w:b w:val="0"/>
          <w:i w:val="0"/>
        </w:rPr>
        <w:t xml:space="preserve"> The KOL annual totals ($147.3M), RPAF annual totals ($89.6M), top-10 payments ($12.8M) and Destruction Email volumes (4.2M) all add up correctly. The only numerical inconsistencies found are the 36 vs. 34 categories and the IT Memo custodian list.</w:t>
      </w:r>
    </w:p>
    <w:p>
      <w:pPr>
        <w:pStyle w:val="Heading1"/>
      </w:pPr>
      <w:r>
        <w:t>IX. Third-Party Preservation Notice List (due March 13)</w:t>
      </w:r>
    </w:p>
    <w:tbl>
      <w:tblPr>
        <w:tblStyle w:val="TableGrid"/>
        <w:tblW w:type="auto" w:w="0"/>
        <w:tblLook w:firstColumn="1" w:firstRow="1" w:lastColumn="0" w:lastRow="0" w:noHBand="0" w:noVBand="1" w:val="04A0"/>
      </w:tblPr>
      <w:tblGrid>
        <w:gridCol w:w="3216"/>
        <w:gridCol w:w="3216"/>
        <w:gridCol w:w="3216"/>
      </w:tblGrid>
      <w:tr>
        <w:trPr>
          <w:tblHeader w:val="true"/>
        </w:trPr>
        <w:tc>
          <w:tcPr>
            <w:tcW w:type="dxa" w:w="2880"/>
            <w:shd w:val="clear" w:color="auto" w:fill="1F3A5F"/>
          </w:tcPr>
          <w:p>
            <w:r/>
            <w:r>
              <w:rPr>
                <w:b/>
                <w:color w:val="FFFFFF"/>
                <w:sz w:val="17"/>
              </w:rPr>
              <w:t>Recipient</w:t>
            </w:r>
          </w:p>
        </w:tc>
        <w:tc>
          <w:tcPr>
            <w:tcW w:type="dxa" w:w="2016"/>
            <w:shd w:val="clear" w:color="auto" w:fill="1F3A5F"/>
          </w:tcPr>
          <w:p>
            <w:r/>
            <w:r>
              <w:rPr>
                <w:b/>
                <w:color w:val="FFFFFF"/>
                <w:sz w:val="17"/>
              </w:rPr>
              <w:t>Basis</w:t>
            </w:r>
          </w:p>
        </w:tc>
        <w:tc>
          <w:tcPr>
            <w:tcW w:type="dxa" w:w="4752"/>
            <w:shd w:val="clear" w:color="auto" w:fill="1F3A5F"/>
          </w:tcPr>
          <w:p>
            <w:r/>
            <w:r>
              <w:rPr>
                <w:b/>
                <w:color w:val="FFFFFF"/>
                <w:sz w:val="17"/>
              </w:rPr>
              <w:t>Data / notes</w:t>
            </w:r>
          </w:p>
        </w:tc>
      </w:tr>
      <w:tr>
        <w:tc>
          <w:tcPr>
            <w:tcW w:type="dxa" w:w="2880"/>
          </w:tcPr>
          <w:p>
            <w:r>
              <w:rPr>
                <w:sz w:val="17"/>
              </w:rPr>
            </w:r>
            <w:r>
              <w:rPr>
                <w:b w:val="0"/>
                <w:i w:val="0"/>
                <w:sz w:val="17"/>
              </w:rPr>
              <w:t>Veeva Systems</w:t>
            </w:r>
          </w:p>
        </w:tc>
        <w:tc>
          <w:tcPr>
            <w:tcW w:type="dxa" w:w="2016"/>
          </w:tcPr>
          <w:p>
            <w:r>
              <w:rPr>
                <w:sz w:val="17"/>
              </w:rPr>
            </w:r>
            <w:r>
              <w:rPr>
                <w:b w:val="0"/>
                <w:i w:val="0"/>
                <w:sz w:val="17"/>
              </w:rPr>
              <w:t>¶43(a) (named)</w:t>
            </w:r>
          </w:p>
        </w:tc>
        <w:tc>
          <w:tcPr>
            <w:tcW w:type="dxa" w:w="4752"/>
          </w:tcPr>
          <w:p>
            <w:r>
              <w:rPr>
                <w:sz w:val="17"/>
              </w:rPr>
            </w:r>
            <w:r>
              <w:rPr>
                <w:b w:val="0"/>
                <w:i w:val="0"/>
                <w:sz w:val="17"/>
              </w:rPr>
              <w:t>Veeva CRM and Vault: call reports, samples, medical inquiries, MLR workflows; disable Cat. F purge</w:t>
            </w:r>
          </w:p>
        </w:tc>
      </w:tr>
      <w:tr>
        <w:tc>
          <w:tcPr>
            <w:tcW w:type="dxa" w:w="2880"/>
          </w:tcPr>
          <w:p>
            <w:r>
              <w:rPr>
                <w:sz w:val="17"/>
              </w:rPr>
            </w:r>
            <w:r>
              <w:rPr>
                <w:b w:val="0"/>
                <w:i w:val="0"/>
                <w:sz w:val="17"/>
              </w:rPr>
              <w:t>SAP SE</w:t>
            </w:r>
          </w:p>
        </w:tc>
        <w:tc>
          <w:tcPr>
            <w:tcW w:type="dxa" w:w="2016"/>
          </w:tcPr>
          <w:p>
            <w:r>
              <w:rPr>
                <w:sz w:val="17"/>
              </w:rPr>
            </w:r>
            <w:r>
              <w:rPr>
                <w:b w:val="0"/>
                <w:i w:val="0"/>
                <w:sz w:val="17"/>
              </w:rPr>
              <w:t>¶43(b) (named)</w:t>
            </w:r>
          </w:p>
        </w:tc>
        <w:tc>
          <w:tcPr>
            <w:tcW w:type="dxa" w:w="4752"/>
          </w:tcPr>
          <w:p>
            <w:r>
              <w:rPr>
                <w:sz w:val="17"/>
              </w:rPr>
            </w:r>
            <w:r>
              <w:rPr>
                <w:b w:val="0"/>
                <w:i w:val="0"/>
                <w:sz w:val="17"/>
              </w:rPr>
              <w:t>SAP ERP financials from Jan. 1, 2017</w:t>
            </w:r>
          </w:p>
        </w:tc>
      </w:tr>
      <w:tr>
        <w:tc>
          <w:tcPr>
            <w:tcW w:type="dxa" w:w="2880"/>
          </w:tcPr>
          <w:p>
            <w:r>
              <w:rPr>
                <w:sz w:val="17"/>
              </w:rPr>
            </w:r>
            <w:r>
              <w:rPr>
                <w:b w:val="0"/>
                <w:i w:val="0"/>
                <w:sz w:val="17"/>
              </w:rPr>
              <w:t>Concur Technologies (SAP Concur)</w:t>
            </w:r>
          </w:p>
        </w:tc>
        <w:tc>
          <w:tcPr>
            <w:tcW w:type="dxa" w:w="2016"/>
          </w:tcPr>
          <w:p>
            <w:r>
              <w:rPr>
                <w:sz w:val="17"/>
              </w:rPr>
            </w:r>
            <w:r>
              <w:rPr>
                <w:b w:val="0"/>
                <w:i w:val="0"/>
                <w:sz w:val="17"/>
              </w:rPr>
              <w:t>¶43(c) (named)</w:t>
            </w:r>
          </w:p>
        </w:tc>
        <w:tc>
          <w:tcPr>
            <w:tcW w:type="dxa" w:w="4752"/>
          </w:tcPr>
          <w:p>
            <w:r>
              <w:rPr>
                <w:sz w:val="17"/>
              </w:rPr>
            </w:r>
            <w:r>
              <w:rPr>
                <w:b w:val="0"/>
                <w:i w:val="0"/>
                <w:sz w:val="17"/>
              </w:rPr>
              <w:t>Expenses, receipts, HCP meals and travel</w:t>
            </w:r>
          </w:p>
        </w:tc>
      </w:tr>
      <w:tr>
        <w:tc>
          <w:tcPr>
            <w:tcW w:type="dxa" w:w="2880"/>
          </w:tcPr>
          <w:p>
            <w:r>
              <w:rPr>
                <w:sz w:val="17"/>
              </w:rPr>
            </w:r>
            <w:r>
              <w:rPr>
                <w:b w:val="0"/>
                <w:i w:val="0"/>
                <w:sz w:val="17"/>
              </w:rPr>
              <w:t>IntegriCall Services</w:t>
            </w:r>
          </w:p>
        </w:tc>
        <w:tc>
          <w:tcPr>
            <w:tcW w:type="dxa" w:w="2016"/>
          </w:tcPr>
          <w:p>
            <w:r>
              <w:rPr>
                <w:sz w:val="17"/>
              </w:rPr>
            </w:r>
            <w:r>
              <w:rPr>
                <w:b w:val="0"/>
                <w:i w:val="0"/>
                <w:sz w:val="17"/>
              </w:rPr>
              <w:t>¶43(d) (named)</w:t>
            </w:r>
          </w:p>
        </w:tc>
        <w:tc>
          <w:tcPr>
            <w:tcW w:type="dxa" w:w="4752"/>
          </w:tcPr>
          <w:p>
            <w:r>
              <w:rPr>
                <w:sz w:val="17"/>
              </w:rPr>
            </w:r>
            <w:r>
              <w:rPr>
                <w:b w:val="0"/>
                <w:i w:val="0"/>
                <w:sz w:val="17"/>
              </w:rPr>
              <w:t>Hotline intake, case files; override the 6-year addendum</w:t>
            </w:r>
          </w:p>
        </w:tc>
      </w:tr>
      <w:tr>
        <w:tc>
          <w:tcPr>
            <w:tcW w:type="dxa" w:w="2880"/>
          </w:tcPr>
          <w:p>
            <w:r>
              <w:rPr>
                <w:sz w:val="17"/>
              </w:rPr>
            </w:r>
            <w:r>
              <w:rPr>
                <w:b w:val="0"/>
                <w:i w:val="0"/>
                <w:sz w:val="17"/>
              </w:rPr>
              <w:t>Sentinel Records Management (Raleigh; SM-2247891)</w:t>
            </w:r>
          </w:p>
        </w:tc>
        <w:tc>
          <w:tcPr>
            <w:tcW w:type="dxa" w:w="2016"/>
          </w:tcPr>
          <w:p>
            <w:r>
              <w:rPr>
                <w:sz w:val="17"/>
              </w:rPr>
            </w:r>
            <w:r>
              <w:rPr>
                <w:b w:val="0"/>
                <w:i w:val="0"/>
                <w:sz w:val="17"/>
              </w:rPr>
              <w:t>¶¶41, 42, 44</w:t>
            </w:r>
          </w:p>
        </w:tc>
        <w:tc>
          <w:tcPr>
            <w:tcW w:type="dxa" w:w="4752"/>
          </w:tcPr>
          <w:p>
            <w:r>
              <w:rPr>
                <w:sz w:val="17"/>
              </w:rPr>
            </w:r>
            <w:r>
              <w:rPr>
                <w:b w:val="0"/>
                <w:i w:val="0"/>
                <w:sz w:val="17"/>
              </w:rPr>
              <w:t xml:space="preserve">Backup tapes, 6 legacy Exchange servers, paper boxes. </w:t>
            </w:r>
            <w:r>
              <w:rPr>
                <w:b/>
                <w:i w:val="0"/>
                <w:sz w:val="17"/>
              </w:rPr>
              <w:t>No destruction orders to be honored.</w:t>
            </w:r>
            <w:r>
              <w:rPr>
                <w:b w:val="0"/>
                <w:i w:val="0"/>
                <w:sz w:val="17"/>
              </w:rPr>
              <w:t xml:space="preserve"> Box and media inventory; audit trail for the Jan. 15 destruction</w:t>
            </w:r>
          </w:p>
        </w:tc>
      </w:tr>
      <w:tr>
        <w:tc>
          <w:tcPr>
            <w:tcW w:type="dxa" w:w="2880"/>
          </w:tcPr>
          <w:p>
            <w:r>
              <w:rPr>
                <w:sz w:val="17"/>
              </w:rPr>
            </w:r>
            <w:r>
              <w:rPr>
                <w:b w:val="0"/>
                <w:i w:val="0"/>
                <w:sz w:val="17"/>
              </w:rPr>
              <w:t>Salesforce</w:t>
            </w:r>
          </w:p>
        </w:tc>
        <w:tc>
          <w:tcPr>
            <w:tcW w:type="dxa" w:w="2016"/>
          </w:tcPr>
          <w:p>
            <w:r>
              <w:rPr>
                <w:sz w:val="17"/>
              </w:rPr>
            </w:r>
            <w:r>
              <w:rPr>
                <w:b w:val="0"/>
                <w:i w:val="0"/>
                <w:sz w:val="17"/>
              </w:rPr>
              <w:t>¶38(a) ("including but not limited to")</w:t>
            </w:r>
          </w:p>
        </w:tc>
        <w:tc>
          <w:tcPr>
            <w:tcW w:type="dxa" w:w="4752"/>
          </w:tcPr>
          <w:p>
            <w:r>
              <w:rPr>
                <w:sz w:val="17"/>
              </w:rPr>
            </w:r>
            <w:r>
              <w:rPr>
                <w:b w:val="0"/>
                <w:i w:val="0"/>
                <w:sz w:val="17"/>
              </w:rPr>
              <w:t>CRM data, audit trail, recycle bin; source data for the destroyed exports</w:t>
            </w:r>
          </w:p>
        </w:tc>
      </w:tr>
      <w:tr>
        <w:tc>
          <w:tcPr>
            <w:tcW w:type="dxa" w:w="2880"/>
          </w:tcPr>
          <w:p>
            <w:r>
              <w:rPr>
                <w:sz w:val="17"/>
              </w:rPr>
            </w:r>
            <w:r>
              <w:rPr>
                <w:b w:val="0"/>
                <w:i w:val="0"/>
                <w:sz w:val="17"/>
              </w:rPr>
              <w:t>Microsoft (M365) / Slack (Salesforce)</w:t>
            </w:r>
          </w:p>
        </w:tc>
        <w:tc>
          <w:tcPr>
            <w:tcW w:type="dxa" w:w="2016"/>
          </w:tcPr>
          <w:p>
            <w:r>
              <w:rPr>
                <w:sz w:val="17"/>
              </w:rPr>
            </w:r>
            <w:r>
              <w:rPr>
                <w:b w:val="0"/>
                <w:i w:val="0"/>
                <w:sz w:val="17"/>
              </w:rPr>
              <w:t>¶¶36, 37, 39</w:t>
            </w:r>
          </w:p>
        </w:tc>
        <w:tc>
          <w:tcPr>
            <w:tcW w:type="dxa" w:w="4752"/>
          </w:tcPr>
          <w:p>
            <w:r>
              <w:rPr>
                <w:sz w:val="17"/>
              </w:rPr>
            </w:r>
            <w:r>
              <w:rPr>
                <w:b w:val="0"/>
                <w:i w:val="0"/>
                <w:sz w:val="17"/>
              </w:rPr>
              <w:t>Mostly handled by tenant-level holds. Notice recommended for completeness and backups</w:t>
            </w:r>
          </w:p>
        </w:tc>
      </w:tr>
      <w:tr>
        <w:tc>
          <w:tcPr>
            <w:tcW w:type="dxa" w:w="2880"/>
          </w:tcPr>
          <w:p>
            <w:r>
              <w:rPr>
                <w:sz w:val="17"/>
              </w:rPr>
            </w:r>
            <w:r>
              <w:rPr>
                <w:b w:val="0"/>
                <w:i w:val="0"/>
                <w:sz w:val="17"/>
              </w:rPr>
              <w:t>Ashford Data Solutions</w:t>
            </w:r>
          </w:p>
        </w:tc>
        <w:tc>
          <w:tcPr>
            <w:tcW w:type="dxa" w:w="2016"/>
          </w:tcPr>
          <w:p>
            <w:r>
              <w:rPr>
                <w:sz w:val="17"/>
              </w:rPr>
            </w:r>
            <w:r>
              <w:rPr>
                <w:b w:val="0"/>
                <w:i w:val="0"/>
                <w:sz w:val="17"/>
              </w:rPr>
              <w:t>¶¶30, 42; Cats. 33–34</w:t>
            </w:r>
          </w:p>
        </w:tc>
        <w:tc>
          <w:tcPr>
            <w:tcW w:type="dxa" w:w="4752"/>
          </w:tcPr>
          <w:p>
            <w:r>
              <w:rPr>
                <w:sz w:val="17"/>
              </w:rPr>
            </w:r>
            <w:r>
              <w:rPr>
                <w:b w:val="0"/>
                <w:i w:val="0"/>
                <w:sz w:val="17"/>
              </w:rPr>
              <w:t>Migration logs, scripts, project files, any residual data copies</w:t>
            </w:r>
          </w:p>
        </w:tc>
      </w:tr>
      <w:tr>
        <w:tc>
          <w:tcPr>
            <w:tcW w:type="dxa" w:w="2880"/>
          </w:tcPr>
          <w:p>
            <w:r>
              <w:rPr>
                <w:sz w:val="17"/>
              </w:rPr>
            </w:r>
            <w:r>
              <w:rPr>
                <w:b w:val="0"/>
                <w:i w:val="0"/>
                <w:sz w:val="17"/>
              </w:rPr>
              <w:t>Linden &amp; Pruitt, P.A.</w:t>
            </w:r>
          </w:p>
        </w:tc>
        <w:tc>
          <w:tcPr>
            <w:tcW w:type="dxa" w:w="2016"/>
          </w:tcPr>
          <w:p>
            <w:r>
              <w:rPr>
                <w:sz w:val="17"/>
              </w:rPr>
            </w:r>
            <w:r>
              <w:rPr>
                <w:b w:val="0"/>
                <w:i w:val="0"/>
                <w:sz w:val="17"/>
              </w:rPr>
              <w:t>¶29; Cat. 32</w:t>
            </w:r>
          </w:p>
        </w:tc>
        <w:tc>
          <w:tcPr>
            <w:tcW w:type="dxa" w:w="4752"/>
          </w:tcPr>
          <w:p>
            <w:r>
              <w:rPr>
                <w:sz w:val="17"/>
              </w:rPr>
            </w:r>
            <w:r>
              <w:rPr>
                <w:b w:val="0"/>
                <w:i w:val="0"/>
                <w:sz w:val="17"/>
              </w:rPr>
              <w:t>Ridgeline client files, 2020–2024</w:t>
            </w:r>
          </w:p>
        </w:tc>
      </w:tr>
      <w:tr>
        <w:tc>
          <w:tcPr>
            <w:tcW w:type="dxa" w:w="2880"/>
          </w:tcPr>
          <w:p>
            <w:r>
              <w:rPr>
                <w:sz w:val="17"/>
              </w:rPr>
            </w:r>
            <w:r>
              <w:rPr>
                <w:b w:val="0"/>
                <w:i w:val="0"/>
                <w:sz w:val="17"/>
              </w:rPr>
              <w:t>RPAF (executive director and board)</w:t>
            </w:r>
          </w:p>
        </w:tc>
        <w:tc>
          <w:tcPr>
            <w:tcW w:type="dxa" w:w="2016"/>
          </w:tcPr>
          <w:p>
            <w:r>
              <w:rPr>
                <w:sz w:val="17"/>
              </w:rPr>
            </w:r>
            <w:r>
              <w:rPr>
                <w:b w:val="0"/>
                <w:i w:val="0"/>
                <w:sz w:val="17"/>
              </w:rPr>
              <w:t>¶4</w:t>
            </w:r>
          </w:p>
        </w:tc>
        <w:tc>
          <w:tcPr>
            <w:tcW w:type="dxa" w:w="4752"/>
          </w:tcPr>
          <w:p>
            <w:r>
              <w:rPr>
                <w:sz w:val="17"/>
              </w:rPr>
            </w:r>
            <w:r>
              <w:rPr>
                <w:b w:val="0"/>
                <w:i w:val="0"/>
                <w:sz w:val="17"/>
              </w:rPr>
              <w:t>See VIII.D. Not a vendor, but notice by Mar. 13 is recommended</w:t>
            </w:r>
          </w:p>
        </w:tc>
      </w:tr>
      <w:tr>
        <w:tc>
          <w:tcPr>
            <w:tcW w:type="dxa" w:w="2880"/>
          </w:tcPr>
          <w:p>
            <w:r>
              <w:rPr>
                <w:sz w:val="17"/>
              </w:rPr>
            </w:r>
            <w:r>
              <w:rPr>
                <w:b w:val="0"/>
                <w:i w:val="0"/>
                <w:sz w:val="17"/>
              </w:rPr>
              <w:t>KOL event and logistics vendors, venues, speaker-bureau agencies, MDM/phone vendors, print and fulfillment vendors, the Atlanta and regional off-site storage</w:t>
            </w:r>
          </w:p>
        </w:tc>
        <w:tc>
          <w:tcPr>
            <w:tcW w:type="dxa" w:w="2016"/>
          </w:tcPr>
          <w:p>
            <w:r>
              <w:rPr>
                <w:sz w:val="17"/>
              </w:rPr>
            </w:r>
            <w:r>
              <w:rPr>
                <w:b w:val="0"/>
                <w:i w:val="0"/>
                <w:sz w:val="17"/>
              </w:rPr>
              <w:t>¶43 ("all third-party vendors")</w:t>
            </w:r>
          </w:p>
        </w:tc>
        <w:tc>
          <w:tcPr>
            <w:tcW w:type="dxa" w:w="4752"/>
          </w:tcPr>
          <w:p>
            <w:r>
              <w:rPr>
                <w:sz w:val="17"/>
              </w:rPr>
            </w:r>
            <w:r>
              <w:rPr>
                <w:b w:val="0"/>
                <w:i w:val="0"/>
                <w:sz w:val="17"/>
              </w:rPr>
              <w:t>Identify through AP vendor master data (SAP)</w:t>
            </w:r>
          </w:p>
        </w:tc>
      </w:tr>
    </w:tbl>
    <w:p/>
    <w:p>
      <w:pPr>
        <w:pStyle w:val="Heading1"/>
      </w:pPr>
      <w:r>
        <w:t>X. Recommended Action Plan</w:t>
      </w:r>
    </w:p>
    <w:p>
      <w:pPr>
        <w:pStyle w:val="Heading3"/>
      </w:pPr>
      <w:r>
        <w:t>Within 24–48 hours (by March 6–7)</w:t>
      </w:r>
    </w:p>
    <w:p>
      <w:pPr>
        <w:pStyle w:val="ListNumber"/>
      </w:pPr>
      <w:r>
        <w:rPr>
          <w:b w:val="0"/>
          <w:i w:val="0"/>
        </w:rPr>
        <w:t>Legal/HTM issues the technical hold directive to IT: M365 litigation holds on all custodian mailboxes plus an org-wide retention hold; Teams, Slack and SharePoint/OneDrive set to indefinite; voicemail and CRM purges disabled; MDM wipes frozen.</w:t>
      </w:r>
    </w:p>
    <w:p>
      <w:pPr>
        <w:pStyle w:val="ListNumber"/>
      </w:pPr>
      <w:r>
        <w:rPr>
          <w:b w:val="0"/>
          <w:i w:val="0"/>
        </w:rPr>
        <w:t>Pull all backup tapes from rotation (current environment and any legacy tapes). Get Sentinel's written vault inventory.</w:t>
      </w:r>
    </w:p>
    <w:p>
      <w:pPr>
        <w:pStyle w:val="ListNumber"/>
      </w:pPr>
      <w:r>
        <w:rPr>
          <w:b w:val="0"/>
          <w:i w:val="0"/>
        </w:rPr>
        <w:t>Cancel the April 15 destruction cycle in writing. Instruct the Records Coordinator and Sentinel that no destruction may proceed without written HTM/DOJ authorization.</w:t>
      </w:r>
    </w:p>
    <w:p>
      <w:pPr>
        <w:pStyle w:val="ListNumber"/>
      </w:pPr>
      <w:r>
        <w:rPr>
          <w:b w:val="0"/>
          <w:i w:val="0"/>
        </w:rPr>
        <w:t>Send Sentinel a written hold on SM-2247891 (servers, tapes, boxes).</w:t>
      </w:r>
    </w:p>
    <w:p>
      <w:pPr>
        <w:pStyle w:val="ListNumber"/>
      </w:pPr>
      <w:r>
        <w:rPr>
          <w:b w:val="0"/>
          <w:i w:val="0"/>
        </w:rPr>
        <w:t>Secure paper at Durham and Atlanta (lock files, suspend shred-bin pickups).</w:t>
      </w:r>
    </w:p>
    <w:p>
      <w:pPr>
        <w:pStyle w:val="ListNumber"/>
      </w:pPr>
      <w:r>
        <w:rPr>
          <w:b w:val="0"/>
          <w:i w:val="0"/>
        </w:rPr>
        <w:t>Identify the two functional-title custodians. Re-run the migration-gap cross-check against the correct list of 23.</w:t>
      </w:r>
    </w:p>
    <w:p>
      <w:pPr>
        <w:pStyle w:val="ListNumber"/>
      </w:pPr>
      <w:r>
        <w:rPr>
          <w:b w:val="0"/>
          <w:i w:val="0"/>
        </w:rPr>
        <w:t>Issue individual hold notices to all 18 employee custodians and the extended list, with personal-account and device questionnaires. Acknowledgment within 2 business days.</w:t>
      </w:r>
    </w:p>
    <w:p>
      <w:pPr>
        <w:pStyle w:val="ListNumber"/>
      </w:pPr>
      <w:r>
        <w:rPr>
          <w:b w:val="0"/>
          <w:i w:val="0"/>
        </w:rPr>
        <w:t>Instruct Greenwell to begin the device imaging schedule and to design the legacy-server forensic protocol.</w:t>
      </w:r>
    </w:p>
    <w:p>
      <w:pPr>
        <w:pStyle w:val="Heading3"/>
      </w:pPr>
      <w:r>
        <w:t>By March 13</w:t>
      </w:r>
    </w:p>
    <w:p>
      <w:pPr>
        <w:pStyle w:val="ListNumber"/>
      </w:pPr>
      <w:r>
        <w:rPr>
          <w:b w:val="0"/>
          <w:i w:val="0"/>
        </w:rPr>
        <w:t>Send all third-party and RPAF preservation notices (Part IX). Begin tracking confirmations.</w:t>
      </w:r>
    </w:p>
    <w:p>
      <w:pPr>
        <w:pStyle w:val="ListNumber"/>
      </w:pPr>
      <w:r>
        <w:rPr>
          <w:b w:val="0"/>
          <w:i w:val="0"/>
        </w:rPr>
        <w:t>HTM contacts AUSA Faulkner and TA Gutierrez to raise clarification points (Part XI) and to preview the ¶46 disclosures.</w:t>
      </w:r>
    </w:p>
    <w:p>
      <w:pPr>
        <w:pStyle w:val="ListNumber"/>
      </w:pPr>
      <w:r>
        <w:rPr>
          <w:b w:val="0"/>
          <w:i w:val="0"/>
        </w:rPr>
        <w:t>Complete the tape-recovery assessment for data deleted Jan. 15, and the Salesforce/Veeva source-data check.</w:t>
      </w:r>
    </w:p>
    <w:p>
      <w:pPr>
        <w:pStyle w:val="Heading3"/>
      </w:pPr>
      <w:r>
        <w:t>By March 17</w:t>
      </w:r>
    </w:p>
    <w:p>
      <w:pPr>
        <w:pStyle w:val="ListNumber"/>
      </w:pPr>
      <w:r>
        <w:rPr>
          <w:b w:val="0"/>
          <w:i w:val="0"/>
        </w:rPr>
        <w:t>Serve the written ¶46 disclosure: Jan. 15 destruction, migration gap, legacy-tape status and any post-Notice loss.</w:t>
      </w:r>
    </w:p>
    <w:p>
      <w:pPr>
        <w:pStyle w:val="ListNumber"/>
      </w:pPr>
      <w:r>
        <w:rPr>
          <w:b w:val="0"/>
          <w:i w:val="0"/>
        </w:rPr>
        <w:t>Serve the ¶45 certification covering items (a)–(f), accurate and qualified, with the Exhibit C acknowledgments, the vendor notice list, the imaging timeline, the named oversight person and HTM as point of contact.</w:t>
      </w:r>
    </w:p>
    <w:p>
      <w:pPr>
        <w:pStyle w:val="Heading3"/>
      </w:pPr>
      <w:r>
        <w:t>By March 24 and ongoing</w:t>
      </w:r>
    </w:p>
    <w:p>
      <w:pPr>
        <w:pStyle w:val="ListNumber"/>
      </w:pPr>
      <w:r>
        <w:rPr>
          <w:b w:val="0"/>
          <w:i w:val="0"/>
        </w:rPr>
        <w:t>Complete forensic imaging with chain-of-custody logs. Report any device a custodian refused or could not produce.</w:t>
      </w:r>
    </w:p>
    <w:p>
      <w:pPr>
        <w:pStyle w:val="ListNumber"/>
      </w:pPr>
      <w:r>
        <w:rPr>
          <w:b w:val="0"/>
          <w:i w:val="0"/>
        </w:rPr>
        <w:t>Carry out the DOJ-agreed legacy Exchange server imaging protocol.</w:t>
      </w:r>
    </w:p>
    <w:p>
      <w:pPr>
        <w:pStyle w:val="ListNumber"/>
      </w:pPr>
      <w:r>
        <w:rPr>
          <w:b w:val="0"/>
          <w:i w:val="0"/>
        </w:rPr>
        <w:t>Quarterly hold reminders; process updates as DOJ supplements the list (¶¶18, 51); keep the privilege log protocol (¶48); run a privileged internal review of the January 2025 destruction and the migration-funding decisions.</w:t>
      </w:r>
    </w:p>
    <w:p>
      <w:pPr>
        <w:pStyle w:val="Heading1"/>
      </w:pPr>
      <w:r>
        <w:t>XI. Points to Clarify With DOJ (in writing, before March 13)</w:t>
      </w:r>
    </w:p>
    <w:p>
      <w:pPr>
        <w:pStyle w:val="ListNumber"/>
      </w:pPr>
      <w:r>
        <w:rPr>
          <w:b w:val="0"/>
          <w:i w:val="0"/>
        </w:rPr>
        <w:t>Receipt date and deadline computation (cover letter/¶1 "receipt" vs. ¶52 "mailing"). Confirm the stated dates control, or agree extensions for imaging.</w:t>
      </w:r>
    </w:p>
    <w:p>
      <w:pPr>
        <w:pStyle w:val="ListNumber"/>
      </w:pPr>
      <w:r>
        <w:rPr>
          <w:b w:val="0"/>
          <w:i w:val="0"/>
        </w:rPr>
        <w:t>The 36 vs. 34 categories, and whether HCP communications (¶¶23–24) are the two unnumbered categories. The ¶47 reference to "Area 7."</w:t>
      </w:r>
    </w:p>
    <w:p>
      <w:pPr>
        <w:pStyle w:val="ListNumber"/>
      </w:pPr>
      <w:r>
        <w:rPr>
          <w:b w:val="0"/>
          <w:i w:val="0"/>
        </w:rPr>
        <w:t>Whether mobile-imaging obligations for Exhibit D HCPs are limited to Ridgeline-side data; treatment of employee BYOD refusals.</w:t>
      </w:r>
    </w:p>
    <w:p>
      <w:pPr>
        <w:pStyle w:val="ListNumber"/>
      </w:pPr>
      <w:r>
        <w:rPr>
          <w:b w:val="0"/>
          <w:i w:val="0"/>
        </w:rPr>
        <w:t>DOJ agreement to the forensic protocol for the decommissioned Exchange servers (the ¶42 "current physical condition" requirement).</w:t>
      </w:r>
    </w:p>
    <w:p>
      <w:pPr>
        <w:pStyle w:val="ListNumber"/>
      </w:pPr>
      <w:r>
        <w:rPr>
          <w:b w:val="0"/>
          <w:i w:val="0"/>
        </w:rPr>
        <w:t>Whether DOJ will serve RPAF directly, given its independent governance.</w:t>
      </w:r>
    </w:p>
    <w:p>
      <w:pPr>
        <w:pStyle w:val="ListNumber"/>
      </w:pPr>
      <w:r>
        <w:rPr>
          <w:b w:val="0"/>
          <w:i w:val="0"/>
        </w:rPr>
        <w:t>The practical scope of ¶23 (all HCP communications about Velcara, by all employees) and of ¶31 (related compounds). Propose a reasonable framework: preserve org-wide in place, collect later by custodian.</w:t>
      </w:r>
    </w:p>
    <w:p>
      <w:pPr>
        <w:pStyle w:val="ListNumber"/>
      </w:pPr>
      <w:r>
        <w:rPr>
          <w:b w:val="0"/>
          <w:i w:val="0"/>
        </w:rPr>
        <w:t>Who the two functional-title custodians are, if DOJ has particular individuals in mind (e.g., prior incumbents).</w:t>
      </w:r>
    </w:p>
    <w:p>
      <w:pPr>
        <w:pStyle w:val="Heading1"/>
      </w:pPr>
      <w:r>
        <w:t>XII. Open Factual Questions</w:t>
      </w:r>
    </w:p>
    <w:p>
      <w:pPr>
        <w:pStyle w:val="ListNumber"/>
      </w:pPr>
      <w:r>
        <w:rPr>
          <w:b w:val="0"/>
          <w:i w:val="0"/>
        </w:rPr>
        <w:t>Actual FedEx delivery date and recipient of the Notice.</w:t>
      </w:r>
    </w:p>
    <w:p>
      <w:pPr>
        <w:pStyle w:val="ListNumber"/>
      </w:pPr>
      <w:r>
        <w:rPr>
          <w:b w:val="0"/>
          <w:i w:val="0"/>
        </w:rPr>
        <w:t>Earliest date Ridgeline had any notice of a government inquiry (hotline, subpoenas, CIDs, HCP contacts, qui tam unsealing), and whether any hold existed before January 13, 2025.</w:t>
      </w:r>
    </w:p>
    <w:p>
      <w:pPr>
        <w:pStyle w:val="ListNumber"/>
      </w:pPr>
      <w:r>
        <w:rPr>
          <w:b w:val="0"/>
          <w:i w:val="0"/>
        </w:rPr>
        <w:t>Whether the current backup tapes covering Oct. 2024–Jan. 2025 still exist; whether legacy Exchange tapes survive.</w:t>
      </w:r>
    </w:p>
    <w:p>
      <w:pPr>
        <w:pStyle w:val="ListNumber"/>
      </w:pPr>
      <w:r>
        <w:rPr>
          <w:b w:val="0"/>
          <w:i w:val="0"/>
        </w:rPr>
        <w:t>Who Jennifer Calloway and David Yun are, and the source of the IT roster.</w:t>
      </w:r>
    </w:p>
    <w:p>
      <w:pPr>
        <w:pStyle w:val="ListNumber"/>
      </w:pPr>
      <w:r>
        <w:rPr>
          <w:b w:val="0"/>
          <w:i w:val="0"/>
        </w:rPr>
        <w:t>Contents of the 47 destroyed Sentinel boxes and of the remaining Sentinel inventory.</w:t>
      </w:r>
    </w:p>
    <w:p>
      <w:pPr>
        <w:pStyle w:val="ListNumber"/>
      </w:pPr>
      <w:r>
        <w:rPr>
          <w:b w:val="0"/>
          <w:i w:val="0"/>
        </w:rPr>
        <w:t>Status of 2017–2018 financial data and of any 2024 destruction cycles.</w:t>
      </w:r>
    </w:p>
    <w:p>
      <w:pPr>
        <w:pStyle w:val="ListNumber"/>
      </w:pPr>
      <w:r>
        <w:rPr>
          <w:b w:val="0"/>
          <w:i w:val="0"/>
        </w:rPr>
        <w:t>Identities of the Ridgeline-affiliated RPAF directors; RPAF's own retention practices and systems.</w:t>
      </w:r>
    </w:p>
    <w:p>
      <w:pPr>
        <w:pStyle w:val="ListNumber"/>
      </w:pPr>
      <w:r>
        <w:rPr>
          <w:b w:val="0"/>
          <w:i w:val="0"/>
        </w:rPr>
        <w:t>Which custodians use personal devices, personal email or ephemeral messaging apps for business.</w:t>
      </w:r>
    </w:p>
    <w:p>
      <w:pPr>
        <w:pStyle w:val="ListNumber"/>
      </w:pPr>
      <w:r>
        <w:rPr>
          <w:b w:val="0"/>
          <w:i w:val="0"/>
        </w:rPr>
        <w:t>Current Slack, Teams, voicemail and CRM retention configurations, and whether any automatic deletion has run since March 3, 2025.</w:t>
      </w:r>
    </w:p>
    <w:p>
      <w:r>
        <w:rPr>
          <w:b w:val="0"/>
          <w:i w:val="0"/>
        </w:rPr>
      </w:r>
    </w:p>
    <w:p>
      <w:r>
        <w:rPr>
          <w:b w:val="0"/>
          <w:i/>
        </w:rPr>
        <w:t>This memo is based only on the five documents listed in Part II and has not been independently verified. Deadlines and recommendations should be confirmed by responsible outside counsel. Nothing in this memo should be communicated to the government except through HTM.</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