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i w:val="0"/>
        </w:rPr>
        <w:t>PRIVILEGED &amp; CONFIDENTIAL</w:t>
        <w:br/>
        <w:t>ATTORNEY-CLIENT COMMUNICATION / ATTORNEY WORK PRODUCT</w:t>
        <w:br/>
        <w:t>PREPARED IN ANTICIPATION OF LITIGATION</w:t>
      </w:r>
    </w:p>
    <w:p>
      <w:pPr>
        <w:spacing w:after="120"/>
        <w:jc w:val="center"/>
      </w:pPr>
      <w:r>
        <w:rPr>
          <w:b/>
          <w:i w:val="0"/>
        </w:rPr>
        <w:t>HARMON LYLE</w:t>
      </w:r>
    </w:p>
    <w:p>
      <w:pPr>
        <w:spacing w:after="120"/>
        <w:jc w:val="center"/>
      </w:pPr>
      <w:r>
        <w:rPr>
          <w:b/>
          <w:i w:val="0"/>
        </w:rPr>
        <w:t>MEMORANDUM</w:t>
      </w:r>
    </w:p>
    <w:tbl>
      <w:tblPr>
        <w:tblStyle w:val="TableGrid"/>
        <w:tblW w:type="auto" w:w="0"/>
        <w:tblLook w:firstColumn="1" w:firstRow="1" w:lastColumn="0" w:lastRow="0" w:noHBand="0" w:noVBand="1" w:val="04A0"/>
      </w:tblPr>
      <w:tblGrid>
        <w:gridCol w:w="4680"/>
        <w:gridCol w:w="4680"/>
      </w:tblGrid>
      <w:tr>
        <w:tc>
          <w:tcPr>
            <w:tcW w:type="dxa" w:w="1584"/>
            <w:shd w:val="clear" w:fill="D9E2F3"/>
          </w:tcPr>
          <w:p>
            <w:r/>
            <w:r>
              <w:rPr>
                <w:b/>
                <w:sz w:val="19"/>
              </w:rPr>
              <w:t>TO:</w:t>
            </w:r>
          </w:p>
        </w:tc>
        <w:tc>
          <w:tcPr>
            <w:tcW w:type="dxa" w:w="7776"/>
            <w:shd w:val="clear" w:fill="D9E2F3"/>
          </w:tcPr>
          <w:p>
            <w:r/>
            <w:r>
              <w:rPr>
                <w:b/>
                <w:sz w:val="19"/>
              </w:rPr>
              <w:t>Catherine Ng; Jonathan Breyer</w:t>
            </w:r>
          </w:p>
        </w:tc>
      </w:tr>
      <w:tr>
        <w:tc>
          <w:tcPr>
            <w:tcW w:type="dxa" w:w="1584"/>
          </w:tcPr>
          <w:p>
            <w:r/>
            <w:r>
              <w:rPr>
                <w:sz w:val="19"/>
              </w:rPr>
              <w:t>FROM:</w:t>
            </w:r>
          </w:p>
        </w:tc>
        <w:tc>
          <w:tcPr>
            <w:tcW w:type="dxa" w:w="7776"/>
          </w:tcPr>
          <w:p>
            <w:r/>
            <w:r>
              <w:rPr>
                <w:sz w:val="19"/>
              </w:rPr>
              <w:t>[Associate]</w:t>
            </w:r>
          </w:p>
        </w:tc>
      </w:tr>
      <w:tr>
        <w:tc>
          <w:tcPr>
            <w:tcW w:type="dxa" w:w="1584"/>
          </w:tcPr>
          <w:p>
            <w:r/>
            <w:r>
              <w:rPr>
                <w:sz w:val="19"/>
              </w:rPr>
              <w:t>DATE:</w:t>
            </w:r>
          </w:p>
        </w:tc>
        <w:tc>
          <w:tcPr>
            <w:tcW w:type="dxa" w:w="7776"/>
          </w:tcPr>
          <w:p>
            <w:r/>
            <w:r>
              <w:rPr>
                <w:sz w:val="19"/>
              </w:rPr>
              <w:t>April 27, 2025</w:t>
            </w:r>
          </w:p>
        </w:tc>
      </w:tr>
      <w:tr>
        <w:tc>
          <w:tcPr>
            <w:tcW w:type="dxa" w:w="1584"/>
          </w:tcPr>
          <w:p>
            <w:r/>
            <w:r>
              <w:rPr>
                <w:sz w:val="19"/>
              </w:rPr>
              <w:t>CLIENT:</w:t>
            </w:r>
          </w:p>
        </w:tc>
        <w:tc>
          <w:tcPr>
            <w:tcW w:type="dxa" w:w="7776"/>
          </w:tcPr>
          <w:p>
            <w:r/>
            <w:r>
              <w:rPr>
                <w:sz w:val="19"/>
              </w:rPr>
              <w:t>Greenfield Dynamics, Inc. (Defendant)</w:t>
            </w:r>
          </w:p>
        </w:tc>
      </w:tr>
      <w:tr>
        <w:tc>
          <w:tcPr>
            <w:tcW w:type="dxa" w:w="1584"/>
          </w:tcPr>
          <w:p>
            <w:r/>
            <w:r>
              <w:rPr>
                <w:sz w:val="19"/>
              </w:rPr>
              <w:t>RE:</w:t>
            </w:r>
          </w:p>
        </w:tc>
        <w:tc>
          <w:tcPr>
            <w:tcW w:type="dxa" w:w="7776"/>
          </w:tcPr>
          <w:p>
            <w:r/>
            <w:r>
              <w:rPr>
                <w:sz w:val="19"/>
              </w:rPr>
              <w:t>Litigation Summary: Apex Industrial Solutions, LLC v. Greenfield Dynamics, Inc., No. 25-CVS-4471 (Mecklenburg Cty. Super. Ct.). Claims, deadlines, exposure, and TRO strategy</w:t>
            </w:r>
          </w:p>
        </w:tc>
      </w:tr>
    </w:tbl>
    <w:p/>
    <w:p>
      <w:pPr>
        <w:pStyle w:val="Heading1"/>
      </w:pPr>
      <w:r>
        <w:t>I. Executive Summary</w:t>
      </w:r>
    </w:p>
    <w:p>
      <w:pPr>
        <w:spacing w:after="120"/>
      </w:pPr>
      <w:r>
        <w:rPr>
          <w:b w:val="0"/>
          <w:i w:val="0"/>
        </w:rPr>
        <w:t xml:space="preserve">Apex Industrial Solutions, LLC ("Apex"), Greenfield's former exclusive distributor for eight Southeastern states, has sued Greenfield in four counts: breach of contract, tortious interference, trade secret misappropriation (Georgia Trade Secrets Act ("GTSA") and federal Defend Trade Secrets Act ("DTSA")), and unjust enrichment. It seeks at least </w:t>
      </w:r>
      <w:r>
        <w:rPr>
          <w:b/>
          <w:i w:val="0"/>
        </w:rPr>
        <w:t>$22,341,800</w:t>
      </w:r>
      <w:r>
        <w:rPr>
          <w:b w:val="0"/>
          <w:i w:val="0"/>
        </w:rPr>
        <w:t xml:space="preserve">, plus punitive damages, fees, and interest. It has also applied for a TRO and preliminary injunction. The hearing is set for </w:t>
      </w:r>
      <w:r>
        <w:rPr>
          <w:b/>
          <w:i w:val="0"/>
        </w:rPr>
        <w:t>Friday, May 9, 2025 at 10:00 a.m.</w:t>
      </w:r>
      <w:r>
        <w:rPr>
          <w:b w:val="0"/>
          <w:i w:val="0"/>
        </w:rPr>
        <w:t xml:space="preserve"> before the Hon. Robert L. Vanderhorst. Greenfield was served on April 25, 2025. Our bottom-line views:</w:t>
      </w:r>
    </w:p>
    <w:p>
      <w:pPr>
        <w:pStyle w:val="ListBullet"/>
      </w:pPr>
      <w:r>
        <w:rPr>
          <w:b w:val="0"/>
        </w:rPr>
      </w:r>
      <w:r>
        <w:rPr>
          <w:b/>
        </w:rPr>
        <w:t>The contract claim is Greenfield's biggest weakness, and liability is probable.</w:t>
      </w:r>
      <w:r>
        <w:rPr>
          <w:b w:val="0"/>
        </w:rPr>
        <w:t xml:space="preserve"> The July 15, 2023 notice was signed by the VP of Sales, not the CEO or General Counsel as § 4.2 requires. We confirmed the September 12, 2023 notice came </w:t>
      </w:r>
      <w:r>
        <w:rPr>
          <w:b/>
        </w:rPr>
        <w:t>169 days</w:t>
      </w:r>
      <w:r>
        <w:rPr>
          <w:b w:val="0"/>
        </w:rPr>
        <w:t xml:space="preserve"> before expiration, not the required 180. Section 4.2 says a notice that fails the signatory or timing rules "shall be void." Ms. Yuen's email concedes most of the key facts. We should plan on the Agreement being found to have renewed through </w:t>
      </w:r>
      <w:r>
        <w:rPr>
          <w:b/>
        </w:rPr>
        <w:t>February 28, 2026</w:t>
      </w:r>
      <w:r>
        <w:rPr>
          <w:b w:val="0"/>
        </w:rPr>
        <w:t>.</w:t>
      </w:r>
    </w:p>
    <w:p>
      <w:pPr>
        <w:pStyle w:val="ListBullet"/>
      </w:pPr>
      <w:r>
        <w:rPr>
          <w:b w:val="0"/>
        </w:rPr>
      </w:r>
      <w:r>
        <w:rPr>
          <w:b/>
        </w:rPr>
        <w:t>The direct sales happened during the Initial Term, which the complaint does not emphasize.</w:t>
      </w:r>
      <w:r>
        <w:rPr>
          <w:b w:val="0"/>
        </w:rPr>
        <w:t xml:space="preserve"> All four invoices in Exhibit E (Nov. 15, 2023 to Feb. 5, 2024; $4.26M total) predate the undisputed February 28, 2024 expiration. So even if Greenfield won the renewal argument, those sales still likely breached Apex's exclusivity. Liability on that part of Count I is close to certain. The real fight is over how much.</w:t>
      </w:r>
    </w:p>
    <w:p>
      <w:pPr>
        <w:pStyle w:val="ListBullet"/>
      </w:pPr>
      <w:r>
        <w:rPr>
          <w:b w:val="0"/>
        </w:rPr>
      </w:r>
      <w:r>
        <w:rPr>
          <w:b/>
        </w:rPr>
        <w:t>The $22.3M figure is heavily inflated.</w:t>
      </w:r>
      <w:r>
        <w:rPr>
          <w:b w:val="0"/>
        </w:rPr>
        <w:t xml:space="preserve"> It double-counts overlapping losses in Counts I, II, and IV. It adds an unjust enrichment claim that Apex itself pleads in the alternative. It uses gross rather than net margin. It relies on an "18% commission rate" that does not fit a buy-resell distributor and does not appear in the Agreement excerpts. Our preliminary view of realistic exposure is </w:t>
      </w:r>
      <w:r>
        <w:rPr>
          <w:b/>
        </w:rPr>
        <w:t>about $1.5M–$4M in a favorable outcome and about $4M–$9M in the most likely adverse outcome</w:t>
      </w:r>
      <w:r>
        <w:rPr>
          <w:b w:val="0"/>
        </w:rPr>
        <w:t>, plus fee-shifting risk. Tail risk exceeds the pleaded amount (see Part VII).</w:t>
      </w:r>
    </w:p>
    <w:p>
      <w:pPr>
        <w:pStyle w:val="ListBullet"/>
      </w:pPr>
      <w:r>
        <w:rPr>
          <w:b w:val="0"/>
        </w:rPr>
      </w:r>
      <w:r>
        <w:rPr>
          <w:b/>
        </w:rPr>
        <w:t>The trade secret claim is weak, and the complaint's own timeline undercuts it.</w:t>
      </w:r>
      <w:r>
        <w:rPr>
          <w:b w:val="0"/>
        </w:rPr>
        <w:t xml:space="preserve"> Kelsey and Ostrowski were hired in </w:t>
      </w:r>
      <w:r>
        <w:rPr>
          <w:b/>
        </w:rPr>
        <w:t>February 2024</w:t>
      </w:r>
      <w:r>
        <w:rPr>
          <w:b w:val="0"/>
        </w:rPr>
        <w:t xml:space="preserve">. Three of the four direct sales (Magnolia, Tidewater, Clearwater) were invoiced </w:t>
      </w:r>
      <w:r>
        <w:rPr>
          <w:b/>
        </w:rPr>
        <w:t>before</w:t>
      </w:r>
      <w:r>
        <w:rPr>
          <w:b w:val="0"/>
        </w:rPr>
        <w:t xml:space="preserve"> that, between November 2023 and January 2024. Paragraph 111's claim that the sales started "within weeks" of the hires is contradicted by Apex's own Exhibit E. The allegations of taking are made entirely "upon information and belief."</w:t>
      </w:r>
    </w:p>
    <w:p>
      <w:pPr>
        <w:pStyle w:val="ListBullet"/>
      </w:pPr>
      <w:r>
        <w:rPr>
          <w:b w:val="0"/>
        </w:rPr>
      </w:r>
      <w:r>
        <w:rPr>
          <w:b/>
        </w:rPr>
        <w:t>We have good arguments against the TRO/PI.</w:t>
      </w:r>
      <w:r>
        <w:rPr>
          <w:b w:val="0"/>
        </w:rPr>
        <w:t xml:space="preserve"> Apex waited about 18 months after the direct sales began and about 14 months after the hires. Its damages are precisely calculated and compensable in money. The requested relief is overbroad: a ban on </w:t>
      </w:r>
      <w:r>
        <w:rPr>
          <w:b/>
        </w:rPr>
        <w:t>all</w:t>
      </w:r>
      <w:r>
        <w:rPr>
          <w:b w:val="0"/>
        </w:rPr>
        <w:t xml:space="preserve"> direct sales in eight states, and employment restrictions on non-parties that the DTSA itself limits. The contract claim still gives Apex a credible likelihood-of-success argument. We should therefore aim to narrow the relief (including through targeted stipulations) and not assume outright denial.</w:t>
      </w:r>
    </w:p>
    <w:p>
      <w:pPr>
        <w:pStyle w:val="ListBullet"/>
      </w:pPr>
      <w:r>
        <w:rPr>
          <w:b w:val="0"/>
        </w:rPr>
      </w:r>
      <w:r>
        <w:rPr>
          <w:b/>
        </w:rPr>
        <w:t>Immediate deadlines:</w:t>
      </w:r>
      <w:r>
        <w:rPr>
          <w:b w:val="0"/>
        </w:rPr>
        <w:t xml:space="preserve"> the TRO opposition and evidence (hearing May 9); the removal decision (the DTSA claim supports federal-question removal); the Business Court designation decision; and the responsive pleading. For safety, all should be calendared off the earlier possible service date (see Part III).</w:t>
      </w:r>
    </w:p>
    <w:p>
      <w:pPr>
        <w:pStyle w:val="Heading1"/>
      </w:pPr>
      <w:r>
        <w:t>II. Case Snapshot</w:t>
      </w:r>
    </w:p>
    <w:tbl>
      <w:tblPr>
        <w:tblStyle w:val="TableGrid"/>
        <w:tblW w:type="auto" w:w="0"/>
        <w:tblLook w:firstColumn="1" w:firstRow="1" w:lastColumn="0" w:lastRow="0" w:noHBand="0" w:noVBand="1" w:val="04A0"/>
      </w:tblPr>
      <w:tblGrid>
        <w:gridCol w:w="4680"/>
        <w:gridCol w:w="4680"/>
      </w:tblGrid>
      <w:tr>
        <w:tc>
          <w:tcPr>
            <w:tcW w:type="dxa" w:w="2304"/>
            <w:shd w:val="clear" w:fill="D9E2F3"/>
          </w:tcPr>
          <w:p>
            <w:r/>
            <w:r>
              <w:rPr>
                <w:b/>
                <w:sz w:val="19"/>
              </w:rPr>
              <w:t>Item</w:t>
            </w:r>
          </w:p>
        </w:tc>
        <w:tc>
          <w:tcPr>
            <w:tcW w:type="dxa" w:w="7056"/>
            <w:shd w:val="clear" w:fill="D9E2F3"/>
          </w:tcPr>
          <w:p>
            <w:r/>
            <w:r>
              <w:rPr>
                <w:b/>
                <w:sz w:val="19"/>
              </w:rPr>
              <w:t>Detail</w:t>
            </w:r>
          </w:p>
        </w:tc>
      </w:tr>
      <w:tr>
        <w:tc>
          <w:tcPr>
            <w:tcW w:type="dxa" w:w="2304"/>
          </w:tcPr>
          <w:p>
            <w:r/>
            <w:r>
              <w:rPr>
                <w:sz w:val="19"/>
              </w:rPr>
              <w:t>Court / Case No.</w:t>
            </w:r>
          </w:p>
        </w:tc>
        <w:tc>
          <w:tcPr>
            <w:tcW w:type="dxa" w:w="7056"/>
          </w:tcPr>
          <w:p>
            <w:r/>
            <w:r>
              <w:rPr>
                <w:sz w:val="19"/>
              </w:rPr>
              <w:t>N.C. Superior Court, Mecklenburg County, No. 25-CVS-4471</w:t>
            </w:r>
          </w:p>
        </w:tc>
      </w:tr>
      <w:tr>
        <w:tc>
          <w:tcPr>
            <w:tcW w:type="dxa" w:w="2304"/>
          </w:tcPr>
          <w:p>
            <w:r/>
            <w:r>
              <w:rPr>
                <w:sz w:val="19"/>
              </w:rPr>
              <w:t>Judge</w:t>
            </w:r>
          </w:p>
        </w:tc>
        <w:tc>
          <w:tcPr>
            <w:tcW w:type="dxa" w:w="7056"/>
          </w:tcPr>
          <w:p>
            <w:r/>
            <w:r>
              <w:rPr>
                <w:sz w:val="19"/>
              </w:rPr>
              <w:t>Hon. Robert L. Vanderhorst</w:t>
            </w:r>
          </w:p>
        </w:tc>
      </w:tr>
      <w:tr>
        <w:tc>
          <w:tcPr>
            <w:tcW w:type="dxa" w:w="2304"/>
          </w:tcPr>
          <w:p>
            <w:r/>
            <w:r>
              <w:rPr>
                <w:sz w:val="19"/>
              </w:rPr>
              <w:t>Filed / Served</w:t>
            </w:r>
          </w:p>
        </w:tc>
        <w:tc>
          <w:tcPr>
            <w:tcW w:type="dxa" w:w="7056"/>
          </w:tcPr>
          <w:p>
            <w:r/>
            <w:r>
              <w:rPr>
                <w:sz w:val="19"/>
              </w:rPr>
              <w:t>Filed April 22, 2025; personally served April 25, 2025, 2:15 p.m., on Sandra H. Whitfield (Registered Agent &amp; Corporate Secretary) at 4200 Tryon Park Dr., Ste. 800, Charlotte (Affidavit of Derek M. Calloway, NC Lic. PS-2019-04832)</w:t>
            </w:r>
          </w:p>
        </w:tc>
      </w:tr>
      <w:tr>
        <w:tc>
          <w:tcPr>
            <w:tcW w:type="dxa" w:w="2304"/>
          </w:tcPr>
          <w:p>
            <w:r/>
            <w:r>
              <w:rPr>
                <w:sz w:val="19"/>
              </w:rPr>
              <w:t>Plaintiff</w:t>
            </w:r>
          </w:p>
        </w:tc>
        <w:tc>
          <w:tcPr>
            <w:tcW w:type="dxa" w:w="7056"/>
          </w:tcPr>
          <w:p>
            <w:r/>
            <w:r>
              <w:rPr>
                <w:sz w:val="19"/>
              </w:rPr>
              <w:t>Apex Industrial Solutions, LLC (Georgia LLC; Atlanta). Managing Member Diana Colford (verified the complaint). FY2024 revenue ~$41.2M; ~$14.8M (35.9%) from Greenfield products</w:t>
            </w:r>
          </w:p>
        </w:tc>
      </w:tr>
      <w:tr>
        <w:tc>
          <w:tcPr>
            <w:tcW w:type="dxa" w:w="2304"/>
          </w:tcPr>
          <w:p>
            <w:r/>
            <w:r>
              <w:rPr>
                <w:sz w:val="19"/>
              </w:rPr>
              <w:t>Plaintiff's counsel</w:t>
            </w:r>
          </w:p>
        </w:tc>
        <w:tc>
          <w:tcPr>
            <w:tcW w:type="dxa" w:w="7056"/>
          </w:tcPr>
          <w:p>
            <w:r/>
            <w:r>
              <w:rPr>
                <w:sz w:val="19"/>
              </w:rPr>
              <w:t>Reginald Whitlock and Priya Nandakumar, Whitlock Stein &amp; Marsh, P.A. (Atlanta)</w:t>
            </w:r>
          </w:p>
        </w:tc>
      </w:tr>
      <w:tr>
        <w:tc>
          <w:tcPr>
            <w:tcW w:type="dxa" w:w="2304"/>
          </w:tcPr>
          <w:p>
            <w:r/>
            <w:r>
              <w:rPr>
                <w:sz w:val="19"/>
              </w:rPr>
              <w:t>Defendant</w:t>
            </w:r>
          </w:p>
        </w:tc>
        <w:tc>
          <w:tcPr>
            <w:tcW w:type="dxa" w:w="7056"/>
          </w:tcPr>
          <w:p>
            <w:r/>
            <w:r>
              <w:rPr>
                <w:sz w:val="19"/>
              </w:rPr>
              <w:t>Greenfield Dynamics, Inc. (Delaware corp.; PPB Charlotte, NC); ~$187M revenue; ~640 employees</w:t>
            </w:r>
          </w:p>
        </w:tc>
      </w:tr>
      <w:tr>
        <w:tc>
          <w:tcPr>
            <w:tcW w:type="dxa" w:w="2304"/>
          </w:tcPr>
          <w:p>
            <w:r/>
            <w:r>
              <w:rPr>
                <w:sz w:val="19"/>
              </w:rPr>
              <w:t>Client contacts</w:t>
            </w:r>
          </w:p>
        </w:tc>
        <w:tc>
          <w:tcPr>
            <w:tcW w:type="dxa" w:w="7056"/>
          </w:tcPr>
          <w:p>
            <w:r/>
            <w:r>
              <w:rPr>
                <w:sz w:val="19"/>
              </w:rPr>
              <w:t>Patricia Yuen (GC); Marcus Ellsworth (CEO)</w:t>
            </w:r>
          </w:p>
        </w:tc>
      </w:tr>
      <w:tr>
        <w:tc>
          <w:tcPr>
            <w:tcW w:type="dxa" w:w="2304"/>
          </w:tcPr>
          <w:p>
            <w:r/>
            <w:r>
              <w:rPr>
                <w:sz w:val="19"/>
              </w:rPr>
              <w:t>Key non-parties</w:t>
            </w:r>
          </w:p>
        </w:tc>
        <w:tc>
          <w:tcPr>
            <w:tcW w:type="dxa" w:w="7056"/>
          </w:tcPr>
          <w:p>
            <w:r/>
            <w:r>
              <w:rPr>
                <w:sz w:val="19"/>
              </w:rPr>
              <w:t>Thomas Hargrove (VP Sales); Brandon Kelsey and Lauren Ostrowski (former Apex employees, now at Greenfield); customers Magnolia Foods, Tidewater Pharmaceutical, Clearwater Chemical, Southeastern Bottling</w:t>
            </w:r>
          </w:p>
        </w:tc>
      </w:tr>
      <w:tr>
        <w:tc>
          <w:tcPr>
            <w:tcW w:type="dxa" w:w="2304"/>
          </w:tcPr>
          <w:p>
            <w:r/>
            <w:r>
              <w:rPr>
                <w:sz w:val="19"/>
              </w:rPr>
              <w:t>Governing law</w:t>
            </w:r>
          </w:p>
        </w:tc>
        <w:tc>
          <w:tcPr>
            <w:tcW w:type="dxa" w:w="7056"/>
          </w:tcPr>
          <w:p>
            <w:r/>
            <w:r>
              <w:rPr>
                <w:sz w:val="19"/>
              </w:rPr>
              <w:t>Georgia (Agreement § 16.1; Employment Agreements § 12). Forum: exclusive to state or federal courts in Mecklenburg County (§ 16.3)</w:t>
            </w:r>
          </w:p>
        </w:tc>
      </w:tr>
      <w:tr>
        <w:tc>
          <w:tcPr>
            <w:tcW w:type="dxa" w:w="2304"/>
          </w:tcPr>
          <w:p>
            <w:r/>
            <w:r>
              <w:rPr>
                <w:sz w:val="19"/>
              </w:rPr>
              <w:t>Jury</w:t>
            </w:r>
          </w:p>
        </w:tc>
        <w:tc>
          <w:tcPr>
            <w:tcW w:type="dxa" w:w="7056"/>
          </w:tcPr>
          <w:p>
            <w:r/>
            <w:r>
              <w:rPr>
                <w:sz w:val="19"/>
              </w:rPr>
              <w:t>Demanded by Plaintiff (Rule 38)</w:t>
            </w:r>
          </w:p>
        </w:tc>
      </w:tr>
      <w:tr>
        <w:tc>
          <w:tcPr>
            <w:tcW w:type="dxa" w:w="2304"/>
          </w:tcPr>
          <w:p>
            <w:r/>
            <w:r>
              <w:rPr>
                <w:sz w:val="19"/>
              </w:rPr>
              <w:t>Pending motion</w:t>
            </w:r>
          </w:p>
        </w:tc>
        <w:tc>
          <w:tcPr>
            <w:tcW w:type="dxa" w:w="7056"/>
          </w:tcPr>
          <w:p>
            <w:r/>
            <w:r>
              <w:rPr>
                <w:sz w:val="19"/>
              </w:rPr>
              <w:t>TRO / PI application; hearing May 9, 2025, 10:00 a.m.</w:t>
            </w:r>
          </w:p>
        </w:tc>
      </w:tr>
    </w:tbl>
    <w:p/>
    <w:p>
      <w:pPr>
        <w:pStyle w:val="Heading1"/>
      </w:pPr>
      <w:r>
        <w:t>III. Critical Deadlines and Calendar</w:t>
      </w:r>
    </w:p>
    <w:p>
      <w:pPr>
        <w:spacing w:after="120"/>
      </w:pPr>
      <w:r>
        <w:rPr>
          <w:b w:val="0"/>
          <w:i w:val="0"/>
        </w:rPr>
      </w:r>
      <w:r>
        <w:rPr>
          <w:b/>
          <w:i w:val="0"/>
        </w:rPr>
        <w:t>Service-date discrepancy.</w:t>
      </w:r>
      <w:r>
        <w:rPr>
          <w:b w:val="0"/>
          <w:i w:val="0"/>
        </w:rPr>
        <w:t xml:space="preserve"> The sworn process server affidavit and Ms. Yuen's email both put service on </w:t>
      </w:r>
      <w:r>
        <w:rPr>
          <w:b/>
          <w:i w:val="0"/>
        </w:rPr>
        <w:t>April 25, 2025</w:t>
      </w:r>
      <w:r>
        <w:rPr>
          <w:b w:val="0"/>
          <w:i w:val="0"/>
        </w:rPr>
        <w:t xml:space="preserve">. However, the complaint's Certificate of Service, signed by Mr. Whitlock, certifies service on the registered agent on </w:t>
      </w:r>
      <w:r>
        <w:rPr>
          <w:b/>
          <w:i w:val="0"/>
        </w:rPr>
        <w:t>April 22, 2025</w:t>
      </w:r>
      <w:r>
        <w:rPr>
          <w:b w:val="0"/>
          <w:i w:val="0"/>
        </w:rPr>
        <w:t xml:space="preserve">. Also, the email header is time-stamped 04:47 UTC on April 25 (about 12:47 a.m. Eastern), which is before the 2:15 p.m. service time and suggests a header or time-zone artifact. The affidavit is the better evidence, and April 25 is very likely the operative date. Still, until the date is confirmed in writing with opposing counsel, we recommend treating </w:t>
      </w:r>
      <w:r>
        <w:rPr>
          <w:b/>
          <w:i w:val="0"/>
        </w:rPr>
        <w:t>May 22, 2025</w:t>
      </w:r>
      <w:r>
        <w:rPr>
          <w:b w:val="0"/>
          <w:i w:val="0"/>
        </w:rPr>
        <w:t xml:space="preserve"> as the protective outside date for any filing that cannot be extended.</w:t>
      </w:r>
    </w:p>
    <w:tbl>
      <w:tblPr>
        <w:tblStyle w:val="TableGrid"/>
        <w:tblW w:type="auto" w:w="0"/>
        <w:tblLook w:firstColumn="1" w:firstRow="1" w:lastColumn="0" w:lastRow="0" w:noHBand="0" w:noVBand="1" w:val="04A0"/>
      </w:tblPr>
      <w:tblGrid>
        <w:gridCol w:w="3120"/>
        <w:gridCol w:w="3120"/>
        <w:gridCol w:w="3120"/>
      </w:tblGrid>
      <w:tr>
        <w:tc>
          <w:tcPr>
            <w:tcW w:type="dxa" w:w="2448"/>
            <w:shd w:val="clear" w:fill="D9E2F3"/>
          </w:tcPr>
          <w:p>
            <w:r/>
            <w:r>
              <w:rPr>
                <w:b/>
                <w:sz w:val="19"/>
              </w:rPr>
              <w:t>Deadline</w:t>
            </w:r>
          </w:p>
        </w:tc>
        <w:tc>
          <w:tcPr>
            <w:tcW w:type="dxa" w:w="2160"/>
            <w:shd w:val="clear" w:fill="D9E2F3"/>
          </w:tcPr>
          <w:p>
            <w:r/>
            <w:r>
              <w:rPr>
                <w:b/>
                <w:sz w:val="19"/>
              </w:rPr>
              <w:t>Date</w:t>
            </w:r>
          </w:p>
        </w:tc>
        <w:tc>
          <w:tcPr>
            <w:tcW w:type="dxa" w:w="4752"/>
            <w:shd w:val="clear" w:fill="D9E2F3"/>
          </w:tcPr>
          <w:p>
            <w:r/>
            <w:r>
              <w:rPr>
                <w:b/>
                <w:sz w:val="19"/>
              </w:rPr>
              <w:t>Basis / Notes</w:t>
            </w:r>
          </w:p>
        </w:tc>
      </w:tr>
      <w:tr>
        <w:tc>
          <w:tcPr>
            <w:tcW w:type="dxa" w:w="2448"/>
          </w:tcPr>
          <w:p>
            <w:r/>
            <w:r>
              <w:rPr>
                <w:sz w:val="19"/>
              </w:rPr>
              <w:t>Strategy call with client</w:t>
            </w:r>
          </w:p>
        </w:tc>
        <w:tc>
          <w:tcPr>
            <w:tcW w:type="dxa" w:w="2160"/>
          </w:tcPr>
          <w:p>
            <w:r/>
            <w:r>
              <w:rPr>
                <w:sz w:val="19"/>
              </w:rPr>
              <w:t>Mon., Apr. 28, 2025</w:t>
            </w:r>
          </w:p>
        </w:tc>
        <w:tc>
          <w:tcPr>
            <w:tcW w:type="dxa" w:w="4752"/>
          </w:tcPr>
          <w:p>
            <w:r/>
            <w:r>
              <w:rPr>
                <w:sz w:val="19"/>
              </w:rPr>
              <w:t>Requested by Ms. Yuen</w:t>
            </w:r>
          </w:p>
        </w:tc>
      </w:tr>
      <w:tr>
        <w:tc>
          <w:tcPr>
            <w:tcW w:type="dxa" w:w="2448"/>
          </w:tcPr>
          <w:p>
            <w:r/>
            <w:r>
              <w:rPr>
                <w:sz w:val="19"/>
              </w:rPr>
              <w:t>Litigation hold issued</w:t>
            </w:r>
          </w:p>
        </w:tc>
        <w:tc>
          <w:tcPr>
            <w:tcW w:type="dxa" w:w="2160"/>
          </w:tcPr>
          <w:p>
            <w:r/>
            <w:r>
              <w:rPr>
                <w:sz w:val="19"/>
              </w:rPr>
              <w:t>Immediately</w:t>
            </w:r>
          </w:p>
        </w:tc>
        <w:tc>
          <w:tcPr>
            <w:tcW w:type="dxa" w:w="4752"/>
          </w:tcPr>
          <w:p>
            <w:r/>
            <w:r>
              <w:rPr>
                <w:sz w:val="19"/>
              </w:rPr>
              <w:t>Hargrove, Ellsworth, Yuen, sales team, HR, Kelsey, Ostrowski; email, CRM, pricing, devices. See Part IX</w:t>
            </w:r>
          </w:p>
        </w:tc>
      </w:tr>
      <w:tr>
        <w:tc>
          <w:tcPr>
            <w:tcW w:type="dxa" w:w="2448"/>
          </w:tcPr>
          <w:p>
            <w:r/>
            <w:r>
              <w:rPr>
                <w:sz w:val="19"/>
              </w:rPr>
              <w:t>TRO/PI opposition brief and affidavits</w:t>
            </w:r>
          </w:p>
        </w:tc>
        <w:tc>
          <w:tcPr>
            <w:tcW w:type="dxa" w:w="2160"/>
          </w:tcPr>
          <w:p>
            <w:r/>
            <w:r>
              <w:rPr>
                <w:sz w:val="19"/>
              </w:rPr>
              <w:t>Target filing by ~May 6–7, 2025</w:t>
            </w:r>
          </w:p>
        </w:tc>
        <w:tc>
          <w:tcPr>
            <w:tcW w:type="dxa" w:w="4752"/>
          </w:tcPr>
          <w:p>
            <w:r/>
            <w:r>
              <w:rPr>
                <w:sz w:val="19"/>
              </w:rPr>
              <w:t>Hearing May 9, 10:00 a.m. Check Judge Vanderhorst's and local practice for any earlier briefing deadline. Consider a consent continuance with a narrow interim stipulation</w:t>
            </w:r>
          </w:p>
        </w:tc>
      </w:tr>
      <w:tr>
        <w:tc>
          <w:tcPr>
            <w:tcW w:type="dxa" w:w="2448"/>
          </w:tcPr>
          <w:p>
            <w:r/>
            <w:r>
              <w:rPr>
                <w:sz w:val="19"/>
              </w:rPr>
              <w:t>TRO / PI hearing</w:t>
            </w:r>
          </w:p>
        </w:tc>
        <w:tc>
          <w:tcPr>
            <w:tcW w:type="dxa" w:w="2160"/>
          </w:tcPr>
          <w:p>
            <w:r/>
            <w:r>
              <w:rPr>
                <w:sz w:val="19"/>
              </w:rPr>
              <w:t>Fri., May 9, 2025, 10:00 a.m.</w:t>
            </w:r>
          </w:p>
        </w:tc>
        <w:tc>
          <w:tcPr>
            <w:tcW w:type="dxa" w:w="4752"/>
          </w:tcPr>
          <w:p>
            <w:r/>
            <w:r>
              <w:rPr>
                <w:sz w:val="19"/>
              </w:rPr>
              <w:t>Notice of Hearing served with complaint</w:t>
            </w:r>
          </w:p>
        </w:tc>
      </w:tr>
      <w:tr>
        <w:tc>
          <w:tcPr>
            <w:tcW w:type="dxa" w:w="2448"/>
          </w:tcPr>
          <w:p>
            <w:r/>
            <w:r>
              <w:rPr>
                <w:sz w:val="19"/>
              </w:rPr>
              <w:t>Answer / Rule 12 motion (state court)</w:t>
            </w:r>
          </w:p>
        </w:tc>
        <w:tc>
          <w:tcPr>
            <w:tcW w:type="dxa" w:w="2160"/>
          </w:tcPr>
          <w:p>
            <w:r/>
            <w:r>
              <w:rPr>
                <w:sz w:val="19"/>
              </w:rPr>
              <w:t>Tues., May 27, 2025 (from Apr. 25 service)</w:t>
            </w:r>
          </w:p>
        </w:tc>
        <w:tc>
          <w:tcPr>
            <w:tcW w:type="dxa" w:w="4752"/>
          </w:tcPr>
          <w:p>
            <w:r/>
            <w:r>
              <w:rPr>
                <w:sz w:val="19"/>
              </w:rPr>
              <w:t>N.C. R. Civ. P. 12(a)(1): 30 days. Day 30 (May 25) is a Sunday and May 26 is Memorial Day, so Rule 6(a) rolls it to May 27. **We confirm Ms. Yuen's calculation.** A protective date of May 22 applies if service is deemed Apr. 22. A 30-day extension is routinely available from the Clerk under Rule 6(b) and should be requested before the deadline runs</w:t>
            </w:r>
          </w:p>
        </w:tc>
      </w:tr>
      <w:tr>
        <w:tc>
          <w:tcPr>
            <w:tcW w:type="dxa" w:w="2448"/>
          </w:tcPr>
          <w:p>
            <w:r/>
            <w:r>
              <w:rPr>
                <w:sz w:val="19"/>
              </w:rPr>
              <w:t>Notice of Removal (federal-question, based on DTSA)</w:t>
            </w:r>
          </w:p>
        </w:tc>
        <w:tc>
          <w:tcPr>
            <w:tcW w:type="dxa" w:w="2160"/>
          </w:tcPr>
          <w:p>
            <w:r/>
            <w:r>
              <w:rPr>
                <w:sz w:val="19"/>
              </w:rPr>
              <w:t>Tues., May 27, 2025 (protective: Thurs., May 22)</w:t>
            </w:r>
          </w:p>
        </w:tc>
        <w:tc>
          <w:tcPr>
            <w:tcW w:type="dxa" w:w="4752"/>
          </w:tcPr>
          <w:p>
            <w:r/>
            <w:r>
              <w:rPr>
                <w:sz w:val="19"/>
              </w:rPr>
              <w:t>28 U.S.C. § 1446(b): 30 days from receipt "through service or otherwise." This cannot be extended by the clerk. The W.D.N.C. (Charlotte) satisfies § 16.3. Diversity removal is barred by the forum-defendant rule (§ 1441(b)(2)) because Greenfield is an NC citizen</w:t>
            </w:r>
          </w:p>
        </w:tc>
      </w:tr>
      <w:tr>
        <w:tc>
          <w:tcPr>
            <w:tcW w:type="dxa" w:w="2448"/>
          </w:tcPr>
          <w:p>
            <w:r/>
            <w:r>
              <w:rPr>
                <w:sz w:val="19"/>
              </w:rPr>
              <w:t>Notice of Designation to NC Business Court</w:t>
            </w:r>
          </w:p>
        </w:tc>
        <w:tc>
          <w:tcPr>
            <w:tcW w:type="dxa" w:w="2160"/>
          </w:tcPr>
          <w:p>
            <w:r/>
            <w:r>
              <w:rPr>
                <w:sz w:val="19"/>
              </w:rPr>
              <w:t>Decide by the same protective date</w:t>
            </w:r>
          </w:p>
        </w:tc>
        <w:tc>
          <w:tcPr>
            <w:tcW w:type="dxa" w:w="4752"/>
          </w:tcPr>
          <w:p>
            <w:r/>
            <w:r>
              <w:rPr>
                <w:sz w:val="19"/>
              </w:rPr>
              <w:t>N.C.G.S. § 7A-45.4. Trade secret disputes are a mandatory-complex-business category. Confirm the defendant's filing window under § 7A-45.4(d) (verify)</w:t>
            </w:r>
          </w:p>
        </w:tc>
      </w:tr>
      <w:tr>
        <w:tc>
          <w:tcPr>
            <w:tcW w:type="dxa" w:w="2448"/>
          </w:tcPr>
          <w:p>
            <w:r/>
            <w:r>
              <w:rPr>
                <w:sz w:val="19"/>
              </w:rPr>
              <w:t>Compulsory counterclaims</w:t>
            </w:r>
          </w:p>
        </w:tc>
        <w:tc>
          <w:tcPr>
            <w:tcW w:type="dxa" w:w="2160"/>
          </w:tcPr>
          <w:p>
            <w:r/>
            <w:r>
              <w:rPr>
                <w:sz w:val="19"/>
              </w:rPr>
              <w:t>With the answer</w:t>
            </w:r>
          </w:p>
        </w:tc>
        <w:tc>
          <w:tcPr>
            <w:tcW w:type="dxa" w:w="4752"/>
          </w:tcPr>
          <w:p>
            <w:r/>
            <w:r>
              <w:rPr>
                <w:sz w:val="19"/>
              </w:rPr>
              <w:t>N.C. R. Civ. P. 13(a). For example, a declaratory judgment on term and expiry</w:t>
            </w:r>
          </w:p>
        </w:tc>
      </w:tr>
      <w:tr>
        <w:tc>
          <w:tcPr>
            <w:tcW w:type="dxa" w:w="2448"/>
          </w:tcPr>
          <w:p>
            <w:r/>
            <w:r>
              <w:rPr>
                <w:sz w:val="19"/>
              </w:rPr>
              <w:t>Protective non-renewal of the Renewal Term</w:t>
            </w:r>
          </w:p>
        </w:tc>
        <w:tc>
          <w:tcPr>
            <w:tcW w:type="dxa" w:w="2160"/>
          </w:tcPr>
          <w:p>
            <w:r/>
            <w:r>
              <w:rPr>
                <w:sz w:val="19"/>
              </w:rPr>
              <w:t>Deliver well before Aug. 29, 2025</w:t>
            </w:r>
          </w:p>
        </w:tc>
        <w:tc>
          <w:tcPr>
            <w:tcW w:type="dxa" w:w="4752"/>
          </w:tcPr>
          <w:p>
            <w:r/>
            <w:r>
              <w:rPr>
                <w:sz w:val="19"/>
              </w:rPr>
              <w:t>180 days before Feb. 28, 2026 is Mon., Sept. 1, 2025 (Labor Day). Must be **signed and delivered by the CEO or GC**. See Part V.A</w:t>
            </w:r>
          </w:p>
        </w:tc>
      </w:tr>
    </w:tbl>
    <w:p/>
    <w:p>
      <w:pPr>
        <w:spacing w:after="120"/>
      </w:pPr>
      <w:r>
        <w:rPr>
          <w:b w:val="0"/>
          <w:i w:val="0"/>
        </w:rPr>
      </w:r>
      <w:r>
        <w:rPr>
          <w:b/>
          <w:i w:val="0"/>
        </w:rPr>
        <w:t>Priority (response to Ms. Yuen):</w:t>
      </w:r>
      <w:r>
        <w:rPr>
          <w:b w:val="0"/>
          <w:i w:val="0"/>
        </w:rPr>
        <w:t xml:space="preserve"> The TRO opposition takes priority. It is also the first time the court will see our narrative, and the evidence we submit (sworn declarations from Hargrove, Kelsey, Ostrowski, and Ellsworth) will be hard to walk back later. Declarations must therefore be accurate and carefully vetted. The TRO hearing does not waive or shorten the answer deadline. Opposing the TRO without first answering does not box us in, as long as we: (i) preserve the removal option (filing a TRO opposition in state court generally does not waive removal, but we should not seek affirmative relief on the merits in state court before deciding); (ii) get a Rule 6(b) extension of the answer deadline; and (iii) avoid factual concessions in the TRO papers that would bind us in the answer.</w:t>
      </w:r>
    </w:p>
    <w:p>
      <w:pPr>
        <w:pStyle w:val="Heading1"/>
      </w:pPr>
      <w:r>
        <w:t>IV. Factual Background and Chronology</w:t>
      </w:r>
    </w:p>
    <w:tbl>
      <w:tblPr>
        <w:tblStyle w:val="TableGrid"/>
        <w:tblW w:type="auto" w:w="0"/>
        <w:tblLook w:firstColumn="1" w:firstRow="1" w:lastColumn="0" w:lastRow="0" w:noHBand="0" w:noVBand="1" w:val="04A0"/>
      </w:tblPr>
      <w:tblGrid>
        <w:gridCol w:w="3120"/>
        <w:gridCol w:w="3120"/>
        <w:gridCol w:w="3120"/>
      </w:tblGrid>
      <w:tr>
        <w:tc>
          <w:tcPr>
            <w:tcW w:type="dxa" w:w="1728"/>
            <w:shd w:val="clear" w:fill="D9E2F3"/>
          </w:tcPr>
          <w:p>
            <w:r/>
            <w:r>
              <w:rPr>
                <w:b/>
                <w:sz w:val="19"/>
              </w:rPr>
              <w:t>Date</w:t>
            </w:r>
          </w:p>
        </w:tc>
        <w:tc>
          <w:tcPr>
            <w:tcW w:type="dxa" w:w="5760"/>
            <w:shd w:val="clear" w:fill="D9E2F3"/>
          </w:tcPr>
          <w:p>
            <w:r/>
            <w:r>
              <w:rPr>
                <w:b/>
                <w:sz w:val="19"/>
              </w:rPr>
              <w:t>Event</w:t>
            </w:r>
          </w:p>
        </w:tc>
        <w:tc>
          <w:tcPr>
            <w:tcW w:type="dxa" w:w="1872"/>
            <w:shd w:val="clear" w:fill="D9E2F3"/>
          </w:tcPr>
          <w:p>
            <w:r/>
            <w:r>
              <w:rPr>
                <w:b/>
                <w:sz w:val="19"/>
              </w:rPr>
              <w:t>Source</w:t>
            </w:r>
          </w:p>
        </w:tc>
      </w:tr>
      <w:tr>
        <w:tc>
          <w:tcPr>
            <w:tcW w:type="dxa" w:w="1728"/>
          </w:tcPr>
          <w:p>
            <w:r/>
            <w:r>
              <w:rPr>
                <w:sz w:val="19"/>
              </w:rPr>
              <w:t>Mar. 1, 2019</w:t>
            </w:r>
          </w:p>
        </w:tc>
        <w:tc>
          <w:tcPr>
            <w:tcW w:type="dxa" w:w="5760"/>
          </w:tcPr>
          <w:p>
            <w:r/>
            <w:r>
              <w:rPr>
                <w:sz w:val="19"/>
              </w:rPr>
              <w:t>Exclusive Distribution Agreement executed. 8-state Territory (GA, AL, TN, SC, NC, FL, MS, LA); Initial Term to Feb. 28, 2024</w:t>
            </w:r>
          </w:p>
        </w:tc>
        <w:tc>
          <w:tcPr>
            <w:tcW w:type="dxa" w:w="1872"/>
          </w:tcPr>
          <w:p>
            <w:r/>
            <w:r>
              <w:rPr>
                <w:sz w:val="19"/>
              </w:rPr>
              <w:t>Compl. ¶¶ 18–20; Ex. A</w:t>
            </w:r>
          </w:p>
        </w:tc>
      </w:tr>
      <w:tr>
        <w:tc>
          <w:tcPr>
            <w:tcW w:type="dxa" w:w="1728"/>
          </w:tcPr>
          <w:p>
            <w:r/>
            <w:r>
              <w:rPr>
                <w:sz w:val="19"/>
              </w:rPr>
              <w:t>Mar. 15, 2020</w:t>
            </w:r>
          </w:p>
        </w:tc>
        <w:tc>
          <w:tcPr>
            <w:tcW w:type="dxa" w:w="5760"/>
          </w:tcPr>
          <w:p>
            <w:r/>
            <w:r>
              <w:rPr>
                <w:sz w:val="19"/>
              </w:rPr>
              <w:t>Kelsey Employment Agreement (24-mo. non-compete, non-solicit, confidentiality; GA law)</w:t>
            </w:r>
          </w:p>
        </w:tc>
        <w:tc>
          <w:tcPr>
            <w:tcW w:type="dxa" w:w="1872"/>
          </w:tcPr>
          <w:p>
            <w:r/>
            <w:r>
              <w:rPr>
                <w:sz w:val="19"/>
              </w:rPr>
              <w:t>Ex. F</w:t>
            </w:r>
          </w:p>
        </w:tc>
      </w:tr>
      <w:tr>
        <w:tc>
          <w:tcPr>
            <w:tcW w:type="dxa" w:w="1728"/>
          </w:tcPr>
          <w:p>
            <w:r/>
            <w:r>
              <w:rPr>
                <w:sz w:val="19"/>
              </w:rPr>
              <w:t>Mar. 2020–Feb. 2021</w:t>
            </w:r>
          </w:p>
        </w:tc>
        <w:tc>
          <w:tcPr>
            <w:tcW w:type="dxa" w:w="5760"/>
          </w:tcPr>
          <w:p>
            <w:r/>
            <w:r>
              <w:rPr>
                <w:sz w:val="19"/>
              </w:rPr>
              <w:t>Contract Year 2: Apex purchases $7.1M against a $9.2M minimum ($2.1M shortfall). No § 5.3 cure notice sent</w:t>
            </w:r>
          </w:p>
        </w:tc>
        <w:tc>
          <w:tcPr>
            <w:tcW w:type="dxa" w:w="1872"/>
          </w:tcPr>
          <w:p>
            <w:r/>
            <w:r>
              <w:rPr>
                <w:sz w:val="19"/>
              </w:rPr>
              <w:t>Compl. ¶¶ 24–26; Yuen email</w:t>
            </w:r>
          </w:p>
        </w:tc>
      </w:tr>
      <w:tr>
        <w:tc>
          <w:tcPr>
            <w:tcW w:type="dxa" w:w="1728"/>
          </w:tcPr>
          <w:p>
            <w:r/>
            <w:r>
              <w:rPr>
                <w:sz w:val="19"/>
              </w:rPr>
              <w:t>June 1, 2021</w:t>
            </w:r>
          </w:p>
        </w:tc>
        <w:tc>
          <w:tcPr>
            <w:tcW w:type="dxa" w:w="5760"/>
          </w:tcPr>
          <w:p>
            <w:r/>
            <w:r>
              <w:rPr>
                <w:sz w:val="19"/>
              </w:rPr>
              <w:t>Ostrowski Employment Agreement (same terms)</w:t>
            </w:r>
          </w:p>
        </w:tc>
        <w:tc>
          <w:tcPr>
            <w:tcW w:type="dxa" w:w="1872"/>
          </w:tcPr>
          <w:p>
            <w:r/>
            <w:r>
              <w:rPr>
                <w:sz w:val="19"/>
              </w:rPr>
              <w:t>Ex. F</w:t>
            </w:r>
          </w:p>
        </w:tc>
      </w:tr>
      <w:tr>
        <w:tc>
          <w:tcPr>
            <w:tcW w:type="dxa" w:w="1728"/>
          </w:tcPr>
          <w:p>
            <w:r/>
            <w:r>
              <w:rPr>
                <w:sz w:val="19"/>
              </w:rPr>
              <w:t>July 15, 2023</w:t>
            </w:r>
          </w:p>
        </w:tc>
        <w:tc>
          <w:tcPr>
            <w:tcW w:type="dxa" w:w="5760"/>
          </w:tcPr>
          <w:p>
            <w:r/>
            <w:r>
              <w:rPr>
                <w:sz w:val="19"/>
              </w:rPr>
              <w:t>Non-renewal letter signed by Hargrove (VP Sales), cc Ellsworth and Yuen. Per Yuen, sent on his own initiative without GC review</w:t>
            </w:r>
          </w:p>
        </w:tc>
        <w:tc>
          <w:tcPr>
            <w:tcW w:type="dxa" w:w="1872"/>
          </w:tcPr>
          <w:p>
            <w:r/>
            <w:r>
              <w:rPr>
                <w:sz w:val="19"/>
              </w:rPr>
              <w:t>Ex. B; Yuen email</w:t>
            </w:r>
          </w:p>
        </w:tc>
      </w:tr>
      <w:tr>
        <w:tc>
          <w:tcPr>
            <w:tcW w:type="dxa" w:w="1728"/>
          </w:tcPr>
          <w:p>
            <w:r/>
            <w:r>
              <w:rPr>
                <w:sz w:val="19"/>
              </w:rPr>
              <w:t>Aug. 3, 2023</w:t>
            </w:r>
          </w:p>
        </w:tc>
        <w:tc>
          <w:tcPr>
            <w:tcW w:type="dxa" w:w="5760"/>
          </w:tcPr>
          <w:p>
            <w:r/>
            <w:r>
              <w:rPr>
                <w:sz w:val="19"/>
              </w:rPr>
              <w:t>Apex counsel's letter to Yuen objecting to the signatory defect and flagging the Aug. 31 deadline. **Greenfield never responded**</w:t>
            </w:r>
          </w:p>
        </w:tc>
        <w:tc>
          <w:tcPr>
            <w:tcW w:type="dxa" w:w="1872"/>
          </w:tcPr>
          <w:p>
            <w:r/>
            <w:r>
              <w:rPr>
                <w:sz w:val="19"/>
              </w:rPr>
              <w:t>Ex. C; Yuen email</w:t>
            </w:r>
          </w:p>
        </w:tc>
      </w:tr>
      <w:tr>
        <w:tc>
          <w:tcPr>
            <w:tcW w:type="dxa" w:w="1728"/>
          </w:tcPr>
          <w:p>
            <w:r/>
            <w:r>
              <w:rPr>
                <w:sz w:val="19"/>
              </w:rPr>
              <w:t>Sept. 1, 2023</w:t>
            </w:r>
          </w:p>
        </w:tc>
        <w:tc>
          <w:tcPr>
            <w:tcW w:type="dxa" w:w="5760"/>
          </w:tcPr>
          <w:p>
            <w:r/>
            <w:r>
              <w:rPr>
                <w:sz w:val="19"/>
              </w:rPr>
              <w:t>Actual last day for a 180-day notice (Feb. 28, 2024 minus 180 days). Apex and Yuen say Aug. 31, which is 181 days. The difference does not matter</w:t>
            </w:r>
          </w:p>
        </w:tc>
        <w:tc>
          <w:tcPr>
            <w:tcW w:type="dxa" w:w="1872"/>
          </w:tcPr>
          <w:p>
            <w:r/>
            <w:r>
              <w:rPr>
                <w:sz w:val="19"/>
              </w:rPr>
              <w:t>Our calculation</w:t>
            </w:r>
          </w:p>
        </w:tc>
      </w:tr>
      <w:tr>
        <w:tc>
          <w:tcPr>
            <w:tcW w:type="dxa" w:w="1728"/>
          </w:tcPr>
          <w:p>
            <w:r/>
            <w:r>
              <w:rPr>
                <w:sz w:val="19"/>
              </w:rPr>
              <w:t>Sept. 12, 2023</w:t>
            </w:r>
          </w:p>
        </w:tc>
        <w:tc>
          <w:tcPr>
            <w:tcW w:type="dxa" w:w="5760"/>
          </w:tcPr>
          <w:p>
            <w:r/>
            <w:r>
              <w:rPr>
                <w:sz w:val="19"/>
              </w:rPr>
              <w:t>Non-renewal letter signed by CEO Ellsworth, "supersedes and replaces" the July 15 letter. 169 days before expiration (11 days short)</w:t>
            </w:r>
          </w:p>
        </w:tc>
        <w:tc>
          <w:tcPr>
            <w:tcW w:type="dxa" w:w="1872"/>
          </w:tcPr>
          <w:p>
            <w:r/>
            <w:r>
              <w:rPr>
                <w:sz w:val="19"/>
              </w:rPr>
              <w:t>Ex. D</w:t>
            </w:r>
          </w:p>
        </w:tc>
      </w:tr>
      <w:tr>
        <w:tc>
          <w:tcPr>
            <w:tcW w:type="dxa" w:w="1728"/>
          </w:tcPr>
          <w:p>
            <w:r/>
            <w:r>
              <w:rPr>
                <w:sz w:val="19"/>
              </w:rPr>
              <w:t>~Oct. 2023</w:t>
            </w:r>
          </w:p>
        </w:tc>
        <w:tc>
          <w:tcPr>
            <w:tcW w:type="dxa" w:w="5760"/>
          </w:tcPr>
          <w:p>
            <w:r/>
            <w:r>
              <w:rPr>
                <w:sz w:val="19"/>
              </w:rPr>
              <w:t>Greenfield direct-sales campaign in the Territory begins, led by Hargrove</w:t>
            </w:r>
          </w:p>
        </w:tc>
        <w:tc>
          <w:tcPr>
            <w:tcW w:type="dxa" w:w="1872"/>
          </w:tcPr>
          <w:p>
            <w:r/>
            <w:r>
              <w:rPr>
                <w:sz w:val="19"/>
              </w:rPr>
              <w:t>Compl. ¶ 43; Yuen email</w:t>
            </w:r>
          </w:p>
        </w:tc>
      </w:tr>
      <w:tr>
        <w:tc>
          <w:tcPr>
            <w:tcW w:type="dxa" w:w="1728"/>
          </w:tcPr>
          <w:p>
            <w:r/>
            <w:r>
              <w:rPr>
                <w:sz w:val="19"/>
              </w:rPr>
              <w:t>Nov. 15, 2023</w:t>
            </w:r>
          </w:p>
        </w:tc>
        <w:tc>
          <w:tcPr>
            <w:tcW w:type="dxa" w:w="5760"/>
          </w:tcPr>
          <w:p>
            <w:r/>
            <w:r>
              <w:rPr>
                <w:sz w:val="19"/>
              </w:rPr>
              <w:t>Invoice GDI-2023-10847: Magnolia Foods (Savannah, GA), $870,000</w:t>
            </w:r>
          </w:p>
        </w:tc>
        <w:tc>
          <w:tcPr>
            <w:tcW w:type="dxa" w:w="1872"/>
          </w:tcPr>
          <w:p>
            <w:r/>
            <w:r>
              <w:rPr>
                <w:sz w:val="19"/>
              </w:rPr>
              <w:t>Ex. E</w:t>
            </w:r>
          </w:p>
        </w:tc>
      </w:tr>
      <w:tr>
        <w:tc>
          <w:tcPr>
            <w:tcW w:type="dxa" w:w="1728"/>
          </w:tcPr>
          <w:p>
            <w:r/>
            <w:r>
              <w:rPr>
                <w:sz w:val="19"/>
              </w:rPr>
              <w:t>Dec. 8, 2023</w:t>
            </w:r>
          </w:p>
        </w:tc>
        <w:tc>
          <w:tcPr>
            <w:tcW w:type="dxa" w:w="5760"/>
          </w:tcPr>
          <w:p>
            <w:r/>
            <w:r>
              <w:rPr>
                <w:sz w:val="19"/>
              </w:rPr>
              <w:t>Invoice GDI-2023-11203: Tidewater (Jacksonville, FL), $720,000</w:t>
            </w:r>
          </w:p>
        </w:tc>
        <w:tc>
          <w:tcPr>
            <w:tcW w:type="dxa" w:w="1872"/>
          </w:tcPr>
          <w:p>
            <w:r/>
            <w:r>
              <w:rPr>
                <w:sz w:val="19"/>
              </w:rPr>
              <w:t>Ex. E</w:t>
            </w:r>
          </w:p>
        </w:tc>
      </w:tr>
      <w:tr>
        <w:tc>
          <w:tcPr>
            <w:tcW w:type="dxa" w:w="1728"/>
          </w:tcPr>
          <w:p>
            <w:r/>
            <w:r>
              <w:rPr>
                <w:sz w:val="19"/>
              </w:rPr>
              <w:t>Jan. 18, 2024</w:t>
            </w:r>
          </w:p>
        </w:tc>
        <w:tc>
          <w:tcPr>
            <w:tcW w:type="dxa" w:w="5760"/>
          </w:tcPr>
          <w:p>
            <w:r/>
            <w:r>
              <w:rPr>
                <w:sz w:val="19"/>
              </w:rPr>
              <w:t>Invoice GDI-2024-00512: Clearwater (Birmingham, AL), $640,000</w:t>
            </w:r>
          </w:p>
        </w:tc>
        <w:tc>
          <w:tcPr>
            <w:tcW w:type="dxa" w:w="1872"/>
          </w:tcPr>
          <w:p>
            <w:r/>
            <w:r>
              <w:rPr>
                <w:sz w:val="19"/>
              </w:rPr>
              <w:t>Ex. E</w:t>
            </w:r>
          </w:p>
        </w:tc>
      </w:tr>
      <w:tr>
        <w:tc>
          <w:tcPr>
            <w:tcW w:type="dxa" w:w="1728"/>
          </w:tcPr>
          <w:p>
            <w:r/>
            <w:r>
              <w:rPr>
                <w:sz w:val="19"/>
              </w:rPr>
              <w:t>Jan. 22, 2024</w:t>
            </w:r>
          </w:p>
        </w:tc>
        <w:tc>
          <w:tcPr>
            <w:tcW w:type="dxa" w:w="5760"/>
          </w:tcPr>
          <w:p>
            <w:r/>
            <w:r>
              <w:rPr>
                <w:sz w:val="19"/>
              </w:rPr>
              <w:t>Invoice GDI-2024-00341: Tidewater, $480,000</w:t>
            </w:r>
          </w:p>
        </w:tc>
        <w:tc>
          <w:tcPr>
            <w:tcW w:type="dxa" w:w="1872"/>
          </w:tcPr>
          <w:p>
            <w:r/>
            <w:r>
              <w:rPr>
                <w:sz w:val="19"/>
              </w:rPr>
              <w:t>Ex. E (note)</w:t>
            </w:r>
          </w:p>
        </w:tc>
      </w:tr>
      <w:tr>
        <w:tc>
          <w:tcPr>
            <w:tcW w:type="dxa" w:w="1728"/>
          </w:tcPr>
          <w:p>
            <w:r/>
            <w:r>
              <w:rPr>
                <w:sz w:val="19"/>
              </w:rPr>
              <w:t>Feb. 5, 2024</w:t>
            </w:r>
          </w:p>
        </w:tc>
        <w:tc>
          <w:tcPr>
            <w:tcW w:type="dxa" w:w="5760"/>
          </w:tcPr>
          <w:p>
            <w:r/>
            <w:r>
              <w:rPr>
                <w:sz w:val="19"/>
              </w:rPr>
              <w:t>Invoice GDI-2024-00894: Southeastern Bottling (Nashville, TN), $1,550,000</w:t>
            </w:r>
          </w:p>
        </w:tc>
        <w:tc>
          <w:tcPr>
            <w:tcW w:type="dxa" w:w="1872"/>
          </w:tcPr>
          <w:p>
            <w:r/>
            <w:r>
              <w:rPr>
                <w:sz w:val="19"/>
              </w:rPr>
              <w:t>Ex. E</w:t>
            </w:r>
          </w:p>
        </w:tc>
      </w:tr>
      <w:tr>
        <w:tc>
          <w:tcPr>
            <w:tcW w:type="dxa" w:w="1728"/>
          </w:tcPr>
          <w:p>
            <w:r/>
            <w:r>
              <w:rPr>
                <w:sz w:val="19"/>
              </w:rPr>
              <w:t>Feb. 2024</w:t>
            </w:r>
          </w:p>
        </w:tc>
        <w:tc>
          <w:tcPr>
            <w:tcW w:type="dxa" w:w="5760"/>
          </w:tcPr>
          <w:p>
            <w:r/>
            <w:r>
              <w:rPr>
                <w:sz w:val="19"/>
              </w:rPr>
              <w:t>Greenfield hires Kelsey and Ostrowski. Their Apex employment ends the same month. Exact dates unknown and critical</w:t>
            </w:r>
          </w:p>
        </w:tc>
        <w:tc>
          <w:tcPr>
            <w:tcW w:type="dxa" w:w="1872"/>
          </w:tcPr>
          <w:p>
            <w:r/>
            <w:r>
              <w:rPr>
                <w:sz w:val="19"/>
              </w:rPr>
              <w:t>Compl. ¶¶ 11, 58</w:t>
            </w:r>
          </w:p>
        </w:tc>
      </w:tr>
      <w:tr>
        <w:tc>
          <w:tcPr>
            <w:tcW w:type="dxa" w:w="1728"/>
          </w:tcPr>
          <w:p>
            <w:r/>
            <w:r>
              <w:rPr>
                <w:sz w:val="19"/>
              </w:rPr>
              <w:t>Feb. 28, 2024</w:t>
            </w:r>
          </w:p>
        </w:tc>
        <w:tc>
          <w:tcPr>
            <w:tcW w:type="dxa" w:w="5760"/>
          </w:tcPr>
          <w:p>
            <w:r/>
            <w:r>
              <w:rPr>
                <w:sz w:val="19"/>
              </w:rPr>
              <w:t>Initial Term expires. Under Apex's theory, the Agreement renews through Feb. 28, 2026</w:t>
            </w:r>
          </w:p>
        </w:tc>
        <w:tc>
          <w:tcPr>
            <w:tcW w:type="dxa" w:w="1872"/>
          </w:tcPr>
          <w:p>
            <w:r/>
            <w:r>
              <w:rPr>
                <w:sz w:val="19"/>
              </w:rPr>
              <w:t>Ex. A § 4.1</w:t>
            </w:r>
          </w:p>
        </w:tc>
      </w:tr>
      <w:tr>
        <w:tc>
          <w:tcPr>
            <w:tcW w:type="dxa" w:w="1728"/>
          </w:tcPr>
          <w:p>
            <w:r/>
            <w:r>
              <w:rPr>
                <w:sz w:val="19"/>
              </w:rPr>
              <w:t>Apr. 22, 2025</w:t>
            </w:r>
          </w:p>
        </w:tc>
        <w:tc>
          <w:tcPr>
            <w:tcW w:type="dxa" w:w="5760"/>
          </w:tcPr>
          <w:p>
            <w:r/>
            <w:r>
              <w:rPr>
                <w:sz w:val="19"/>
              </w:rPr>
              <w:t>Complaint filed (verified by Colford)</w:t>
            </w:r>
          </w:p>
        </w:tc>
        <w:tc>
          <w:tcPr>
            <w:tcW w:type="dxa" w:w="1872"/>
          </w:tcPr>
          <w:p>
            <w:r/>
            <w:r>
              <w:rPr>
                <w:sz w:val="19"/>
              </w:rPr>
              <w:t>Compl.</w:t>
            </w:r>
          </w:p>
        </w:tc>
      </w:tr>
      <w:tr>
        <w:tc>
          <w:tcPr>
            <w:tcW w:type="dxa" w:w="1728"/>
          </w:tcPr>
          <w:p>
            <w:r/>
            <w:r>
              <w:rPr>
                <w:sz w:val="19"/>
              </w:rPr>
              <w:t>Apr. 25, 2025</w:t>
            </w:r>
          </w:p>
        </w:tc>
        <w:tc>
          <w:tcPr>
            <w:tcW w:type="dxa" w:w="5760"/>
          </w:tcPr>
          <w:p>
            <w:r/>
            <w:r>
              <w:rPr>
                <w:sz w:val="19"/>
              </w:rPr>
              <w:t>Service on registered agent</w:t>
            </w:r>
          </w:p>
        </w:tc>
        <w:tc>
          <w:tcPr>
            <w:tcW w:type="dxa" w:w="1872"/>
          </w:tcPr>
          <w:p>
            <w:r/>
            <w:r>
              <w:rPr>
                <w:sz w:val="19"/>
              </w:rPr>
              <w:t>Affidavit of Service</w:t>
            </w:r>
          </w:p>
        </w:tc>
      </w:tr>
      <w:tr>
        <w:tc>
          <w:tcPr>
            <w:tcW w:type="dxa" w:w="1728"/>
          </w:tcPr>
          <w:p>
            <w:r/>
            <w:r>
              <w:rPr>
                <w:sz w:val="19"/>
              </w:rPr>
              <w:t>May 9, 2025</w:t>
            </w:r>
          </w:p>
        </w:tc>
        <w:tc>
          <w:tcPr>
            <w:tcW w:type="dxa" w:w="5760"/>
          </w:tcPr>
          <w:p>
            <w:r/>
            <w:r>
              <w:rPr>
                <w:sz w:val="19"/>
              </w:rPr>
              <w:t>TRO/PI hearing</w:t>
            </w:r>
          </w:p>
        </w:tc>
        <w:tc>
          <w:tcPr>
            <w:tcW w:type="dxa" w:w="1872"/>
          </w:tcPr>
          <w:p>
            <w:r/>
            <w:r>
              <w:rPr>
                <w:sz w:val="19"/>
              </w:rPr>
              <w:t>Notice of Hearing</w:t>
            </w:r>
          </w:p>
        </w:tc>
      </w:tr>
    </w:tbl>
    <w:p/>
    <w:p>
      <w:pPr>
        <w:pStyle w:val="Heading1"/>
      </w:pPr>
      <w:r>
        <w:t>V. Claim-by-Claim Analysis</w:t>
      </w:r>
    </w:p>
    <w:p>
      <w:pPr>
        <w:pStyle w:val="Heading2"/>
      </w:pPr>
      <w:r>
        <w:t>A. Count I: Breach of the Exclusive Distribution Agreement ($7,850,800 claimed)</w:t>
      </w:r>
    </w:p>
    <w:p>
      <w:pPr>
        <w:spacing w:after="120"/>
      </w:pPr>
      <w:r>
        <w:rPr>
          <w:b w:val="0"/>
          <w:i w:val="0"/>
        </w:rPr>
      </w:r>
      <w:r>
        <w:rPr>
          <w:b/>
          <w:i w:val="0"/>
        </w:rPr>
        <w:t>Apex's theory.</w:t>
      </w:r>
      <w:r>
        <w:rPr>
          <w:b w:val="0"/>
          <w:i w:val="0"/>
        </w:rPr>
        <w:t xml:space="preserve"> Both non-renewal notices were void under § 4.2. The Agreement therefore renewed through February 28, 2026. Greenfield breached by repudiating, by selling directly in the Territory, and by refusing to honor the Renewal Term. Apex also seeks specific performance and § 14.2 fees.</w:t>
      </w:r>
    </w:p>
    <w:p>
      <w:pPr>
        <w:spacing w:after="120"/>
      </w:pPr>
      <w:r>
        <w:rPr>
          <w:b w:val="0"/>
          <w:i w:val="0"/>
        </w:rPr>
      </w:r>
      <w:r>
        <w:rPr>
          <w:b/>
          <w:i w:val="0"/>
        </w:rPr>
        <w:t>Assessment: high risk on liability.</w:t>
      </w:r>
      <w:r>
        <w:rPr>
          <w:b w:val="0"/>
          <w:i w:val="0"/>
        </w:rPr>
      </w:r>
    </w:p>
    <w:p>
      <w:pPr>
        <w:pStyle w:val="ListBullet"/>
      </w:pPr>
      <w:r>
        <w:rPr>
          <w:b w:val="0"/>
        </w:rPr>
      </w:r>
      <w:r>
        <w:rPr>
          <w:b/>
        </w:rPr>
        <w:t>July 15 notice (signatory defect).</w:t>
      </w:r>
      <w:r>
        <w:rPr>
          <w:b w:val="0"/>
        </w:rPr>
        <w:t xml:space="preserve"> Section 4.2 requires notice "delivered by the Chief Executive Officer or General Counsel" and voids any notice that fails "the signatory and timing requirements." Possible defense arguments: (i) the operative words are "delivered by," not "signed by." Paragraph 2 of the complaint misquotes the clause as "signed by," and the letter was cc'd to both the CEO and GC. (ii) Ratification or apparent authority. (iii) Apex had actual notice of Greenfield's intent, so it suffered no prejudice. These are uphill arguments. The Agreement's own reference to "the signatory ... requirements" undercuts the "delivered by" reading. Ms. Yuen reports that Hargrove acted without authorization and that neither she nor the CEO knew of the letter until August 3, which hurts ratification. The September 12 letter's statement that it "supersedes and replaces" the July notice suggests Greenfield itself treated the July notice as ineffective. Georgia courts generally enforce express notice conditions as written, especially where the parties agreed that non-conforming notice is "void." (Georgia authority to be researched and confirmed.)</w:t>
      </w:r>
    </w:p>
    <w:p>
      <w:pPr>
        <w:pStyle w:val="ListBullet"/>
      </w:pPr>
      <w:r>
        <w:rPr>
          <w:b w:val="0"/>
        </w:rPr>
      </w:r>
      <w:r>
        <w:rPr>
          <w:b/>
        </w:rPr>
        <w:t>September 12 notice (timing defect).</w:t>
      </w:r>
      <w:r>
        <w:rPr>
          <w:b w:val="0"/>
        </w:rPr>
        <w:t xml:space="preserve"> We confirm the math: September 12, 2023 to February 28, 2024 is </w:t>
      </w:r>
      <w:r>
        <w:rPr>
          <w:b/>
        </w:rPr>
        <w:t>169 days</w:t>
      </w:r>
      <w:r>
        <w:rPr>
          <w:b w:val="0"/>
        </w:rPr>
        <w:t xml:space="preserve">. Note that 2024 is a leap year, but February 29 falls after expiration and is not counted. A timely notice had to be delivered by </w:t>
      </w:r>
      <w:r>
        <w:rPr>
          <w:b/>
        </w:rPr>
        <w:t>September 1, 2023</w:t>
      </w:r>
      <w:r>
        <w:rPr>
          <w:b w:val="0"/>
        </w:rPr>
        <w:t>. Apex (and Ms. Yuen) use August 31. That is 181 days out, which is more conservative and immaterial here. Apex's complaint is internally inconsistent: ¶ 38 says "twelve days after" the deadline and ¶ 40 says "11 days too late." The shortfall against the 180-day requirement is 11 days. We see no credible argument that this notice was timely.</w:t>
      </w:r>
    </w:p>
    <w:p>
      <w:pPr>
        <w:pStyle w:val="ListBullet"/>
      </w:pPr>
      <w:r>
        <w:rPr>
          <w:b w:val="0"/>
        </w:rPr>
      </w:r>
      <w:r>
        <w:rPr>
          <w:b/>
        </w:rPr>
        <w:t>Failure to respond to the August 3, 2023 letter.</w:t>
      </w:r>
      <w:r>
        <w:rPr>
          <w:b w:val="0"/>
        </w:rPr>
        <w:t xml:space="preserve"> This is not a legal admission, but it is a bad fact. Apex will use it to show that Greenfield had nearly four weeks' warning and could have sent a compliant notice by September 1. It will also support Apex's argument that Greenfield acted deliberately.</w:t>
      </w:r>
    </w:p>
    <w:p>
      <w:pPr>
        <w:pStyle w:val="ListBullet"/>
      </w:pPr>
      <w:r>
        <w:rPr>
          <w:b w:val="0"/>
        </w:rPr>
      </w:r>
      <w:r>
        <w:rPr>
          <w:b/>
        </w:rPr>
        <w:t>Direct sales during the Initial Term.</w:t>
      </w:r>
      <w:r>
        <w:rPr>
          <w:b w:val="0"/>
        </w:rPr>
        <w:t xml:space="preserve"> All $4.26M in Exhibit E sales were invoiced between November 15, 2023 and February 5, 2024, while the Agreement was </w:t>
      </w:r>
      <w:r>
        <w:rPr>
          <w:b/>
        </w:rPr>
        <w:t>undisputedly in force</w:t>
      </w:r>
      <w:r>
        <w:rPr>
          <w:b w:val="0"/>
        </w:rPr>
        <w:t>. The renewal defense does not reach them. Unless the full Agreement contains a carve-out (for example, house accounts, reserved customers, or a right to sell directly after a non-renewal notice, all of which should be checked in the omitted sections), this is a breach of exclusivity on the face of the documents. Paragraph 51 of the complaint rests these sales on the renewal theory, and we should not help Apex spot the stronger basis.</w:t>
      </w:r>
    </w:p>
    <w:p>
      <w:pPr>
        <w:pStyle w:val="ListBullet"/>
      </w:pPr>
      <w:r>
        <w:rPr>
          <w:b w:val="0"/>
        </w:rPr>
      </w:r>
      <w:r>
        <w:rPr>
          <w:b/>
        </w:rPr>
        <w:t>Year 2 shortfall (Ms. Yuen's question).</w:t>
      </w:r>
      <w:r>
        <w:rPr>
          <w:b w:val="0"/>
        </w:rPr>
        <w:t xml:space="preserve"> We agree with her read. As a termination ground, the shortfall is effectively unavailable. Section 5.3 makes a single-year miss a "Curable Default" and bars § 12.1(b) termination unless written notice and a 60-day cure period were first provided. None was given. Greenfield also kept accepting performance for three more years, and Apex exceeded its cumulative minimums ($55.7M vs. $54.0M, a $1.7M surplus; math verified). Apex will argue waiver or estoppel by course of dealing, and it will probably succeed. A single cured-in-substance shortfall four years before the dispute is unlikely to show that Apex materially breached first. Apex may also invoke COVID-19 impracticability or force majeure; we have not seen the Agreement's force majeure clause. The shortfall has only modest value, as background and possibly to rebut Apex's "substantial performance" narrative. We do not recommend leading with it.</w:t>
      </w:r>
    </w:p>
    <w:p>
      <w:pPr>
        <w:spacing w:after="120"/>
      </w:pPr>
      <w:r>
        <w:rPr>
          <w:b w:val="0"/>
          <w:i w:val="0"/>
        </w:rPr>
      </w:r>
      <w:r>
        <w:rPr>
          <w:b/>
          <w:i w:val="0"/>
        </w:rPr>
        <w:t>Partial defenses and mitigating points on Count I:</w:t>
      </w:r>
      <w:r>
        <w:rPr>
          <w:b w:val="0"/>
          <w:i w:val="0"/>
        </w:rPr>
      </w:r>
    </w:p>
    <w:p>
      <w:pPr>
        <w:pStyle w:val="ListBullet"/>
      </w:pPr>
      <w:r>
        <w:rPr>
          <w:b w:val="0"/>
        </w:rPr>
      </w:r>
      <w:r>
        <w:rPr>
          <w:b/>
        </w:rPr>
        <w:t>Capping the Renewal Term at February 28, 2026.</w:t>
      </w:r>
      <w:r>
        <w:rPr>
          <w:b w:val="0"/>
        </w:rPr>
        <w:t xml:space="preserve"> The September 12, 2023 notice was untimely for the Initial Term. It was, however, signed by the CEO, delivered more than 180 days before the end of the first Renewal Term, and stated Greenfield's intent not to renew. We can argue it operates as a valid non-renewal of the Renewal Term, which forecloses a further auto-renewal to 2028. As belt-and-suspenders, Greenfield should send a new, fully compliant notice (signed and delivered by Mr. Ellsworth or Ms. Yuen, and expressly sent "without prejudice") well before September 1, 2025.</w:t>
      </w:r>
    </w:p>
    <w:p>
      <w:pPr>
        <w:pStyle w:val="ListBullet"/>
      </w:pPr>
      <w:r>
        <w:rPr>
          <w:b w:val="0"/>
        </w:rPr>
      </w:r>
      <w:r>
        <w:rPr>
          <w:b/>
        </w:rPr>
        <w:t>Apex's post-expiration conduct: waiver, acquiescence, mitigation.</w:t>
      </w:r>
      <w:r>
        <w:rPr>
          <w:b w:val="0"/>
        </w:rPr>
        <w:t xml:space="preserve"> We need facts on what Apex did from September 2023 to April 2025. Did it place orders during the "Renewal Term," and did Greenfield fill or refuse them? Did it take part in transition planning? Did it object to the direct sales when they happened? Did it meet (or tender) the § 5.2 Renewal Term minimums (~$14M plus CPI)? If Apex stopped buying after February 2024 and treated the relationship as over, it would weaken both its damages and its equitable claims. Oddly, ¶ 7 reports ~$14.8M in FY2024 Greenfield-product revenue, the same figure as Year 5 purchases (Mar. 2023–Feb. 2024). If Apex sold Greenfield products well into 2024, it undercuts the claimed loss. If the figure conflates purchases with revenue, it is a credibility point.</w:t>
      </w:r>
    </w:p>
    <w:p>
      <w:pPr>
        <w:pStyle w:val="ListBullet"/>
      </w:pPr>
      <w:r>
        <w:rPr>
          <w:b w:val="0"/>
        </w:rPr>
      </w:r>
      <w:r>
        <w:rPr>
          <w:b/>
        </w:rPr>
        <w:t>Damages methodology problems</w:t>
      </w:r>
      <w:r>
        <w:rPr>
          <w:b w:val="0"/>
        </w:rPr>
        <w:t xml:space="preserve"> (detailed in Part VII): gross vs. net margin, an unsupported 8.8% growth projection, the undefined 18% commission rate, and a failure to account for avoided costs and mitigation.</w:t>
      </w:r>
    </w:p>
    <w:p>
      <w:pPr>
        <w:pStyle w:val="ListBullet"/>
      </w:pPr>
      <w:r>
        <w:rPr>
          <w:b w:val="0"/>
        </w:rPr>
      </w:r>
      <w:r>
        <w:rPr>
          <w:b/>
        </w:rPr>
        <w:t>Fee shifting (§ 14.2)</w:t>
      </w:r>
      <w:r>
        <w:rPr>
          <w:b w:val="0"/>
        </w:rPr>
        <w:t xml:space="preserve"> runs in both directions and covers "attorneys' fees, expert witness fees, and costs." If Apex prevails on Count I, fee exposure could be significant. The clause also creates leverage for Greenfield on any counts it defeats.</w:t>
      </w:r>
    </w:p>
    <w:p>
      <w:pPr>
        <w:pStyle w:val="Heading2"/>
      </w:pPr>
      <w:r>
        <w:t>B. Count II: Tortious Interference with Business Relationships ($6,200,000 + punitive damages)</w:t>
      </w:r>
    </w:p>
    <w:p>
      <w:pPr>
        <w:spacing w:after="120"/>
      </w:pPr>
      <w:r>
        <w:rPr>
          <w:b w:val="0"/>
          <w:i w:val="0"/>
        </w:rPr>
      </w:r>
      <w:r>
        <w:rPr>
          <w:b/>
          <w:i w:val="0"/>
        </w:rPr>
        <w:t>Assessment: moderate risk on liability, but largely duplicative in damages.</w:t>
      </w:r>
      <w:r>
        <w:rPr>
          <w:b w:val="0"/>
          <w:i w:val="0"/>
        </w:rPr>
        <w:t xml:space="preserve"> Key defenses:</w:t>
      </w:r>
    </w:p>
    <w:p>
      <w:pPr>
        <w:pStyle w:val="ListBullet"/>
      </w:pPr>
      <w:r>
        <w:rPr>
          <w:b w:val="0"/>
        </w:rPr>
      </w:r>
      <w:r>
        <w:rPr>
          <w:b/>
        </w:rPr>
        <w:t>Non-stranger / party privilege.</w:t>
      </w:r>
      <w:r>
        <w:rPr>
          <w:b w:val="0"/>
        </w:rPr>
        <w:t xml:space="preserve"> Greenfield manufactures the products at issue and is a party to the distribution arrangement through which Apex served these customers. Under Georgia law, a defendant who is not a "stranger" to the business relationship generally cannot be liable for tortious interference. North Carolina recognizes a similar privilege for non-outsiders and parties with a legitimate business interest. This is our strongest ground for dismissal (authority to be confirmed; choice of law for tort claims is discussed below).</w:t>
      </w:r>
    </w:p>
    <w:p>
      <w:pPr>
        <w:pStyle w:val="ListBullet"/>
      </w:pPr>
      <w:r>
        <w:rPr>
          <w:b w:val="0"/>
        </w:rPr>
      </w:r>
      <w:r>
        <w:rPr>
          <w:b/>
        </w:rPr>
        <w:t>Contract claim dressed as a tort.</w:t>
      </w:r>
      <w:r>
        <w:rPr>
          <w:b w:val="0"/>
        </w:rPr>
        <w:t xml:space="preserve"> Every alleged "improper means" (selling in the exclusive Territory, pricing, and "confusion" from the notices) flows from duties created by the Agreement. We should argue that Apex's remedy is contractual. This also defeats punitive damages, which are unavailable for breach of contract.</w:t>
      </w:r>
    </w:p>
    <w:p>
      <w:pPr>
        <w:pStyle w:val="ListBullet"/>
      </w:pPr>
      <w:r>
        <w:rPr>
          <w:b w:val="0"/>
        </w:rPr>
      </w:r>
      <w:r>
        <w:rPr>
          <w:b/>
        </w:rPr>
        <w:t>GTSA displacement.</w:t>
      </w:r>
      <w:r>
        <w:rPr>
          <w:b w:val="0"/>
        </w:rPr>
        <w:t xml:space="preserve"> O.C.G.A. § 10-1-767 displaces conflicting tort, restitutionary, and other state-law remedies for trade secret misappropriation. Paragraph 90(b) relies on misuse of Apex's Confidential Sales Information, and that theory should be displaced.</w:t>
      </w:r>
    </w:p>
    <w:p>
      <w:pPr>
        <w:pStyle w:val="ListBullet"/>
      </w:pPr>
      <w:r>
        <w:rPr>
          <w:b w:val="0"/>
        </w:rPr>
      </w:r>
      <w:r>
        <w:rPr>
          <w:b/>
        </w:rPr>
        <w:t>Choice of law.</w:t>
      </w:r>
      <w:r>
        <w:rPr>
          <w:b w:val="0"/>
        </w:rPr>
        <w:t xml:space="preserve"> Section 16.1 selects Georgia law for questions of "interpretation, validity, performance, and enforcement of this Agreement." Whether it reaches tort claims is contestable. North Carolina, as the forum, generally applies lex loci delicti to torts, and the place of injury is likely Georgia (Apex's home) or the customers' states. The answer affects the standard for punitive damages and the caps (see Part VII).</w:t>
      </w:r>
    </w:p>
    <w:p>
      <w:pPr>
        <w:pStyle w:val="ListBullet"/>
      </w:pPr>
      <w:r>
        <w:rPr>
          <w:b w:val="0"/>
        </w:rPr>
      </w:r>
      <w:r>
        <w:rPr>
          <w:b/>
        </w:rPr>
        <w:t>Damages overlap.</w:t>
      </w:r>
      <w:r>
        <w:rPr>
          <w:b w:val="0"/>
        </w:rPr>
        <w:t xml:space="preserve"> The $6.2M NPV of the four customers' future revenue is embedded in Count I's $16.1M/year projection for the Renewal Term, which includes these same accounts. A $6.2M NPV is also hard to square with those customers' historical cumulative sales of $11.3M over 3–5 years, particularly if the NPV extends past the contract's February 2026 end, since Apex had no right to exclusivity after that. Apex promises only that "expert testimony" will support the figure.</w:t>
      </w:r>
    </w:p>
    <w:p>
      <w:pPr>
        <w:pStyle w:val="ListBullet"/>
      </w:pPr>
      <w:r>
        <w:rPr>
          <w:b w:val="0"/>
        </w:rPr>
      </w:r>
      <w:r>
        <w:rPr>
          <w:b/>
        </w:rPr>
        <w:t>Pleading gap.</w:t>
      </w:r>
      <w:r>
        <w:rPr>
          <w:b w:val="0"/>
        </w:rPr>
        <w:t xml:space="preserve"> Paragraph 72 alleges tortious interference with the Kelsey and Ostrowski employment contracts, but no count pleads it. Expect an amendment. The individuals are also not named defendants, which is relevant to the injunction (Part VI).</w:t>
      </w:r>
    </w:p>
    <w:p>
      <w:pPr>
        <w:pStyle w:val="Heading2"/>
      </w:pPr>
      <w:r>
        <w:t>C. Count III: Trade Secret Misappropriation, GTSA and DTSA ($6,800,000 claimed)</w:t>
      </w:r>
    </w:p>
    <w:p>
      <w:pPr>
        <w:spacing w:after="120"/>
      </w:pPr>
      <w:r>
        <w:rPr>
          <w:b w:val="0"/>
          <w:i w:val="0"/>
        </w:rPr>
      </w:r>
      <w:r>
        <w:rPr>
          <w:b/>
          <w:i w:val="0"/>
        </w:rPr>
        <w:t>Assessment: currently weak on the pleaded facts, but it drives the injunction and fee risk.</w:t>
      </w:r>
      <w:r>
        <w:rPr>
          <w:b w:val="0"/>
          <w:i w:val="0"/>
        </w:rPr>
        <w:t xml:space="preserve"> Key points:</w:t>
      </w:r>
    </w:p>
    <w:p>
      <w:pPr>
        <w:pStyle w:val="ListBullet"/>
      </w:pPr>
      <w:r>
        <w:rPr>
          <w:b w:val="0"/>
        </w:rPr>
      </w:r>
      <w:r>
        <w:rPr>
          <w:b/>
        </w:rPr>
        <w:t>The timeline contradicts causation.</w:t>
      </w:r>
      <w:r>
        <w:rPr>
          <w:b w:val="0"/>
        </w:rPr>
        <w:t xml:space="preserve"> Paragraph 111 alleges the direct sales "commenced within weeks" of the February 2024 hires. Apex's own invoices show Magnolia (Nov. 15, 2023), Tidewater (Dec. 8, 2023 and Jan. 22, 2024), and Clearwater (Jan. 18, 2024), totaling $2.71M of the $4.26M, all </w:t>
      </w:r>
      <w:r>
        <w:rPr>
          <w:b/>
        </w:rPr>
        <w:t>before</w:t>
      </w:r>
      <w:r>
        <w:rPr>
          <w:b w:val="0"/>
        </w:rPr>
        <w:t xml:space="preserve"> the hires. Only Southeastern (Feb. 5, 2024) is even arguably close. We must pin down exact offer, acceptance, and start dates for Kelsey and Ostrowski. </w:t>
      </w:r>
      <w:r>
        <w:rPr>
          <w:b/>
        </w:rPr>
        <w:t>Caution:</w:t>
      </w:r>
      <w:r>
        <w:rPr>
          <w:b w:val="0"/>
        </w:rPr>
        <w:t xml:space="preserve"> they worked at Apex through February 2024. Apex may try to recast the theory as disclosure while they were still Apex employees. We need to confirm with them (through counsel) that no pre-hire communications with Greenfield involved Apex information.</w:t>
      </w:r>
    </w:p>
    <w:p>
      <w:pPr>
        <w:pStyle w:val="ListBullet"/>
      </w:pPr>
      <w:r>
        <w:rPr>
          <w:b w:val="0"/>
        </w:rPr>
      </w:r>
      <w:r>
        <w:rPr>
          <w:b/>
        </w:rPr>
        <w:t>Secrecy as against Greenfield.</w:t>
      </w:r>
      <w:r>
        <w:rPr>
          <w:b w:val="0"/>
        </w:rPr>
        <w:t xml:space="preserve"> Paragraph 53 alleges that Greenfield's "own records" show all sales to these customers ran through Apex. Customer identities were therefore known to Greenfield, as was Greenfield's own price to Apex. What remains potentially secret is Apex's resale pricing, discounts, and pipeline data. Some of that may be known to the customers themselves.</w:t>
      </w:r>
    </w:p>
    <w:p>
      <w:pPr>
        <w:pStyle w:val="ListBullet"/>
      </w:pPr>
      <w:r>
        <w:rPr>
          <w:b w:val="0"/>
        </w:rPr>
      </w:r>
      <w:r>
        <w:rPr>
          <w:b/>
        </w:rPr>
        <w:t>No facts showing acquisition.</w:t>
      </w:r>
      <w:r>
        <w:rPr>
          <w:b w:val="0"/>
        </w:rPr>
        <w:t xml:space="preserve"> Every allegation of taking or use is "upon information and belief." There is no forensic evidence, no downloads, and no specific document. The "precision pricing" theory (¶ 112) is also pleaded on information and belief.</w:t>
      </w:r>
    </w:p>
    <w:p>
      <w:pPr>
        <w:pStyle w:val="ListBullet"/>
      </w:pPr>
      <w:r>
        <w:rPr>
          <w:b w:val="0"/>
        </w:rPr>
      </w:r>
      <w:r>
        <w:rPr>
          <w:b/>
        </w:rPr>
        <w:t>Damages theory.</w:t>
      </w:r>
      <w:r>
        <w:rPr>
          <w:b w:val="0"/>
        </w:rPr>
        <w:t xml:space="preserve"> The $3.4M "replacement cost" is described in ¶ 106 as Greenfield's "unjust enrichment." Its components (hiring and training personnel, "rebuilding customer relationships") overlap with Count II and are not a proper measure of misappropriation loss. Note, however, that GTSA/DTSA exemplary damages can be </w:t>
      </w:r>
      <w:r>
        <w:rPr>
          <w:b/>
        </w:rPr>
        <w:t>up to twice</w:t>
      </w:r>
      <w:r>
        <w:rPr>
          <w:b w:val="0"/>
        </w:rPr>
        <w:t xml:space="preserve"> actual damages (O.C.G.A. § 10-1-763; 18 U.S.C. § 1836(b)(3)(C)). Apex claimed only 1x ($3.4M), so the statutory ceiling on this count is $10.2M, which exceeds the pleaded figure. Fees are available for willful and malicious misappropriation (O.C.G.A. § 10-1-764) and, reciprocally, for a claim made in bad faith.</w:t>
      </w:r>
    </w:p>
    <w:p>
      <w:pPr>
        <w:pStyle w:val="ListBullet"/>
      </w:pPr>
      <w:r>
        <w:rPr>
          <w:b w:val="0"/>
        </w:rPr>
      </w:r>
      <w:r>
        <w:rPr>
          <w:b/>
        </w:rPr>
        <w:t>Real risk factors.</w:t>
      </w:r>
      <w:r>
        <w:rPr>
          <w:b w:val="0"/>
        </w:rPr>
        <w:t xml:space="preserve"> Ms. Yuen cannot confirm whether HR reviewed the restrictive covenants before hiring. If Kelsey or Ostrowski brought any Apex files, or used them on these accounts, this count becomes dangerous and supports both willfulness and injunctive relief. </w:t>
      </w:r>
      <w:r>
        <w:rPr>
          <w:b/>
        </w:rPr>
        <w:t>An immediate, privileged forensic review of their devices and accounts is essential before any declaration is signed.</w:t>
      </w:r>
      <w:r>
        <w:rPr>
          <w:b w:val="0"/>
        </w:rPr>
      </w:r>
    </w:p>
    <w:p>
      <w:pPr>
        <w:pStyle w:val="Heading2"/>
      </w:pPr>
      <w:r>
        <w:t>D. Count IV: Unjust Enrichment ($1,491,000 claimed)</w:t>
      </w:r>
    </w:p>
    <w:p>
      <w:pPr>
        <w:pStyle w:val="ListBullet"/>
      </w:pPr>
      <w:r>
        <w:rPr>
          <w:b w:val="0"/>
        </w:rPr>
        <w:t>Pleaded expressly "in the alternative to Count I" (¶ 116), yet included in the $22.3M total (Prayer ¶ 5). That is facial double counting.</w:t>
      </w:r>
    </w:p>
    <w:p>
      <w:pPr>
        <w:pStyle w:val="ListBullet"/>
      </w:pPr>
      <w:r>
        <w:rPr>
          <w:b w:val="0"/>
        </w:rPr>
        <w:t>Under Georgia law, unjust enrichment is generally unavailable where an express contract covers the subject matter. Both sides agree the Agreement exists and governs exclusivity. Any trade secret component is displaced by § 10-1-767.</w:t>
      </w:r>
    </w:p>
    <w:p>
      <w:pPr>
        <w:pStyle w:val="ListBullet"/>
      </w:pPr>
      <w:r>
        <w:rPr>
          <w:b w:val="0"/>
        </w:rPr>
        <w:t>The measure (Greenfield's ~35% margin on $4.26M = $1,491,000, math verified) duplicates the same sales underlying Count I's $766,800 commission claim. Apex cannot recover both its lost profit and Greenfield's gain on the same transactions without an election. A strong candidate for a Rule 12(b)(6) motion.</w:t>
      </w:r>
    </w:p>
    <w:p>
      <w:pPr>
        <w:pStyle w:val="Heading1"/>
      </w:pPr>
      <w:r>
        <w:t>VI. TRO / Preliminary Injunction Analysis</w:t>
      </w:r>
    </w:p>
    <w:p>
      <w:pPr>
        <w:spacing w:after="120"/>
      </w:pPr>
      <w:r>
        <w:rPr>
          <w:b w:val="0"/>
          <w:i w:val="0"/>
        </w:rPr>
        <w:t xml:space="preserve">Apex seeks: (a) a ban on all Greenfield direct sales to </w:t>
      </w:r>
      <w:r>
        <w:rPr>
          <w:b/>
          <w:i w:val="0"/>
        </w:rPr>
        <w:t>any</w:t>
      </w:r>
      <w:r>
        <w:rPr>
          <w:b w:val="0"/>
          <w:i w:val="0"/>
        </w:rPr>
        <w:t xml:space="preserve"> customer in the eight-state Territory; (b) return or destruction of Apex's Confidential Sales Information, supervised by a neutral; (c) a bar on employing Kelsey and Ostrowski in any Territory-related role; and (d) a verified accounting of all Territory direct sales since October 2023. The North Carolina standard (Rule 65) requires likelihood of success and a likelihood of irreparable loss (or that an injunction is necessary to protect the plaintiff's rights during the litigation), with courts weighing the equities.</w:t>
      </w:r>
    </w:p>
    <w:tbl>
      <w:tblPr>
        <w:tblStyle w:val="TableGrid"/>
        <w:tblW w:type="auto" w:w="0"/>
        <w:tblLook w:firstColumn="1" w:firstRow="1" w:lastColumn="0" w:lastRow="0" w:noHBand="0" w:noVBand="1" w:val="04A0"/>
      </w:tblPr>
      <w:tblGrid>
        <w:gridCol w:w="2340"/>
        <w:gridCol w:w="2340"/>
        <w:gridCol w:w="2340"/>
        <w:gridCol w:w="2340"/>
      </w:tblGrid>
      <w:tr>
        <w:tc>
          <w:tcPr>
            <w:tcW w:type="dxa" w:w="1584"/>
            <w:shd w:val="clear" w:fill="D9E2F3"/>
          </w:tcPr>
          <w:p>
            <w:r/>
            <w:r>
              <w:rPr>
                <w:b/>
                <w:sz w:val="19"/>
              </w:rPr>
              <w:t>Element</w:t>
            </w:r>
          </w:p>
        </w:tc>
        <w:tc>
          <w:tcPr>
            <w:tcW w:type="dxa" w:w="2304"/>
            <w:shd w:val="clear" w:fill="D9E2F3"/>
          </w:tcPr>
          <w:p>
            <w:r/>
            <w:r>
              <w:rPr>
                <w:b/>
                <w:sz w:val="19"/>
              </w:rPr>
              <w:t>Apex's position</w:t>
            </w:r>
          </w:p>
        </w:tc>
        <w:tc>
          <w:tcPr>
            <w:tcW w:type="dxa" w:w="3600"/>
            <w:shd w:val="clear" w:fill="D9E2F3"/>
          </w:tcPr>
          <w:p>
            <w:r/>
            <w:r>
              <w:rPr>
                <w:b/>
                <w:sz w:val="19"/>
              </w:rPr>
              <w:t>Greenfield's response</w:t>
            </w:r>
          </w:p>
        </w:tc>
        <w:tc>
          <w:tcPr>
            <w:tcW w:type="dxa" w:w="1872"/>
            <w:shd w:val="clear" w:fill="D9E2F3"/>
          </w:tcPr>
          <w:p>
            <w:r/>
            <w:r>
              <w:rPr>
                <w:b/>
                <w:sz w:val="19"/>
              </w:rPr>
              <w:t>Assessment</w:t>
            </w:r>
          </w:p>
        </w:tc>
      </w:tr>
      <w:tr>
        <w:tc>
          <w:tcPr>
            <w:tcW w:type="dxa" w:w="1584"/>
          </w:tcPr>
          <w:p>
            <w:r/>
            <w:r>
              <w:rPr>
                <w:sz w:val="19"/>
              </w:rPr>
              <w:t>Likelihood of success</w:t>
            </w:r>
          </w:p>
        </w:tc>
        <w:tc>
          <w:tcPr>
            <w:tcW w:type="dxa" w:w="2304"/>
          </w:tcPr>
          <w:p>
            <w:r/>
            <w:r>
              <w:rPr>
                <w:sz w:val="19"/>
              </w:rPr>
              <w:t>Void notices; auto-renewal; $4.26M direct sales; misappropriation</w:t>
            </w:r>
          </w:p>
        </w:tc>
        <w:tc>
          <w:tcPr>
            <w:tcW w:type="dxa" w:w="3600"/>
          </w:tcPr>
          <w:p>
            <w:r/>
            <w:r>
              <w:rPr>
                <w:sz w:val="19"/>
              </w:rPr>
              <w:t>Contract: limited defenses. Trade secrets: timeline and no evidence of taking. Interference: non-stranger doctrine</w:t>
            </w:r>
          </w:p>
        </w:tc>
        <w:tc>
          <w:tcPr>
            <w:tcW w:type="dxa" w:w="1872"/>
          </w:tcPr>
          <w:p>
            <w:r/>
            <w:r>
              <w:rPr>
                <w:sz w:val="19"/>
              </w:rPr>
              <w:t>Apex likely shows success on contract; weak on trade secrets</w:t>
            </w:r>
          </w:p>
        </w:tc>
      </w:tr>
      <w:tr>
        <w:tc>
          <w:tcPr>
            <w:tcW w:type="dxa" w:w="1584"/>
          </w:tcPr>
          <w:p>
            <w:r/>
            <w:r>
              <w:rPr>
                <w:sz w:val="19"/>
              </w:rPr>
              <w:t>Irreparable harm</w:t>
            </w:r>
          </w:p>
        </w:tc>
        <w:tc>
          <w:tcPr>
            <w:tcW w:type="dxa" w:w="2304"/>
          </w:tcPr>
          <w:p>
            <w:r/>
            <w:r>
              <w:rPr>
                <w:sz w:val="19"/>
              </w:rPr>
              <w:t>Customer loss, trade secret dissemination, competitive erosion</w:t>
            </w:r>
          </w:p>
        </w:tc>
        <w:tc>
          <w:tcPr>
            <w:tcW w:type="dxa" w:w="3600"/>
          </w:tcPr>
          <w:p>
            <w:r/>
            <w:r>
              <w:rPr>
                <w:sz w:val="19"/>
              </w:rPr>
              <w:t>~18-month delay since Oct. 2023 sales, ~14 months since hires, ~20 months since Aug. 2023 letter; damages quantified to the dollar (money is adequate); customers already gone (¶ 55), so an injunction cannot restore them</w:t>
            </w:r>
          </w:p>
        </w:tc>
        <w:tc>
          <w:tcPr>
            <w:tcW w:type="dxa" w:w="1872"/>
          </w:tcPr>
          <w:p>
            <w:r/>
            <w:r>
              <w:rPr>
                <w:sz w:val="19"/>
              </w:rPr>
              <w:t>Strong defense argument; directly contradicts ¶ 139 "prompt" claim</w:t>
            </w:r>
          </w:p>
        </w:tc>
      </w:tr>
      <w:tr>
        <w:tc>
          <w:tcPr>
            <w:tcW w:type="dxa" w:w="1584"/>
          </w:tcPr>
          <w:p>
            <w:r/>
            <w:r>
              <w:rPr>
                <w:sz w:val="19"/>
              </w:rPr>
              <w:t>Balance of equities</w:t>
            </w:r>
          </w:p>
        </w:tc>
        <w:tc>
          <w:tcPr>
            <w:tcW w:type="dxa" w:w="2304"/>
          </w:tcPr>
          <w:p>
            <w:r/>
            <w:r>
              <w:rPr>
                <w:sz w:val="19"/>
              </w:rPr>
              <w:t>Greenfield merely honors contract</w:t>
            </w:r>
          </w:p>
        </w:tc>
        <w:tc>
          <w:tcPr>
            <w:tcW w:type="dxa" w:w="3600"/>
          </w:tcPr>
          <w:p>
            <w:r/>
            <w:r>
              <w:rPr>
                <w:sz w:val="19"/>
              </w:rPr>
              <w:t>Territory-wide ban disrupts customers and supply in food, pharma, and chemical plants; the Agreement expires Feb. 28, 2026 regardless; the injunction would effectively grant final relief</w:t>
            </w:r>
          </w:p>
        </w:tc>
        <w:tc>
          <w:tcPr>
            <w:tcW w:type="dxa" w:w="1872"/>
          </w:tcPr>
          <w:p>
            <w:r/>
            <w:r>
              <w:rPr>
                <w:sz w:val="19"/>
              </w:rPr>
              <w:t>Favors narrowing</w:t>
            </w:r>
          </w:p>
        </w:tc>
      </w:tr>
      <w:tr>
        <w:tc>
          <w:tcPr>
            <w:tcW w:type="dxa" w:w="1584"/>
          </w:tcPr>
          <w:p>
            <w:r/>
            <w:r>
              <w:rPr>
                <w:sz w:val="19"/>
              </w:rPr>
              <w:t>Public interest</w:t>
            </w:r>
          </w:p>
        </w:tc>
        <w:tc>
          <w:tcPr>
            <w:tcW w:type="dxa" w:w="2304"/>
          </w:tcPr>
          <w:p>
            <w:r/>
            <w:r>
              <w:rPr>
                <w:sz w:val="19"/>
              </w:rPr>
              <w:t>Enforce contracts; protect trade secrets</w:t>
            </w:r>
          </w:p>
        </w:tc>
        <w:tc>
          <w:tcPr>
            <w:tcW w:type="dxa" w:w="3600"/>
          </w:tcPr>
          <w:p>
            <w:r/>
            <w:r>
              <w:rPr>
                <w:sz w:val="19"/>
              </w:rPr>
              <w:t>Continuity of supply to third-party customers; employee mobility</w:t>
            </w:r>
          </w:p>
        </w:tc>
        <w:tc>
          <w:tcPr>
            <w:tcW w:type="dxa" w:w="1872"/>
          </w:tcPr>
          <w:p>
            <w:r/>
            <w:r>
              <w:rPr>
                <w:sz w:val="19"/>
              </w:rPr>
              <w:t>Neutral to slightly favorable</w:t>
            </w:r>
          </w:p>
        </w:tc>
      </w:tr>
      <w:tr>
        <w:tc>
          <w:tcPr>
            <w:tcW w:type="dxa" w:w="1584"/>
          </w:tcPr>
          <w:p>
            <w:r/>
            <w:r>
              <w:rPr>
                <w:sz w:val="19"/>
              </w:rPr>
              <w:t>Relief (c): employees</w:t>
            </w:r>
          </w:p>
        </w:tc>
        <w:tc>
          <w:tcPr>
            <w:tcW w:type="dxa" w:w="2304"/>
          </w:tcPr>
          <w:p>
            <w:r/>
            <w:r>
              <w:rPr>
                <w:sz w:val="19"/>
              </w:rPr>
              <w:t>Bar from Territory roles</w:t>
            </w:r>
          </w:p>
        </w:tc>
        <w:tc>
          <w:tcPr>
            <w:tcW w:type="dxa" w:w="3600"/>
          </w:tcPr>
          <w:p>
            <w:r/>
            <w:r>
              <w:rPr>
                <w:sz w:val="19"/>
              </w:rPr>
              <w:t>Non-parties; DTSA § 1836(b)(3)(A)(i) bars injunctions that prevent a person from entering an employment relationship and requires evidence of threatened misappropriation, not mere knowledge. Covenants belong to Apex–employee contracts, not to Greenfield</w:t>
            </w:r>
          </w:p>
        </w:tc>
        <w:tc>
          <w:tcPr>
            <w:tcW w:type="dxa" w:w="1872"/>
          </w:tcPr>
          <w:p>
            <w:r/>
            <w:r>
              <w:rPr>
                <w:sz w:val="19"/>
              </w:rPr>
              <w:t>Strong ground to defeat or narrow</w:t>
            </w:r>
          </w:p>
        </w:tc>
      </w:tr>
      <w:tr>
        <w:tc>
          <w:tcPr>
            <w:tcW w:type="dxa" w:w="1584"/>
          </w:tcPr>
          <w:p>
            <w:r/>
            <w:r>
              <w:rPr>
                <w:sz w:val="19"/>
              </w:rPr>
              <w:t>Bond</w:t>
            </w:r>
          </w:p>
        </w:tc>
        <w:tc>
          <w:tcPr>
            <w:tcW w:type="dxa" w:w="2304"/>
          </w:tcPr>
          <w:p>
            <w:r/>
            <w:r>
              <w:rPr>
                <w:sz w:val="19"/>
              </w:rPr>
              <w:t>Amount to be set</w:t>
            </w:r>
          </w:p>
        </w:tc>
        <w:tc>
          <w:tcPr>
            <w:tcW w:type="dxa" w:w="3600"/>
          </w:tcPr>
          <w:p>
            <w:r/>
            <w:r>
              <w:rPr>
                <w:sz w:val="19"/>
              </w:rPr>
              <w:t>Rule 65(c): seek substantial security reflecting Greenfield's lost Territory sales and customer disruption</w:t>
            </w:r>
          </w:p>
        </w:tc>
        <w:tc>
          <w:tcPr>
            <w:tcW w:type="dxa" w:w="1872"/>
          </w:tcPr>
          <w:p>
            <w:r/>
            <w:r>
              <w:rPr>
                <w:sz w:val="19"/>
              </w:rPr>
              <w:t>Press hard</w:t>
            </w:r>
          </w:p>
        </w:tc>
      </w:tr>
    </w:tbl>
    <w:p/>
    <w:p>
      <w:pPr>
        <w:spacing w:after="120"/>
      </w:pPr>
      <w:r>
        <w:rPr>
          <w:b w:val="0"/>
          <w:i w:val="0"/>
        </w:rPr>
      </w:r>
      <w:r>
        <w:rPr>
          <w:b/>
          <w:i w:val="0"/>
        </w:rPr>
        <w:t>Recommended TRO strategy:</w:t>
      </w:r>
      <w:r>
        <w:rPr>
          <w:b w:val="0"/>
          <w:i w:val="0"/>
        </w:rPr>
      </w:r>
    </w:p>
    <w:p>
      <w:pPr>
        <w:pStyle w:val="ListBullet"/>
      </w:pPr>
      <w:r>
        <w:rPr>
          <w:b w:val="0"/>
        </w:rPr>
        <w:t>Oppose (a) and (c) outright. Lead with delay, adequacy of money damages, overbreadth, the non-party problem, and the DTSA employment limitation.</w:t>
      </w:r>
    </w:p>
    <w:p>
      <w:pPr>
        <w:pStyle w:val="ListBullet"/>
      </w:pPr>
      <w:r>
        <w:rPr>
          <w:b w:val="0"/>
        </w:rPr>
        <w:t xml:space="preserve">Consider offering a </w:t>
      </w:r>
      <w:r>
        <w:rPr>
          <w:b/>
        </w:rPr>
        <w:t>narrow stipulated interim order</w:t>
      </w:r>
      <w:r>
        <w:rPr>
          <w:b w:val="0"/>
        </w:rPr>
        <w:t xml:space="preserve"> on (b): Greenfield certifies it will not use Apex confidential information, has Kelsey and Ostrowski certify under oath, and agrees to a neutral forensic protocol. It costs little if the forensic review comes back clean. It takes away Apex's most sympathetic irreparable-harm argument and positions Greenfield as reasonable before Judge Vanderhorst. </w:t>
      </w:r>
      <w:r>
        <w:rPr>
          <w:b/>
        </w:rPr>
        <w:t>Offer it only after our own forensic review is complete.</w:t>
      </w:r>
      <w:r>
        <w:rPr>
          <w:b w:val="0"/>
        </w:rPr>
      </w:r>
    </w:p>
    <w:p>
      <w:pPr>
        <w:pStyle w:val="ListBullet"/>
      </w:pPr>
      <w:r>
        <w:rPr>
          <w:b w:val="0"/>
        </w:rPr>
        <w:t>On (d), the accounting is effectively expedited discovery. Resist it as interim relief, but consider offering limited disclosure under a protective order.</w:t>
      </w:r>
    </w:p>
    <w:p>
      <w:pPr>
        <w:pStyle w:val="ListBullet"/>
      </w:pPr>
      <w:r>
        <w:rPr>
          <w:b w:val="0"/>
        </w:rPr>
        <w:t>Business reality: consider whether Greenfield could voluntarily route certain new Territory sales, or pay a margin, through a structure that reduces ongoing exposure through February 2026. Such a structure could blunt the injunction and cap damages growth, and it should be discussed on the April 28 call.</w:t>
      </w:r>
    </w:p>
    <w:p>
      <w:pPr>
        <w:pStyle w:val="ListBullet"/>
      </w:pPr>
      <w:r>
        <w:rPr>
          <w:b w:val="0"/>
        </w:rPr>
        <w:t>Evidence to gather for the hearing: declarations on the hiring timeline and process (HR), customer-initiated purchasing (if true), independent derivation of pricing (Hargrove/finance), Kelsey and Ostrowski certifications, and Apex's post-2024 purchasing history from Greenfield's records.</w:t>
      </w:r>
    </w:p>
    <w:p>
      <w:pPr>
        <w:pStyle w:val="ListBullet"/>
      </w:pPr>
      <w:r>
        <w:rPr>
          <w:b w:val="0"/>
        </w:rPr>
      </w:r>
      <w:r>
        <w:rPr>
          <w:b/>
        </w:rPr>
        <w:t>Witness caution:</w:t>
      </w:r>
      <w:r>
        <w:rPr>
          <w:b w:val="0"/>
        </w:rPr>
        <w:t xml:space="preserve"> Hargrove sent the defective notice on his own and led the direct-sales effort. Ms. Yuen reports he was "eager to begin Greenfield's direct sales efforts." He is a high-risk declarant, and cross-examination could expose motive. Prefer documentary evidence and other declarants where possible.</w:t>
      </w:r>
    </w:p>
    <w:p>
      <w:pPr>
        <w:pStyle w:val="Heading1"/>
      </w:pPr>
      <w:r>
        <w:t>VII. Damages and Exposure Assessment</w:t>
      </w:r>
    </w:p>
    <w:p>
      <w:pPr>
        <w:pStyle w:val="Heading2"/>
      </w:pPr>
      <w:r>
        <w:t>A. Arithmetic verification of the complaint</w:t>
      </w:r>
    </w:p>
    <w:tbl>
      <w:tblPr>
        <w:tblStyle w:val="TableGrid"/>
        <w:tblW w:type="auto" w:w="0"/>
        <w:tblLook w:firstColumn="1" w:firstRow="1" w:lastColumn="0" w:lastRow="0" w:noHBand="0" w:noVBand="1" w:val="04A0"/>
      </w:tblPr>
      <w:tblGrid>
        <w:gridCol w:w="2340"/>
        <w:gridCol w:w="2340"/>
        <w:gridCol w:w="2340"/>
        <w:gridCol w:w="2340"/>
      </w:tblGrid>
      <w:tr>
        <w:tc>
          <w:tcPr>
            <w:tcW w:type="dxa" w:w="2016"/>
            <w:shd w:val="clear" w:fill="D9E2F3"/>
          </w:tcPr>
          <w:p>
            <w:r/>
            <w:r>
              <w:rPr>
                <w:b/>
                <w:sz w:val="19"/>
              </w:rPr>
              <w:t>Component</w:t>
            </w:r>
          </w:p>
        </w:tc>
        <w:tc>
          <w:tcPr>
            <w:tcW w:type="dxa" w:w="2304"/>
            <w:shd w:val="clear" w:fill="D9E2F3"/>
          </w:tcPr>
          <w:p>
            <w:r/>
            <w:r>
              <w:rPr>
                <w:b/>
                <w:sz w:val="19"/>
              </w:rPr>
              <w:t>Complaint</w:t>
            </w:r>
          </w:p>
        </w:tc>
        <w:tc>
          <w:tcPr>
            <w:tcW w:type="dxa" w:w="1584"/>
            <w:shd w:val="clear" w:fill="D9E2F3"/>
          </w:tcPr>
          <w:p>
            <w:r/>
            <w:r>
              <w:rPr>
                <w:b/>
                <w:sz w:val="19"/>
              </w:rPr>
              <w:t>Verified?</w:t>
            </w:r>
          </w:p>
        </w:tc>
        <w:tc>
          <w:tcPr>
            <w:tcW w:type="dxa" w:w="3456"/>
            <w:shd w:val="clear" w:fill="D9E2F3"/>
          </w:tcPr>
          <w:p>
            <w:r/>
            <w:r>
              <w:rPr>
                <w:b/>
                <w:sz w:val="19"/>
              </w:rPr>
              <w:t>Issues</w:t>
            </w:r>
          </w:p>
        </w:tc>
      </w:tr>
      <w:tr>
        <w:tc>
          <w:tcPr>
            <w:tcW w:type="dxa" w:w="2016"/>
          </w:tcPr>
          <w:p>
            <w:r/>
            <w:r>
              <w:rPr>
                <w:sz w:val="19"/>
              </w:rPr>
              <w:t>Count I: Renewal lost profits</w:t>
            </w:r>
          </w:p>
        </w:tc>
        <w:tc>
          <w:tcPr>
            <w:tcW w:type="dxa" w:w="2304"/>
          </w:tcPr>
          <w:p>
            <w:r/>
            <w:r>
              <w:rPr>
                <w:sz w:val="19"/>
              </w:rPr>
              <w:t>$16.1M × 22% × 2 = $7,084,000</w:t>
            </w:r>
          </w:p>
        </w:tc>
        <w:tc>
          <w:tcPr>
            <w:tcW w:type="dxa" w:w="1584"/>
          </w:tcPr>
          <w:p>
            <w:r/>
            <w:r>
              <w:rPr>
                <w:sz w:val="19"/>
              </w:rPr>
              <w:t>Math correct</w:t>
            </w:r>
          </w:p>
        </w:tc>
        <w:tc>
          <w:tcPr>
            <w:tcW w:type="dxa" w:w="3456"/>
          </w:tcPr>
          <w:p>
            <w:r/>
            <w:r>
              <w:rPr>
                <w:sz w:val="19"/>
              </w:rPr>
              <w:t>Gross (not net) margin; 8.8% growth over Year 5 ($14.8M) applied without support; no deduction for avoided costs or mitigation; assumes Apex performed § 5.2 minimums</w:t>
            </w:r>
          </w:p>
        </w:tc>
      </w:tr>
      <w:tr>
        <w:tc>
          <w:tcPr>
            <w:tcW w:type="dxa" w:w="2016"/>
          </w:tcPr>
          <w:p>
            <w:r/>
            <w:r>
              <w:rPr>
                <w:sz w:val="19"/>
              </w:rPr>
              <w:t>Count I: Lost commissions</w:t>
            </w:r>
          </w:p>
        </w:tc>
        <w:tc>
          <w:tcPr>
            <w:tcW w:type="dxa" w:w="2304"/>
          </w:tcPr>
          <w:p>
            <w:r/>
            <w:r>
              <w:rPr>
                <w:sz w:val="19"/>
              </w:rPr>
              <w:t>$4.26M × 18% = $766,800</w:t>
            </w:r>
          </w:p>
        </w:tc>
        <w:tc>
          <w:tcPr>
            <w:tcW w:type="dxa" w:w="1584"/>
          </w:tcPr>
          <w:p>
            <w:r/>
            <w:r>
              <w:rPr>
                <w:sz w:val="19"/>
              </w:rPr>
              <w:t>Math correct</w:t>
            </w:r>
          </w:p>
        </w:tc>
        <w:tc>
          <w:tcPr>
            <w:tcW w:type="dxa" w:w="3456"/>
          </w:tcPr>
          <w:p>
            <w:r/>
            <w:r>
              <w:rPr>
                <w:sz w:val="19"/>
              </w:rPr>
              <w:t>"Contractual commission rate" not in Ex. A excerpts; inconsistent with buy-resell model; confirm in full Agreement</w:t>
            </w:r>
          </w:p>
        </w:tc>
      </w:tr>
      <w:tr>
        <w:tc>
          <w:tcPr>
            <w:tcW w:type="dxa" w:w="2016"/>
          </w:tcPr>
          <w:p>
            <w:r/>
            <w:r>
              <w:rPr>
                <w:sz w:val="19"/>
              </w:rPr>
              <w:t>Count II: Customer NPV</w:t>
            </w:r>
          </w:p>
        </w:tc>
        <w:tc>
          <w:tcPr>
            <w:tcW w:type="dxa" w:w="2304"/>
          </w:tcPr>
          <w:p>
            <w:r/>
            <w:r>
              <w:rPr>
                <w:sz w:val="19"/>
              </w:rPr>
              <w:t>$6,200,000</w:t>
            </w:r>
          </w:p>
        </w:tc>
        <w:tc>
          <w:tcPr>
            <w:tcW w:type="dxa" w:w="1584"/>
          </w:tcPr>
          <w:p>
            <w:r/>
            <w:r>
              <w:rPr>
                <w:sz w:val="19"/>
              </w:rPr>
              <w:t>Unverifiable</w:t>
            </w:r>
          </w:p>
        </w:tc>
        <w:tc>
          <w:tcPr>
            <w:tcW w:type="dxa" w:w="3456"/>
          </w:tcPr>
          <w:p>
            <w:r/>
            <w:r>
              <w:rPr>
                <w:sz w:val="19"/>
              </w:rPr>
              <w:t>No model disclosed; overlaps Count I; extends beyond Feb. 2026?</w:t>
            </w:r>
          </w:p>
        </w:tc>
      </w:tr>
      <w:tr>
        <w:tc>
          <w:tcPr>
            <w:tcW w:type="dxa" w:w="2016"/>
          </w:tcPr>
          <w:p>
            <w:r/>
            <w:r>
              <w:rPr>
                <w:sz w:val="19"/>
              </w:rPr>
              <w:t>Count III: Actual + exemplary</w:t>
            </w:r>
          </w:p>
        </w:tc>
        <w:tc>
          <w:tcPr>
            <w:tcW w:type="dxa" w:w="2304"/>
          </w:tcPr>
          <w:p>
            <w:r/>
            <w:r>
              <w:rPr>
                <w:sz w:val="19"/>
              </w:rPr>
              <w:t>$3.4M + $3.4M = $6,800,000</w:t>
            </w:r>
          </w:p>
        </w:tc>
        <w:tc>
          <w:tcPr>
            <w:tcW w:type="dxa" w:w="1584"/>
          </w:tcPr>
          <w:p>
            <w:r/>
            <w:r>
              <w:rPr>
                <w:sz w:val="19"/>
              </w:rPr>
              <w:t>Math correct</w:t>
            </w:r>
          </w:p>
        </w:tc>
        <w:tc>
          <w:tcPr>
            <w:tcW w:type="dxa" w:w="3456"/>
          </w:tcPr>
          <w:p>
            <w:r/>
            <w:r>
              <w:rPr>
                <w:sz w:val="19"/>
              </w:rPr>
              <w:t>Replacement cost is not a proper measure; overlaps Count II; statutory cap is 2x (max $10.2M)</w:t>
            </w:r>
          </w:p>
        </w:tc>
      </w:tr>
      <w:tr>
        <w:tc>
          <w:tcPr>
            <w:tcW w:type="dxa" w:w="2016"/>
          </w:tcPr>
          <w:p>
            <w:r/>
            <w:r>
              <w:rPr>
                <w:sz w:val="19"/>
              </w:rPr>
              <w:t>Count IV: Unjust enrichment</w:t>
            </w:r>
          </w:p>
        </w:tc>
        <w:tc>
          <w:tcPr>
            <w:tcW w:type="dxa" w:w="2304"/>
          </w:tcPr>
          <w:p>
            <w:r/>
            <w:r>
              <w:rPr>
                <w:sz w:val="19"/>
              </w:rPr>
              <w:t>$4.26M × 35% = $1,491,000</w:t>
            </w:r>
          </w:p>
        </w:tc>
        <w:tc>
          <w:tcPr>
            <w:tcW w:type="dxa" w:w="1584"/>
          </w:tcPr>
          <w:p>
            <w:r/>
            <w:r>
              <w:rPr>
                <w:sz w:val="19"/>
              </w:rPr>
              <w:t>Math correct</w:t>
            </w:r>
          </w:p>
        </w:tc>
        <w:tc>
          <w:tcPr>
            <w:tcW w:type="dxa" w:w="3456"/>
          </w:tcPr>
          <w:p>
            <w:r/>
            <w:r>
              <w:rPr>
                <w:sz w:val="19"/>
              </w:rPr>
              <w:t>Pleaded in the alternative; overlaps Count I</w:t>
            </w:r>
          </w:p>
        </w:tc>
      </w:tr>
      <w:tr>
        <w:tc>
          <w:tcPr>
            <w:tcW w:type="dxa" w:w="2016"/>
          </w:tcPr>
          <w:p>
            <w:r/>
            <w:r>
              <w:rPr>
                <w:sz w:val="19"/>
              </w:rPr>
              <w:t>Total</w:t>
            </w:r>
          </w:p>
        </w:tc>
        <w:tc>
          <w:tcPr>
            <w:tcW w:type="dxa" w:w="2304"/>
          </w:tcPr>
          <w:p>
            <w:r/>
            <w:r>
              <w:rPr>
                <w:sz w:val="19"/>
              </w:rPr>
              <w:t>$22,341,800</w:t>
            </w:r>
          </w:p>
        </w:tc>
        <w:tc>
          <w:tcPr>
            <w:tcW w:type="dxa" w:w="1584"/>
          </w:tcPr>
          <w:p>
            <w:r/>
            <w:r>
              <w:rPr>
                <w:sz w:val="19"/>
              </w:rPr>
              <w:t>Sum correct</w:t>
            </w:r>
          </w:p>
        </w:tc>
        <w:tc>
          <w:tcPr>
            <w:tcW w:type="dxa" w:w="3456"/>
          </w:tcPr>
          <w:p>
            <w:r/>
            <w:r>
              <w:rPr>
                <w:sz w:val="19"/>
              </w:rPr>
              <w:t>Aggregates overlapping and alternative theories</w:t>
            </w:r>
          </w:p>
        </w:tc>
      </w:tr>
      <w:tr>
        <w:tc>
          <w:tcPr>
            <w:tcW w:type="dxa" w:w="2016"/>
          </w:tcPr>
          <w:p>
            <w:r/>
            <w:r>
              <w:rPr>
                <w:sz w:val="19"/>
              </w:rPr>
              <w:t>Ex. E invoices</w:t>
            </w:r>
          </w:p>
        </w:tc>
        <w:tc>
          <w:tcPr>
            <w:tcW w:type="dxa" w:w="2304"/>
          </w:tcPr>
          <w:p>
            <w:r/>
            <w:r>
              <w:rPr>
                <w:sz w:val="19"/>
              </w:rPr>
              <w:t>$870K + $1.2M + $640K + $1.55M = $4.26M</w:t>
            </w:r>
          </w:p>
        </w:tc>
        <w:tc>
          <w:tcPr>
            <w:tcW w:type="dxa" w:w="1584"/>
          </w:tcPr>
          <w:p>
            <w:r/>
            <w:r>
              <w:rPr>
                <w:sz w:val="19"/>
              </w:rPr>
              <w:t>All line items reconcile (qty × unit price)</w:t>
            </w:r>
          </w:p>
        </w:tc>
        <w:tc>
          <w:tcPr>
            <w:tcW w:type="dxa" w:w="3456"/>
          </w:tcPr>
          <w:p>
            <w:r/>
            <w:r>
              <w:rPr>
                <w:sz w:val="19"/>
              </w:rPr>
              <w:t>All dated before Feb. 28, 2024</w:t>
            </w:r>
          </w:p>
        </w:tc>
      </w:tr>
      <w:tr>
        <w:tc>
          <w:tcPr>
            <w:tcW w:type="dxa" w:w="2016"/>
          </w:tcPr>
          <w:p>
            <w:r/>
            <w:r>
              <w:rPr>
                <w:sz w:val="19"/>
              </w:rPr>
              <w:t>Purchase history</w:t>
            </w:r>
          </w:p>
        </w:tc>
        <w:tc>
          <w:tcPr>
            <w:tcW w:type="dxa" w:w="2304"/>
          </w:tcPr>
          <w:p>
            <w:r/>
            <w:r>
              <w:rPr>
                <w:sz w:val="19"/>
              </w:rPr>
              <w:t>$55.7M vs. $54.0M (+$1.7M)</w:t>
            </w:r>
          </w:p>
        </w:tc>
        <w:tc>
          <w:tcPr>
            <w:tcW w:type="dxa" w:w="1584"/>
          </w:tcPr>
          <w:p>
            <w:r/>
            <w:r>
              <w:rPr>
                <w:sz w:val="19"/>
              </w:rPr>
              <w:t>Correct</w:t>
            </w:r>
          </w:p>
        </w:tc>
        <w:tc>
          <w:tcPr>
            <w:tcW w:type="dxa" w:w="3456"/>
          </w:tcPr>
          <w:p>
            <w:r/>
            <w:r>
              <w:rPr>
                <w:sz w:val="19"/>
              </w:rPr>
              <w:t>Year 2: −$2.1M</w:t>
            </w:r>
          </w:p>
        </w:tc>
      </w:tr>
    </w:tbl>
    <w:p/>
    <w:p>
      <w:pPr>
        <w:pStyle w:val="Heading2"/>
      </w:pPr>
      <w:r>
        <w:t>B. Preliminary exposure range (compensatory, before fees and interest)</w:t>
      </w:r>
    </w:p>
    <w:tbl>
      <w:tblPr>
        <w:tblStyle w:val="TableGrid"/>
        <w:tblW w:type="auto" w:w="0"/>
        <w:tblLook w:firstColumn="1" w:firstRow="1" w:lastColumn="0" w:lastRow="0" w:noHBand="0" w:noVBand="1" w:val="04A0"/>
      </w:tblPr>
      <w:tblGrid>
        <w:gridCol w:w="3120"/>
        <w:gridCol w:w="3120"/>
        <w:gridCol w:w="3120"/>
      </w:tblGrid>
      <w:tr>
        <w:tc>
          <w:tcPr>
            <w:tcW w:type="dxa" w:w="1872"/>
            <w:shd w:val="clear" w:fill="D9E2F3"/>
          </w:tcPr>
          <w:p>
            <w:r/>
            <w:r>
              <w:rPr>
                <w:b/>
                <w:sz w:val="19"/>
              </w:rPr>
              <w:t>Scenario</w:t>
            </w:r>
          </w:p>
        </w:tc>
        <w:tc>
          <w:tcPr>
            <w:tcW w:type="dxa" w:w="5616"/>
            <w:shd w:val="clear" w:fill="D9E2F3"/>
          </w:tcPr>
          <w:p>
            <w:r/>
            <w:r>
              <w:rPr>
                <w:b/>
                <w:sz w:val="19"/>
              </w:rPr>
              <w:t>Key assumptions</w:t>
            </w:r>
          </w:p>
        </w:tc>
        <w:tc>
          <w:tcPr>
            <w:tcW w:type="dxa" w:w="1872"/>
            <w:shd w:val="clear" w:fill="D9E2F3"/>
          </w:tcPr>
          <w:p>
            <w:r/>
            <w:r>
              <w:rPr>
                <w:b/>
                <w:sz w:val="19"/>
              </w:rPr>
              <w:t>Estimated range</w:t>
            </w:r>
          </w:p>
        </w:tc>
      </w:tr>
      <w:tr>
        <w:tc>
          <w:tcPr>
            <w:tcW w:type="dxa" w:w="1872"/>
          </w:tcPr>
          <w:p>
            <w:r/>
            <w:r>
              <w:rPr>
                <w:sz w:val="19"/>
              </w:rPr>
              <w:t>Favorable</w:t>
            </w:r>
          </w:p>
        </w:tc>
        <w:tc>
          <w:tcPr>
            <w:tcW w:type="dxa" w:w="5616"/>
          </w:tcPr>
          <w:p>
            <w:r/>
            <w:r>
              <w:rPr>
                <w:sz w:val="19"/>
              </w:rPr>
              <w:t>Liability limited to Initial-Term exclusivity breach on $4.26M (Apex margin 18–22%: ~$0.77M–$0.94M); renewal lost profits sharply reduced by net-margin, mitigation, and waiver arguments; Counts II–IV dismissed or duplicative</w:t>
            </w:r>
          </w:p>
        </w:tc>
        <w:tc>
          <w:tcPr>
            <w:tcW w:type="dxa" w:w="1872"/>
          </w:tcPr>
          <w:p>
            <w:r/>
            <w:r>
              <w:rPr>
                <w:sz w:val="19"/>
              </w:rPr>
              <w:t>~$1.5M–$4M</w:t>
            </w:r>
          </w:p>
        </w:tc>
      </w:tr>
      <w:tr>
        <w:tc>
          <w:tcPr>
            <w:tcW w:type="dxa" w:w="1872"/>
          </w:tcPr>
          <w:p>
            <w:r/>
            <w:r>
              <w:rPr>
                <w:sz w:val="19"/>
              </w:rPr>
              <w:t>Most likely adverse</w:t>
            </w:r>
          </w:p>
        </w:tc>
        <w:tc>
          <w:tcPr>
            <w:tcW w:type="dxa" w:w="5616"/>
          </w:tcPr>
          <w:p>
            <w:r/>
            <w:r>
              <w:rPr>
                <w:sz w:val="19"/>
              </w:rPr>
              <w:t>Renewal found; net lost profits for Mar. 2024–Feb. 2026 (materially below the $7.08M gross claim) plus Initial-Term damages; Count II subsumed; Count III fails; Count IV alternative only</w:t>
            </w:r>
          </w:p>
        </w:tc>
        <w:tc>
          <w:tcPr>
            <w:tcW w:type="dxa" w:w="1872"/>
          </w:tcPr>
          <w:p>
            <w:r/>
            <w:r>
              <w:rPr>
                <w:sz w:val="19"/>
              </w:rPr>
              <w:t>~$4M–$9M</w:t>
            </w:r>
          </w:p>
        </w:tc>
      </w:tr>
      <w:tr>
        <w:tc>
          <w:tcPr>
            <w:tcW w:type="dxa" w:w="1872"/>
          </w:tcPr>
          <w:p>
            <w:r/>
            <w:r>
              <w:rPr>
                <w:sz w:val="19"/>
              </w:rPr>
              <w:t>Severe</w:t>
            </w:r>
          </w:p>
        </w:tc>
        <w:tc>
          <w:tcPr>
            <w:tcW w:type="dxa" w:w="5616"/>
          </w:tcPr>
          <w:p>
            <w:r/>
            <w:r>
              <w:rPr>
                <w:sz w:val="19"/>
              </w:rPr>
              <w:t>Full Count I and Count II awarded without offset; trade secret willfulness found (exemplary damages up to 2x); punitive damages on Count II</w:t>
            </w:r>
          </w:p>
        </w:tc>
        <w:tc>
          <w:tcPr>
            <w:tcW w:type="dxa" w:w="1872"/>
          </w:tcPr>
          <w:p>
            <w:r/>
            <w:r>
              <w:rPr>
                <w:sz w:val="19"/>
              </w:rPr>
              <w:t>$22M+ (could exceed the pleaded amount)</w:t>
            </w:r>
          </w:p>
        </w:tc>
      </w:tr>
    </w:tbl>
    <w:p/>
    <w:p>
      <w:pPr>
        <w:spacing w:after="120"/>
      </w:pPr>
      <w:r>
        <w:rPr>
          <w:b w:val="0"/>
          <w:i w:val="0"/>
        </w:rPr>
      </w:r>
      <w:r>
        <w:rPr>
          <w:b/>
          <w:i w:val="0"/>
        </w:rPr>
        <w:t>Additional exposure items:</w:t>
      </w:r>
      <w:r>
        <w:rPr>
          <w:b w:val="0"/>
          <w:i w:val="0"/>
        </w:rPr>
        <w:t xml:space="preserve"> (i) prevailing-party fees and expert costs under § 14.2 and fees under O.C.G.A. § 10-1-764; (ii) prejudgment interest (rate and accrual date depend on the governing law; NC's legal rate is 8% under N.C.G.S. § 24-1, and the Georgia rate is to be confirmed); (iii) punitive damages on Count II, subject to statutory caps (NC: greater of 3x compensatory or $250,000 under N.C.G.S. § 1D-25; Georgia: generally $250,000 under O.C.G.A. § 51-12-5.1(g), uncapped on a finding of specific intent to cause harm). Punitive damages are unavailable on the contract count. </w:t>
      </w:r>
      <w:r>
        <w:rPr>
          <w:b/>
          <w:i w:val="0"/>
        </w:rPr>
        <w:t>These ranges are preliminary. They rest on pleadings and client-reported facts only and should be refined with Greenfield's sales and margin data and, eventually, a damages expert.</w:t>
      </w:r>
      <w:r>
        <w:rPr>
          <w:b w:val="0"/>
          <w:i w:val="0"/>
        </w:rPr>
      </w:r>
    </w:p>
    <w:p>
      <w:pPr>
        <w:pStyle w:val="Heading1"/>
      </w:pPr>
      <w:r>
        <w:t>VIII. Choice of Law: The Kelsey and Ostrowski Non-Competes (Response to Ms. Yuen)</w:t>
      </w:r>
    </w:p>
    <w:p>
      <w:pPr>
        <w:pStyle w:val="ListBullet"/>
      </w:pPr>
      <w:r>
        <w:rPr>
          <w:b w:val="0"/>
        </w:rPr>
      </w:r>
      <w:r>
        <w:rPr>
          <w:b/>
        </w:rPr>
        <w:t>Framework.</w:t>
      </w:r>
      <w:r>
        <w:rPr>
          <w:b w:val="0"/>
        </w:rPr>
        <w:t xml:space="preserve"> A North Carolina forum applies North Carolina choice-of-law rules. NC courts generally honor a contractual choice of law where the chosen state has a substantial relationship to the parties or transaction and applying it does not violate a fundamental NC public policy. Here, Apex is a Georgia company and both employees resided in Georgia when they signed, which is a substantial relationship. The Distribution Agreement's § 16.1 and § 16.3 do </w:t>
      </w:r>
      <w:r>
        <w:rPr>
          <w:b/>
        </w:rPr>
        <w:t>not</w:t>
      </w:r>
      <w:r>
        <w:rPr>
          <w:b w:val="0"/>
        </w:rPr>
        <w:t xml:space="preserve"> govern the employment agreements, which are separate contracts between different parties. Their own § 12 selects Georgia law, and they appear to contain no forum clause (to be confirmed in the full agreements).</w:t>
      </w:r>
    </w:p>
    <w:p>
      <w:pPr>
        <w:pStyle w:val="ListBullet"/>
      </w:pPr>
      <w:r>
        <w:rPr>
          <w:b w:val="0"/>
        </w:rPr>
      </w:r>
      <w:r>
        <w:rPr>
          <w:b/>
        </w:rPr>
        <w:t>Likely result: Georgia law, with an NC public-policy challenge available.</w:t>
      </w:r>
      <w:r>
        <w:rPr>
          <w:b w:val="0"/>
        </w:rPr>
        <w:t xml:space="preserve"> The Georgia Restrictive Covenants Act (O.C.G.A. § 13-8-50 et seq.; applies to agreements after May 11, 2011) favors enforcement. It presumes a 2-year post-employment period reasonable (§ 13-8-57), expressly covers sales employees (§ 13-8-51, -53), and lets courts modify ("blue-pencil") overbroad terms (§ 13-8-53(d), -54). North Carolina scrutinizes non-competes more strictly and applies only a strict blue pencil (courts strike, but do not rewrite). The employees' current work in NC supports arguing that NC's interest and policy should control, particularly for the eight-state territory. The Georgia Act, however, measures the permissible territory by where the employee actually worked, and an eight-state regional role may qualify. </w:t>
      </w:r>
      <w:r>
        <w:rPr>
          <w:b/>
        </w:rPr>
        <w:t>Research needed:</w:t>
      </w:r>
      <w:r>
        <w:rPr>
          <w:b w:val="0"/>
        </w:rPr>
        <w:t xml:space="preserve"> recent NC Business Court decisions on whether Georgia-law non-competes offend NC public policy.</w:t>
      </w:r>
    </w:p>
    <w:p>
      <w:pPr>
        <w:pStyle w:val="ListBullet"/>
      </w:pPr>
      <w:r>
        <w:rPr>
          <w:b w:val="0"/>
        </w:rPr>
      </w:r>
      <w:r>
        <w:rPr>
          <w:b/>
        </w:rPr>
        <w:t>Practical significance.</w:t>
      </w:r>
      <w:r>
        <w:rPr>
          <w:b w:val="0"/>
        </w:rPr>
        <w:t xml:space="preserve"> The non-competes bind Kelsey and Ostrowski, not Greenfield. Apex has not sued them. Their relevance to Greenfield is (i) the requested injunction and (ii) a likely amended claim for tortious interference with contract, where Greenfield's knowledge (the open HR-review question) is decisive. We should also consider whether Kelsey and Ostrowski need separate counsel, and whether Greenfield has indemnified or will indemnify them. Conflicts analysis is required before our firm advises them.</w:t>
      </w:r>
    </w:p>
    <w:p>
      <w:pPr>
        <w:pStyle w:val="ListBullet"/>
      </w:pPr>
      <w:r>
        <w:rPr>
          <w:b w:val="0"/>
        </w:rPr>
      </w:r>
      <w:r>
        <w:rPr>
          <w:b/>
        </w:rPr>
        <w:t>Interim risk mitigation.</w:t>
      </w:r>
      <w:r>
        <w:rPr>
          <w:b w:val="0"/>
        </w:rPr>
        <w:t xml:space="preserve"> Consider reassigning Kelsey and Ostrowski away from the four accounts, and from any customer they handled in their last two years at Apex, pending resolution. This reduces non-solicitation exposure and injunction risk without conceding enforceability.</w:t>
      </w:r>
    </w:p>
    <w:p>
      <w:pPr>
        <w:pStyle w:val="Heading1"/>
      </w:pPr>
      <w:r>
        <w:t>IX. Procedural and Strategic Considerations</w:t>
      </w:r>
    </w:p>
    <w:p>
      <w:pPr>
        <w:pStyle w:val="ListBullet"/>
      </w:pPr>
      <w:r>
        <w:rPr>
          <w:b w:val="0"/>
        </w:rPr>
      </w:r>
      <w:r>
        <w:rPr>
          <w:b/>
        </w:rPr>
        <w:t>Removal to W.D.N.C.</w:t>
      </w:r>
      <w:r>
        <w:rPr>
          <w:b w:val="0"/>
        </w:rPr>
        <w:t xml:space="preserve"> The DTSA claim creates federal-question jurisdiction (28 U.S.C. § 1331), with supplemental jurisdiction over the state claims (§ 1367). Section 16.3 permits "state or federal courts located in Mecklenburg County." Pros: federal pleading standards (Twombly/Iqbal) for the information-and-belief trade secret allegations, Fed. R. Civ. P. 65 practice, and the DTSA employment limitation in a court familiar with it. Cons: tight timing before May 9, and the pending state hearing (removal would displace it; the federal court would re-set any TRO proceeding). Decide by the April 28 call if possible.</w:t>
      </w:r>
    </w:p>
    <w:p>
      <w:pPr>
        <w:pStyle w:val="ListBullet"/>
      </w:pPr>
      <w:r>
        <w:rPr>
          <w:b w:val="0"/>
        </w:rPr>
      </w:r>
      <w:r>
        <w:rPr>
          <w:b/>
        </w:rPr>
        <w:t>NC Business Court</w:t>
      </w:r>
      <w:r>
        <w:rPr>
          <w:b w:val="0"/>
        </w:rPr>
        <w:t xml:space="preserve"> (alternative if the case stays in state court): experienced complex-commercial bench and written opinions. Compare with remaining before Judge Vanderhorst.</w:t>
      </w:r>
    </w:p>
    <w:p>
      <w:pPr>
        <w:pStyle w:val="ListBullet"/>
      </w:pPr>
      <w:r>
        <w:rPr>
          <w:b w:val="0"/>
        </w:rPr>
      </w:r>
      <w:r>
        <w:rPr>
          <w:b/>
        </w:rPr>
        <w:t>Rule 12 motions</w:t>
      </w:r>
      <w:r>
        <w:rPr>
          <w:b w:val="0"/>
        </w:rPr>
        <w:t xml:space="preserve"> (NC or federal): dismiss Count IV (express contract; alternative pleading; displacement); Count II (non-stranger doctrine; independent-tort rule; GTSA displacement); and the punitive damages demand. Consider challenging the Count III pleading for lack of specificity in identifying the trade secrets.</w:t>
      </w:r>
    </w:p>
    <w:p>
      <w:pPr>
        <w:pStyle w:val="ListBullet"/>
      </w:pPr>
      <w:r>
        <w:rPr>
          <w:b w:val="0"/>
        </w:rPr>
      </w:r>
      <w:r>
        <w:rPr>
          <w:b/>
        </w:rPr>
        <w:t>Answer and affirmative defenses to consider:</w:t>
      </w:r>
      <w:r>
        <w:rPr>
          <w:b w:val="0"/>
        </w:rPr>
        <w:t xml:space="preserve"> failure to mitigate; waiver, estoppel, and acquiescence (based on Apex's post-2023 conduct); setoff; GTSA displacement; the damages cap from Renewal Term expiry; the economic loss/independent-duty rule; unclean hands (investigate); and statutory caps. Note that complaint paragraphs </w:t>
      </w:r>
      <w:r>
        <w:rPr>
          <w:b/>
        </w:rPr>
        <w:t>132–135 are missing</w:t>
      </w:r>
      <w:r>
        <w:rPr>
          <w:b w:val="0"/>
        </w:rPr>
        <w:t xml:space="preserve"> (the numbering jumps from ¶ 131 to ¶ 136). The answer should track the numbering as filed and reserve a response to any omitted paragraphs.</w:t>
      </w:r>
    </w:p>
    <w:p>
      <w:pPr>
        <w:pStyle w:val="ListBullet"/>
      </w:pPr>
      <w:r>
        <w:rPr>
          <w:b w:val="0"/>
        </w:rPr>
      </w:r>
      <w:r>
        <w:rPr>
          <w:b/>
        </w:rPr>
        <w:t>Possible counterclaim:</w:t>
      </w:r>
      <w:r>
        <w:rPr>
          <w:b w:val="0"/>
        </w:rPr>
        <w:t xml:space="preserve"> a declaratory judgment that the Agreement expires no later than February 28, 2026 and will not renew further. Assess whether any unpaid Apex invoices or other claims exist (Rule 13(a) compulsory).</w:t>
      </w:r>
    </w:p>
    <w:p>
      <w:pPr>
        <w:pStyle w:val="ListBullet"/>
      </w:pPr>
      <w:r>
        <w:rPr>
          <w:b w:val="0"/>
        </w:rPr>
      </w:r>
      <w:r>
        <w:rPr>
          <w:b/>
        </w:rPr>
        <w:t>Evidence preservation and privilege.</w:t>
      </w:r>
      <w:r>
        <w:rPr>
          <w:b w:val="0"/>
        </w:rPr>
        <w:t xml:space="preserve"> Issue a written litigation hold now. Preserve Hargrove's communications about the July notice and the direct-sales plan, internal deliberations after August 3, 2023, HR hiring files, and Kelsey and Ostrowski devices. Ms. Yuen's email is privileged, but the underlying facts it describes are discoverable. Internal "debate" about the response to Apex may be privileged only if counsel was involved. Caution client personnel against new written commentary on the merits.</w:t>
      </w:r>
    </w:p>
    <w:p>
      <w:pPr>
        <w:pStyle w:val="ListBullet"/>
      </w:pPr>
      <w:r>
        <w:rPr>
          <w:b w:val="0"/>
        </w:rPr>
      </w:r>
      <w:r>
        <w:rPr>
          <w:b/>
        </w:rPr>
        <w:t>Early resolution.</w:t>
      </w:r>
      <w:r>
        <w:rPr>
          <w:b w:val="0"/>
        </w:rPr>
        <w:t xml:space="preserve"> Liability risk on Count I is significant, and the Agreement has only ~10 months left. An early negotiated resolution may be attractive to both sides: for example, a payment keyed to Initial-Term sales plus a negotiated wind-down or reinstatement through February 2026, together with confidentiality certifications. Mediation is worth exploring after the TRO hearing narrows the issues.</w:t>
      </w:r>
    </w:p>
    <w:p>
      <w:pPr>
        <w:pStyle w:val="Heading1"/>
      </w:pPr>
      <w:r>
        <w:t>X. Open Questions and Information Requests</w:t>
      </w:r>
    </w:p>
    <w:p>
      <w:pPr>
        <w:pStyle w:val="ListBullet"/>
      </w:pPr>
      <w:r>
        <w:rPr>
          <w:b w:val="0"/>
        </w:rPr>
        <w:t>Full Exclusive Distribution Agreement, including omitted Articles I–III, V–XI, XIII–XV and §§ 4.3–4.5, 16.2 (definitions of exclusivity, reserved accounts, any commission provision, force majeure, notice mechanics, limitation of liability, consequential damages waiver, jury waiver).</w:t>
      </w:r>
    </w:p>
    <w:p>
      <w:pPr>
        <w:pStyle w:val="ListBullet"/>
      </w:pPr>
      <w:r>
        <w:rPr>
          <w:b w:val="0"/>
        </w:rPr>
        <w:t>Proof of delivery dates for the July 15 and September 12, 2023 notices (email and FedEx) and any Greenfield board or officer authorizations.</w:t>
      </w:r>
    </w:p>
    <w:p>
      <w:pPr>
        <w:pStyle w:val="ListBullet"/>
      </w:pPr>
      <w:r>
        <w:rPr>
          <w:b w:val="0"/>
        </w:rPr>
        <w:t>Any internal communications on the August 3, 2023 letter and the decision to send the September 12 letter.</w:t>
      </w:r>
    </w:p>
    <w:p>
      <w:pPr>
        <w:pStyle w:val="ListBullet"/>
      </w:pPr>
      <w:r>
        <w:rPr>
          <w:b w:val="0"/>
        </w:rPr>
        <w:t>Apex's orders, payments, and communications from Sept. 2023 to present: did Apex order during the "Renewal Term"? Did Greenfield refuse? Did Apex object to the direct sales in real time?</w:t>
      </w:r>
    </w:p>
    <w:p>
      <w:pPr>
        <w:pStyle w:val="ListBullet"/>
      </w:pPr>
      <w:r>
        <w:rPr>
          <w:b w:val="0"/>
        </w:rPr>
        <w:t>All direct sales in the Territory since Oct. 2023 (beyond the four accounts), with margins. Apex will obtain this in discovery.</w:t>
      </w:r>
    </w:p>
    <w:p>
      <w:pPr>
        <w:pStyle w:val="ListBullet"/>
      </w:pPr>
      <w:r>
        <w:rPr>
          <w:b w:val="0"/>
        </w:rPr>
        <w:t>How each of the four customer relationships started (customer-initiated or Greenfield-solicited) and how pricing was set.</w:t>
      </w:r>
    </w:p>
    <w:p>
      <w:pPr>
        <w:pStyle w:val="ListBullet"/>
      </w:pPr>
      <w:r>
        <w:rPr>
          <w:b w:val="0"/>
        </w:rPr>
        <w:t>Exact dates of first contact, offer, acceptance, and start for Kelsey and Ostrowski; HR files; whether their Apex agreements were reviewed; their current roles, territories, and accounts.</w:t>
      </w:r>
    </w:p>
    <w:p>
      <w:pPr>
        <w:pStyle w:val="ListBullet"/>
      </w:pPr>
      <w:r>
        <w:rPr>
          <w:b w:val="0"/>
        </w:rPr>
        <w:t>Forensic imaging and review of Kelsey's and Ostrowski's devices, email, and cloud accounts for Apex materials.</w:t>
      </w:r>
    </w:p>
    <w:p>
      <w:pPr>
        <w:pStyle w:val="ListBullet"/>
      </w:pPr>
      <w:r>
        <w:rPr>
          <w:b w:val="0"/>
        </w:rPr>
        <w:t>Confirm service date with opposing counsel; reconcile the April 22 Certificate of Service.</w:t>
      </w:r>
    </w:p>
    <w:p>
      <w:pPr>
        <w:pStyle w:val="ListBullet"/>
      </w:pPr>
      <w:r>
        <w:rPr>
          <w:b w:val="0"/>
        </w:rPr>
        <w:t>Insurance: tender to D&amp;O/CGL/E&amp;O carriers (personal-and-advertising-injury or IP coverage may be implicated); note any notice deadlines.</w:t>
      </w:r>
    </w:p>
    <w:p>
      <w:pPr>
        <w:pStyle w:val="ListBullet"/>
      </w:pPr>
      <w:r>
        <w:rPr>
          <w:b w:val="0"/>
        </w:rPr>
        <w:t>Whether Greenfield has indemnification obligations to Kelsey and Ostrowski.</w:t>
      </w:r>
    </w:p>
    <w:p>
      <w:pPr>
        <w:pStyle w:val="Heading1"/>
      </w:pPr>
      <w:r>
        <w:t>XI. Recommended Immediate Action Items</w:t>
      </w:r>
    </w:p>
    <w:tbl>
      <w:tblPr>
        <w:tblStyle w:val="TableGrid"/>
        <w:tblW w:type="auto" w:w="0"/>
        <w:tblLook w:firstColumn="1" w:firstRow="1" w:lastColumn="0" w:lastRow="0" w:noHBand="0" w:noVBand="1" w:val="04A0"/>
      </w:tblPr>
      <w:tblGrid>
        <w:gridCol w:w="2340"/>
        <w:gridCol w:w="2340"/>
        <w:gridCol w:w="2340"/>
        <w:gridCol w:w="2340"/>
      </w:tblGrid>
      <w:tr>
        <w:tc>
          <w:tcPr>
            <w:tcW w:type="dxa" w:w="432"/>
            <w:shd w:val="clear" w:fill="D9E2F3"/>
          </w:tcPr>
          <w:p>
            <w:r/>
            <w:r>
              <w:rPr>
                <w:b/>
                <w:sz w:val="19"/>
              </w:rPr>
              <w:t>#</w:t>
            </w:r>
          </w:p>
        </w:tc>
        <w:tc>
          <w:tcPr>
            <w:tcW w:type="dxa" w:w="5184"/>
            <w:shd w:val="clear" w:fill="D9E2F3"/>
          </w:tcPr>
          <w:p>
            <w:r/>
            <w:r>
              <w:rPr>
                <w:b/>
                <w:sz w:val="19"/>
              </w:rPr>
              <w:t>Action</w:t>
            </w:r>
          </w:p>
        </w:tc>
        <w:tc>
          <w:tcPr>
            <w:tcW w:type="dxa" w:w="2304"/>
            <w:shd w:val="clear" w:fill="D9E2F3"/>
          </w:tcPr>
          <w:p>
            <w:r/>
            <w:r>
              <w:rPr>
                <w:b/>
                <w:sz w:val="19"/>
              </w:rPr>
              <w:t>Owner</w:t>
            </w:r>
          </w:p>
        </w:tc>
        <w:tc>
          <w:tcPr>
            <w:tcW w:type="dxa" w:w="1440"/>
            <w:shd w:val="clear" w:fill="D9E2F3"/>
          </w:tcPr>
          <w:p>
            <w:r/>
            <w:r>
              <w:rPr>
                <w:b/>
                <w:sz w:val="19"/>
              </w:rPr>
              <w:t>Timing</w:t>
            </w:r>
          </w:p>
        </w:tc>
      </w:tr>
      <w:tr>
        <w:tc>
          <w:tcPr>
            <w:tcW w:type="dxa" w:w="432"/>
          </w:tcPr>
          <w:p>
            <w:r/>
            <w:r>
              <w:rPr>
                <w:sz w:val="19"/>
              </w:rPr>
              <w:t>1</w:t>
            </w:r>
          </w:p>
        </w:tc>
        <w:tc>
          <w:tcPr>
            <w:tcW w:type="dxa" w:w="5184"/>
          </w:tcPr>
          <w:p>
            <w:r/>
            <w:r>
              <w:rPr>
                <w:sz w:val="19"/>
              </w:rPr>
              <w:t>Issue litigation hold; image Kelsey/Ostrowski devices</w:t>
            </w:r>
          </w:p>
        </w:tc>
        <w:tc>
          <w:tcPr>
            <w:tcW w:type="dxa" w:w="2304"/>
          </w:tcPr>
          <w:p>
            <w:r/>
            <w:r>
              <w:rPr>
                <w:sz w:val="19"/>
              </w:rPr>
              <w:t>HL / Yuen</w:t>
            </w:r>
          </w:p>
        </w:tc>
        <w:tc>
          <w:tcPr>
            <w:tcW w:type="dxa" w:w="1440"/>
          </w:tcPr>
          <w:p>
            <w:r/>
            <w:r>
              <w:rPr>
                <w:sz w:val="19"/>
              </w:rPr>
              <w:t>Apr. 28</w:t>
            </w:r>
          </w:p>
        </w:tc>
      </w:tr>
      <w:tr>
        <w:tc>
          <w:tcPr>
            <w:tcW w:type="dxa" w:w="432"/>
          </w:tcPr>
          <w:p>
            <w:r/>
            <w:r>
              <w:rPr>
                <w:sz w:val="19"/>
              </w:rPr>
              <w:t>2</w:t>
            </w:r>
          </w:p>
        </w:tc>
        <w:tc>
          <w:tcPr>
            <w:tcW w:type="dxa" w:w="5184"/>
          </w:tcPr>
          <w:p>
            <w:r/>
            <w:r>
              <w:rPr>
                <w:sz w:val="19"/>
              </w:rPr>
              <w:t>Client strategy call: removal, Business Court, TRO posture, settlement appetite</w:t>
            </w:r>
          </w:p>
        </w:tc>
        <w:tc>
          <w:tcPr>
            <w:tcW w:type="dxa" w:w="2304"/>
          </w:tcPr>
          <w:p>
            <w:r/>
            <w:r>
              <w:rPr>
                <w:sz w:val="19"/>
              </w:rPr>
              <w:t>Ng / Breyer / Yuen / Ellsworth</w:t>
            </w:r>
          </w:p>
        </w:tc>
        <w:tc>
          <w:tcPr>
            <w:tcW w:type="dxa" w:w="1440"/>
          </w:tcPr>
          <w:p>
            <w:r/>
            <w:r>
              <w:rPr>
                <w:sz w:val="19"/>
              </w:rPr>
              <w:t>Apr. 28</w:t>
            </w:r>
          </w:p>
        </w:tc>
      </w:tr>
      <w:tr>
        <w:tc>
          <w:tcPr>
            <w:tcW w:type="dxa" w:w="432"/>
          </w:tcPr>
          <w:p>
            <w:r/>
            <w:r>
              <w:rPr>
                <w:sz w:val="19"/>
              </w:rPr>
              <w:t>3</w:t>
            </w:r>
          </w:p>
        </w:tc>
        <w:tc>
          <w:tcPr>
            <w:tcW w:type="dxa" w:w="5184"/>
          </w:tcPr>
          <w:p>
            <w:r/>
            <w:r>
              <w:rPr>
                <w:sz w:val="19"/>
              </w:rPr>
              <w:t>Confirm service date; request Rule 6(b) extension of answer deadline; propose a stipulated TRO briefing schedule or brief continuance</w:t>
            </w:r>
          </w:p>
        </w:tc>
        <w:tc>
          <w:tcPr>
            <w:tcW w:type="dxa" w:w="2304"/>
          </w:tcPr>
          <w:p>
            <w:r/>
            <w:r>
              <w:rPr>
                <w:sz w:val="19"/>
              </w:rPr>
              <w:t>Breyer</w:t>
            </w:r>
          </w:p>
        </w:tc>
        <w:tc>
          <w:tcPr>
            <w:tcW w:type="dxa" w:w="1440"/>
          </w:tcPr>
          <w:p>
            <w:r/>
            <w:r>
              <w:rPr>
                <w:sz w:val="19"/>
              </w:rPr>
              <w:t>By Apr. 30</w:t>
            </w:r>
          </w:p>
        </w:tc>
      </w:tr>
      <w:tr>
        <w:tc>
          <w:tcPr>
            <w:tcW w:type="dxa" w:w="432"/>
          </w:tcPr>
          <w:p>
            <w:r/>
            <w:r>
              <w:rPr>
                <w:sz w:val="19"/>
              </w:rPr>
              <w:t>4</w:t>
            </w:r>
          </w:p>
        </w:tc>
        <w:tc>
          <w:tcPr>
            <w:tcW w:type="dxa" w:w="5184"/>
          </w:tcPr>
          <w:p>
            <w:r/>
            <w:r>
              <w:rPr>
                <w:sz w:val="19"/>
              </w:rPr>
              <w:t>Witness interviews: Hargrove, HR, Kelsey, Ostrowski, sales/finance</w:t>
            </w:r>
          </w:p>
        </w:tc>
        <w:tc>
          <w:tcPr>
            <w:tcW w:type="dxa" w:w="2304"/>
          </w:tcPr>
          <w:p>
            <w:r/>
            <w:r>
              <w:rPr>
                <w:sz w:val="19"/>
              </w:rPr>
              <w:t>HL team</w:t>
            </w:r>
          </w:p>
        </w:tc>
        <w:tc>
          <w:tcPr>
            <w:tcW w:type="dxa" w:w="1440"/>
          </w:tcPr>
          <w:p>
            <w:r/>
            <w:r>
              <w:rPr>
                <w:sz w:val="19"/>
              </w:rPr>
              <w:t>Apr. 28–May 2</w:t>
            </w:r>
          </w:p>
        </w:tc>
      </w:tr>
      <w:tr>
        <w:tc>
          <w:tcPr>
            <w:tcW w:type="dxa" w:w="432"/>
          </w:tcPr>
          <w:p>
            <w:r/>
            <w:r>
              <w:rPr>
                <w:sz w:val="19"/>
              </w:rPr>
              <w:t>5</w:t>
            </w:r>
          </w:p>
        </w:tc>
        <w:tc>
          <w:tcPr>
            <w:tcW w:type="dxa" w:w="5184"/>
          </w:tcPr>
          <w:p>
            <w:r/>
            <w:r>
              <w:rPr>
                <w:sz w:val="19"/>
              </w:rPr>
              <w:t>Draft TRO/PI opposition and declarations; evaluate a narrow stipulated confidentiality order</w:t>
            </w:r>
          </w:p>
        </w:tc>
        <w:tc>
          <w:tcPr>
            <w:tcW w:type="dxa" w:w="2304"/>
          </w:tcPr>
          <w:p>
            <w:r/>
            <w:r>
              <w:rPr>
                <w:sz w:val="19"/>
              </w:rPr>
              <w:t>HL team</w:t>
            </w:r>
          </w:p>
        </w:tc>
        <w:tc>
          <w:tcPr>
            <w:tcW w:type="dxa" w:w="1440"/>
          </w:tcPr>
          <w:p>
            <w:r/>
            <w:r>
              <w:rPr>
                <w:sz w:val="19"/>
              </w:rPr>
              <w:t>Draft May 2; file ~May 6–7</w:t>
            </w:r>
          </w:p>
        </w:tc>
      </w:tr>
      <w:tr>
        <w:tc>
          <w:tcPr>
            <w:tcW w:type="dxa" w:w="432"/>
          </w:tcPr>
          <w:p>
            <w:r/>
            <w:r>
              <w:rPr>
                <w:sz w:val="19"/>
              </w:rPr>
              <w:t>6</w:t>
            </w:r>
          </w:p>
        </w:tc>
        <w:tc>
          <w:tcPr>
            <w:tcW w:type="dxa" w:w="5184"/>
          </w:tcPr>
          <w:p>
            <w:r/>
            <w:r>
              <w:rPr>
                <w:sz w:val="19"/>
              </w:rPr>
              <w:t>Decide removal and Business Court designation (protective date May 22)</w:t>
            </w:r>
          </w:p>
        </w:tc>
        <w:tc>
          <w:tcPr>
            <w:tcW w:type="dxa" w:w="2304"/>
          </w:tcPr>
          <w:p>
            <w:r/>
            <w:r>
              <w:rPr>
                <w:sz w:val="19"/>
              </w:rPr>
              <w:t>Ng</w:t>
            </w:r>
          </w:p>
        </w:tc>
        <w:tc>
          <w:tcPr>
            <w:tcW w:type="dxa" w:w="1440"/>
          </w:tcPr>
          <w:p>
            <w:r/>
            <w:r>
              <w:rPr>
                <w:sz w:val="19"/>
              </w:rPr>
              <w:t>Before May 9 ideally</w:t>
            </w:r>
          </w:p>
        </w:tc>
      </w:tr>
      <w:tr>
        <w:tc>
          <w:tcPr>
            <w:tcW w:type="dxa" w:w="432"/>
          </w:tcPr>
          <w:p>
            <w:r/>
            <w:r>
              <w:rPr>
                <w:sz w:val="19"/>
              </w:rPr>
              <w:t>7</w:t>
            </w:r>
          </w:p>
        </w:tc>
        <w:tc>
          <w:tcPr>
            <w:tcW w:type="dxa" w:w="5184"/>
          </w:tcPr>
          <w:p>
            <w:r/>
            <w:r>
              <w:rPr>
                <w:sz w:val="19"/>
              </w:rPr>
              <w:t>Preliminary damages analysis using Greenfield sales and margin data; retain damages expert if needed</w:t>
            </w:r>
          </w:p>
        </w:tc>
        <w:tc>
          <w:tcPr>
            <w:tcW w:type="dxa" w:w="2304"/>
          </w:tcPr>
          <w:p>
            <w:r/>
            <w:r>
              <w:rPr>
                <w:sz w:val="19"/>
              </w:rPr>
              <w:t>HL / finance</w:t>
            </w:r>
          </w:p>
        </w:tc>
        <w:tc>
          <w:tcPr>
            <w:tcW w:type="dxa" w:w="1440"/>
          </w:tcPr>
          <w:p>
            <w:r/>
            <w:r>
              <w:rPr>
                <w:sz w:val="19"/>
              </w:rPr>
              <w:t>May</w:t>
            </w:r>
          </w:p>
        </w:tc>
      </w:tr>
      <w:tr>
        <w:tc>
          <w:tcPr>
            <w:tcW w:type="dxa" w:w="432"/>
          </w:tcPr>
          <w:p>
            <w:r/>
            <w:r>
              <w:rPr>
                <w:sz w:val="19"/>
              </w:rPr>
              <w:t>8</w:t>
            </w:r>
          </w:p>
        </w:tc>
        <w:tc>
          <w:tcPr>
            <w:tcW w:type="dxa" w:w="5184"/>
          </w:tcPr>
          <w:p>
            <w:r/>
            <w:r>
              <w:rPr>
                <w:sz w:val="19"/>
              </w:rPr>
              <w:t>Answer / Rule 12 motions and counterclaim</w:t>
            </w:r>
          </w:p>
        </w:tc>
        <w:tc>
          <w:tcPr>
            <w:tcW w:type="dxa" w:w="2304"/>
          </w:tcPr>
          <w:p>
            <w:r/>
            <w:r>
              <w:rPr>
                <w:sz w:val="19"/>
              </w:rPr>
              <w:t>HL team</w:t>
            </w:r>
          </w:p>
        </w:tc>
        <w:tc>
          <w:tcPr>
            <w:tcW w:type="dxa" w:w="1440"/>
          </w:tcPr>
          <w:p>
            <w:r/>
            <w:r>
              <w:rPr>
                <w:sz w:val="19"/>
              </w:rPr>
              <w:t>May 27 (or extended date)</w:t>
            </w:r>
          </w:p>
        </w:tc>
      </w:tr>
      <w:tr>
        <w:tc>
          <w:tcPr>
            <w:tcW w:type="dxa" w:w="432"/>
          </w:tcPr>
          <w:p>
            <w:r/>
            <w:r>
              <w:rPr>
                <w:sz w:val="19"/>
              </w:rPr>
              <w:t>9</w:t>
            </w:r>
          </w:p>
        </w:tc>
        <w:tc>
          <w:tcPr>
            <w:tcW w:type="dxa" w:w="5184"/>
          </w:tcPr>
          <w:p>
            <w:r/>
            <w:r>
              <w:rPr>
                <w:sz w:val="19"/>
              </w:rPr>
              <w:t>Send protective, compliant non-renewal of Renewal Term (CEO/GC-signed and delivered)</w:t>
            </w:r>
          </w:p>
        </w:tc>
        <w:tc>
          <w:tcPr>
            <w:tcW w:type="dxa" w:w="2304"/>
          </w:tcPr>
          <w:p>
            <w:r/>
            <w:r>
              <w:rPr>
                <w:sz w:val="19"/>
              </w:rPr>
              <w:t>Ellsworth / Yuen</w:t>
            </w:r>
          </w:p>
        </w:tc>
        <w:tc>
          <w:tcPr>
            <w:tcW w:type="dxa" w:w="1440"/>
          </w:tcPr>
          <w:p>
            <w:r/>
            <w:r>
              <w:rPr>
                <w:sz w:val="19"/>
              </w:rPr>
              <w:t>Well before Aug. 29, 2025</w:t>
            </w:r>
          </w:p>
        </w:tc>
      </w:tr>
      <w:tr>
        <w:tc>
          <w:tcPr>
            <w:tcW w:type="dxa" w:w="432"/>
          </w:tcPr>
          <w:p>
            <w:r/>
            <w:r>
              <w:rPr>
                <w:sz w:val="19"/>
              </w:rPr>
              <w:t>10</w:t>
            </w:r>
          </w:p>
        </w:tc>
        <w:tc>
          <w:tcPr>
            <w:tcW w:type="dxa" w:w="5184"/>
          </w:tcPr>
          <w:p>
            <w:r/>
            <w:r>
              <w:rPr>
                <w:sz w:val="19"/>
              </w:rPr>
              <w:t>Notify insurers</w:t>
            </w:r>
          </w:p>
        </w:tc>
        <w:tc>
          <w:tcPr>
            <w:tcW w:type="dxa" w:w="2304"/>
          </w:tcPr>
          <w:p>
            <w:r/>
            <w:r>
              <w:rPr>
                <w:sz w:val="19"/>
              </w:rPr>
              <w:t>Yuen</w:t>
            </w:r>
          </w:p>
        </w:tc>
        <w:tc>
          <w:tcPr>
            <w:tcW w:type="dxa" w:w="1440"/>
          </w:tcPr>
          <w:p>
            <w:r/>
            <w:r>
              <w:rPr>
                <w:sz w:val="19"/>
              </w:rPr>
              <w:t>Immediately</w:t>
            </w:r>
          </w:p>
        </w:tc>
      </w:tr>
    </w:tbl>
    <w:p/>
    <w:p>
      <w:pPr>
        <w:spacing w:after="120"/>
      </w:pPr>
      <w:r>
        <w:rPr>
          <w:b w:val="0"/>
          <w:i/>
        </w:rPr>
        <w:t>Note: statutory and case-law references in this memo are provided for orientation. They must be verified and updated before any filing. The exposure figures are preliminary estimates based on the pleadings and client-reported facts.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F2A44"/>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1F2A4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1F2A4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