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7365D"/>
          <w:sz w:val="40"/>
        </w:rPr>
        <w:t>PRIVILEGE LOG</w:t>
      </w:r>
    </w:p>
    <w:p>
      <w:pPr>
        <w:spacing w:after="240"/>
        <w:jc w:val="center"/>
      </w:pPr>
      <w:r>
        <w:rPr>
          <w:rFonts w:ascii="Arial" w:hAnsi="Arial"/>
          <w:i/>
          <w:color w:val="666666"/>
          <w:sz w:val="20"/>
        </w:rPr>
        <w:t>Production 3 — Proposed Clawback Candidates | Draft for Lead Counsel Review</w:t>
      </w:r>
    </w:p>
    <w:p>
      <w:pPr>
        <w:spacing w:after="60"/>
      </w:pPr>
      <w:r>
        <w:rPr>
          <w:b/>
        </w:rPr>
        <w:t xml:space="preserve">Matter: </w:t>
      </w:r>
      <w:r>
        <w:t>In re Grand Jury Subpoena No. GJ-2024-00417, Case No. 2:24-gj-00417-ML</w:t>
      </w:r>
    </w:p>
    <w:p>
      <w:pPr>
        <w:spacing w:after="60"/>
      </w:pPr>
      <w:r>
        <w:rPr>
          <w:b/>
        </w:rPr>
        <w:t xml:space="preserve">Producing party: </w:t>
      </w:r>
      <w:r>
        <w:t>Ridgeline Therapeutics, Inc.  |  Production: 3 (June 10, 2024)  |  QC discovery: June 17, 2024</w:t>
      </w:r>
    </w:p>
    <w:p>
      <w:pPr>
        <w:spacing w:after="140"/>
      </w:pPr>
      <w:r>
        <w:rPr>
          <w:b/>
          <w:color w:val="8B1E1E"/>
        </w:rPr>
        <w:t xml:space="preserve">Scope limitation: </w:t>
      </w:r>
      <w:r>
        <w:rPr>
          <w:sz w:val="18"/>
        </w:rPr>
        <w:t>This is a provisional log based on the ten representative sets actually described in NorthBridge QC Report NB-QC-2024-0617-001. The report says it selected 12 representative documents but enumerates only 10, and its Appendix A (the 47-document inventory) was not among the materials reviewed for this draft. This is not a complete 47-document log or a substitute for obtaining Appendix A, reconciling the report’s 12-versus-10 enumeration, confirming the full Bates list/audit trail, and resolving privilege-holder and partial-redaction boundaries before service. Bates spans below are the spans stated in the QC report.</w:t>
      </w:r>
    </w:p>
    <w:p>
      <w:pPr>
        <w:spacing w:after="140"/>
      </w:pPr>
      <w:r>
        <w:rPr>
          <w:b/>
        </w:rPr>
        <w:t xml:space="preserve">Clawback framework: </w:t>
      </w:r>
      <w:r>
        <w:t>Stipulated Confidentiality and Clawback Order (Feb. 28, 2024), §§ IV.A–C; Fed. R. Evid. 502(d). Proposed claims below are limited to confidential legal communications, counsel work product, and separately held third-party privilege where noted. General confidentiality markings alone are not a basis for withholding. Any non-privileged factual/business content is not claimed absent a separable protected communication or counsel mental impressions.</w:t>
      </w: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1368"/>
            <w:shd w:fill="17365D"/>
            <w:vAlign w:val="top"/>
            <w:tcMar>
              <w:top w:w="70" w:type="dxa"/>
              <w:start w:w="70" w:type="dxa"/>
              <w:bottom w:w="70" w:type="dxa"/>
              <w:end w:w="70" w:type="dxa"/>
            </w:tcMar>
          </w:tcPr>
          <w:p>
            <w:pPr>
              <w:spacing w:after="0" w:before="0" w:line="240" w:lineRule="auto"/>
            </w:pPr>
            <w:r/>
            <w:r>
              <w:rPr>
                <w:rFonts w:ascii="Arial" w:hAnsi="Arial"/>
                <w:b/>
                <w:color w:val="FFFFFF"/>
                <w:sz w:val="17"/>
              </w:rPr>
              <w:t>Bates range</w:t>
            </w:r>
          </w:p>
        </w:tc>
        <w:tc>
          <w:tcPr>
            <w:tcW w:type="dxa" w:w="1440"/>
            <w:shd w:fill="17365D"/>
            <w:vAlign w:val="top"/>
            <w:tcMar>
              <w:top w:w="70" w:type="dxa"/>
              <w:start w:w="70" w:type="dxa"/>
              <w:bottom w:w="70" w:type="dxa"/>
              <w:end w:w="70" w:type="dxa"/>
            </w:tcMar>
          </w:tcPr>
          <w:p>
            <w:pPr>
              <w:spacing w:after="0" w:before="0" w:line="240" w:lineRule="auto"/>
            </w:pPr>
            <w:r/>
            <w:r>
              <w:rPr>
                <w:rFonts w:ascii="Arial" w:hAnsi="Arial"/>
                <w:b/>
                <w:color w:val="FFFFFF"/>
                <w:sz w:val="17"/>
              </w:rPr>
              <w:t>Date / type</w:t>
            </w:r>
          </w:p>
        </w:tc>
        <w:tc>
          <w:tcPr>
            <w:tcW w:type="dxa" w:w="2232"/>
            <w:shd w:fill="17365D"/>
            <w:vAlign w:val="top"/>
            <w:tcMar>
              <w:top w:w="70" w:type="dxa"/>
              <w:start w:w="70" w:type="dxa"/>
              <w:bottom w:w="70" w:type="dxa"/>
              <w:end w:w="70" w:type="dxa"/>
            </w:tcMar>
          </w:tcPr>
          <w:p>
            <w:pPr>
              <w:spacing w:after="0" w:before="0" w:line="240" w:lineRule="auto"/>
            </w:pPr>
            <w:r/>
            <w:r>
              <w:rPr>
                <w:rFonts w:ascii="Arial" w:hAnsi="Arial"/>
                <w:b/>
                <w:color w:val="FFFFFF"/>
                <w:sz w:val="17"/>
              </w:rPr>
              <w:t>Author(s) and recipients</w:t>
            </w:r>
          </w:p>
        </w:tc>
        <w:tc>
          <w:tcPr>
            <w:tcW w:type="dxa" w:w="2520"/>
            <w:shd w:fill="17365D"/>
            <w:vAlign w:val="top"/>
            <w:tcMar>
              <w:top w:w="70" w:type="dxa"/>
              <w:start w:w="70" w:type="dxa"/>
              <w:bottom w:w="70" w:type="dxa"/>
              <w:end w:w="70" w:type="dxa"/>
            </w:tcMar>
          </w:tcPr>
          <w:p>
            <w:pPr>
              <w:spacing w:after="0" w:before="0" w:line="240" w:lineRule="auto"/>
            </w:pPr>
            <w:r/>
            <w:r>
              <w:rPr>
                <w:rFonts w:ascii="Arial" w:hAnsi="Arial"/>
                <w:b/>
                <w:color w:val="FFFFFF"/>
                <w:sz w:val="17"/>
              </w:rPr>
              <w:t>General subject matter</w:t>
            </w:r>
          </w:p>
        </w:tc>
        <w:tc>
          <w:tcPr>
            <w:tcW w:type="dxa" w:w="3096"/>
            <w:shd w:fill="17365D"/>
            <w:vAlign w:val="top"/>
            <w:tcMar>
              <w:top w:w="70" w:type="dxa"/>
              <w:start w:w="70" w:type="dxa"/>
              <w:bottom w:w="70" w:type="dxa"/>
              <w:end w:w="70" w:type="dxa"/>
            </w:tcMar>
          </w:tcPr>
          <w:p>
            <w:pPr>
              <w:spacing w:after="0" w:before="0" w:line="240" w:lineRule="auto"/>
            </w:pPr>
            <w:r/>
            <w:r>
              <w:rPr>
                <w:rFonts w:ascii="Arial" w:hAnsi="Arial"/>
                <w:b/>
                <w:color w:val="FFFFFF"/>
                <w:sz w:val="17"/>
              </w:rPr>
              <w:t>Privilege / holder</w:t>
            </w:r>
          </w:p>
        </w:tc>
        <w:tc>
          <w:tcPr>
            <w:tcW w:type="dxa" w:w="3888"/>
            <w:shd w:fill="17365D"/>
            <w:vAlign w:val="top"/>
            <w:tcMar>
              <w:top w:w="70" w:type="dxa"/>
              <w:start w:w="70" w:type="dxa"/>
              <w:bottom w:w="70" w:type="dxa"/>
              <w:end w:w="70" w:type="dxa"/>
            </w:tcMar>
          </w:tcPr>
          <w:p>
            <w:pPr>
              <w:spacing w:after="0" w:before="0" w:line="240" w:lineRule="auto"/>
            </w:pPr>
            <w:r/>
            <w:r>
              <w:rPr>
                <w:rFonts w:ascii="Arial" w:hAnsi="Arial"/>
                <w:b/>
                <w:color w:val="FFFFFF"/>
                <w:sz w:val="17"/>
              </w:rPr>
              <w:t>Claim scope and qualification</w:t>
            </w:r>
          </w:p>
        </w:tc>
      </w:tr>
      <w:tr>
        <w:trPr>
          <w:cantSplit/>
        </w:trPr>
        <w:tc>
          <w:tcPr>
            <w:tcW w:type="dxa" w:w="1368"/>
            <w:shd w:fill="F4F7FA"/>
            <w:vAlign w:val="top"/>
            <w:tcMar>
              <w:top w:w="70" w:type="dxa"/>
              <w:start w:w="70" w:type="dxa"/>
              <w:bottom w:w="70" w:type="dxa"/>
              <w:end w:w="70" w:type="dxa"/>
            </w:tcMar>
          </w:tcPr>
          <w:p>
            <w:pPr>
              <w:spacing w:after="0" w:before="0" w:line="240" w:lineRule="auto"/>
            </w:pPr>
            <w:r/>
            <w:r>
              <w:rPr>
                <w:rFonts w:ascii="Arial" w:hAnsi="Arial"/>
                <w:b w:val="0"/>
                <w:sz w:val="16"/>
              </w:rPr>
              <w:t>RDGL-00020114–00020116</w:t>
            </w:r>
          </w:p>
        </w:tc>
        <w:tc>
          <w:tcPr>
            <w:tcW w:type="dxa" w:w="1440"/>
            <w:shd w:fill="F4F7FA"/>
            <w:vAlign w:val="top"/>
            <w:tcMar>
              <w:top w:w="70" w:type="dxa"/>
              <w:start w:w="70" w:type="dxa"/>
              <w:bottom w:w="70" w:type="dxa"/>
              <w:end w:w="70" w:type="dxa"/>
            </w:tcMar>
          </w:tcPr>
          <w:p>
            <w:pPr>
              <w:spacing w:after="0" w:before="0" w:line="240" w:lineRule="auto"/>
            </w:pPr>
            <w:r/>
            <w:r>
              <w:rPr>
                <w:rFonts w:ascii="Arial" w:hAnsi="Arial"/>
                <w:b w:val="0"/>
                <w:sz w:val="16"/>
              </w:rPr>
              <w:t>Sept. 14, 18 &amp; 22, 2020</w:t>
              <w:br/>
              <w:t>Email chain</w:t>
            </w:r>
          </w:p>
        </w:tc>
        <w:tc>
          <w:tcPr>
            <w:tcW w:type="dxa" w:w="2232"/>
            <w:shd w:fill="F4F7FA"/>
            <w:vAlign w:val="top"/>
            <w:tcMar>
              <w:top w:w="70" w:type="dxa"/>
              <w:start w:w="70" w:type="dxa"/>
              <w:bottom w:w="70" w:type="dxa"/>
              <w:end w:w="70" w:type="dxa"/>
            </w:tcMar>
          </w:tcPr>
          <w:p>
            <w:pPr>
              <w:spacing w:after="0" w:before="0" w:line="240" w:lineRule="auto"/>
            </w:pPr>
            <w:r/>
            <w:r>
              <w:rPr>
                <w:rFonts w:ascii="Arial" w:hAnsi="Arial"/>
                <w:b w:val="0"/>
                <w:sz w:val="16"/>
              </w:rPr>
              <w:t>Catherine Ellsworth ↔ Priya Nagarajan; no cc shown.</w:t>
            </w:r>
          </w:p>
        </w:tc>
        <w:tc>
          <w:tcPr>
            <w:tcW w:type="dxa" w:w="2520"/>
            <w:shd w:fill="F4F7FA"/>
            <w:vAlign w:val="top"/>
            <w:tcMar>
              <w:top w:w="70" w:type="dxa"/>
              <w:start w:w="70" w:type="dxa"/>
              <w:bottom w:w="70" w:type="dxa"/>
              <w:end w:w="70" w:type="dxa"/>
            </w:tcMar>
          </w:tcPr>
          <w:p>
            <w:pPr>
              <w:spacing w:after="0" w:before="0" w:line="240" w:lineRule="auto"/>
            </w:pPr>
            <w:r/>
            <w:r>
              <w:rPr>
                <w:rFonts w:ascii="Arial" w:hAnsi="Arial"/>
                <w:b w:val="0"/>
                <w:sz w:val="16"/>
              </w:rPr>
              <w:t>Initial discussion of Ridgeline’s promotional-review process and request for regulatory-compliance advice / possible outside assessment.</w:t>
            </w:r>
          </w:p>
        </w:tc>
        <w:tc>
          <w:tcPr>
            <w:tcW w:type="dxa" w:w="3096"/>
            <w:shd w:fill="F4F7FA"/>
            <w:vAlign w:val="top"/>
            <w:tcMar>
              <w:top w:w="70" w:type="dxa"/>
              <w:start w:w="70" w:type="dxa"/>
              <w:bottom w:w="70" w:type="dxa"/>
              <w:end w:w="70" w:type="dxa"/>
            </w:tcMar>
          </w:tcPr>
          <w:p>
            <w:pPr>
              <w:spacing w:after="0" w:before="0" w:line="240" w:lineRule="auto"/>
            </w:pPr>
            <w:r/>
            <w:r>
              <w:rPr>
                <w:rFonts w:ascii="Arial" w:hAnsi="Arial"/>
                <w:b w:val="0"/>
                <w:sz w:val="16"/>
              </w:rPr>
              <w:t>Prospective-client / attorney-client communications; Ridgeline is the asserted holder for advice sought by its GC in corporate capacity.</w:t>
            </w:r>
          </w:p>
        </w:tc>
        <w:tc>
          <w:tcPr>
            <w:tcW w:type="dxa" w:w="3888"/>
            <w:shd w:fill="F4F7FA"/>
            <w:vAlign w:val="top"/>
            <w:tcMar>
              <w:top w:w="70" w:type="dxa"/>
              <w:start w:w="70" w:type="dxa"/>
              <w:bottom w:w="70" w:type="dxa"/>
              <w:end w:w="70" w:type="dxa"/>
            </w:tcMar>
          </w:tcPr>
          <w:p>
            <w:pPr>
              <w:spacing w:after="0" w:before="0" w:line="240" w:lineRule="auto"/>
            </w:pPr>
            <w:r/>
            <w:r>
              <w:rPr>
                <w:rFonts w:ascii="Arial" w:hAnsi="Arial"/>
                <w:b w:val="0"/>
                <w:sz w:val="16"/>
              </w:rPr>
              <w:t>Claim the confidential request and legal advice only. The formal H&amp;C engagement (Oct. 15, 2023) expressly is not retroactive; privilege instead depends on prospective-client status and a legal-advice purpose. Verify capacity, confidentiality, and any prior disclosure.</w:t>
            </w:r>
          </w:p>
        </w:tc>
      </w:tr>
      <w:tr>
        <w:trPr>
          <w:cantSplit/>
        </w:trPr>
        <w:tc>
          <w:tcPr>
            <w:tcW w:type="dxa" w:w="1368"/>
            <w:vAlign w:val="top"/>
            <w:tcMar>
              <w:top w:w="70" w:type="dxa"/>
              <w:start w:w="70" w:type="dxa"/>
              <w:bottom w:w="70" w:type="dxa"/>
              <w:end w:w="70" w:type="dxa"/>
            </w:tcMar>
          </w:tcPr>
          <w:p>
            <w:pPr>
              <w:spacing w:after="0" w:before="0" w:line="240" w:lineRule="auto"/>
            </w:pPr>
            <w:r/>
            <w:r>
              <w:rPr>
                <w:rFonts w:ascii="Arial" w:hAnsi="Arial"/>
                <w:b w:val="0"/>
                <w:sz w:val="16"/>
              </w:rPr>
              <w:t>RDGL-00020340–00020353</w:t>
            </w:r>
          </w:p>
        </w:tc>
        <w:tc>
          <w:tcPr>
            <w:tcW w:type="dxa" w:w="1440"/>
            <w:vAlign w:val="top"/>
            <w:tcMar>
              <w:top w:w="70" w:type="dxa"/>
              <w:start w:w="70" w:type="dxa"/>
              <w:bottom w:w="70" w:type="dxa"/>
              <w:end w:w="70" w:type="dxa"/>
            </w:tcMar>
          </w:tcPr>
          <w:p>
            <w:pPr>
              <w:spacing w:after="0" w:before="0" w:line="240" w:lineRule="auto"/>
            </w:pPr>
            <w:r/>
            <w:r>
              <w:rPr>
                <w:rFonts w:ascii="Arial" w:hAnsi="Arial"/>
                <w:b w:val="0"/>
                <w:sz w:val="16"/>
              </w:rPr>
              <w:t>July–Aug. 2022</w:t>
              <w:br/>
              <w:t>14-message email thread</w:t>
            </w:r>
          </w:p>
        </w:tc>
        <w:tc>
          <w:tcPr>
            <w:tcW w:type="dxa" w:w="2232"/>
            <w:vAlign w:val="top"/>
            <w:tcMar>
              <w:top w:w="70" w:type="dxa"/>
              <w:start w:w="70" w:type="dxa"/>
              <w:bottom w:w="70" w:type="dxa"/>
              <w:end w:w="70" w:type="dxa"/>
            </w:tcMar>
          </w:tcPr>
          <w:p>
            <w:pPr>
              <w:spacing w:after="0" w:before="0" w:line="240" w:lineRule="auto"/>
            </w:pPr>
            <w:r/>
            <w:r>
              <w:rPr>
                <w:rFonts w:ascii="Arial" w:hAnsi="Arial"/>
                <w:b w:val="0"/>
                <w:sz w:val="16"/>
              </w:rPr>
              <w:t>Janet Correa, Sandra Mullins, Kevin Lassiter, Raymond Ochoa and Thomas Viklund; internal cross-functional recipients.</w:t>
            </w:r>
          </w:p>
        </w:tc>
        <w:tc>
          <w:tcPr>
            <w:tcW w:type="dxa" w:w="2520"/>
            <w:vAlign w:val="top"/>
            <w:tcMar>
              <w:top w:w="70" w:type="dxa"/>
              <w:start w:w="70" w:type="dxa"/>
              <w:bottom w:w="70" w:type="dxa"/>
              <w:end w:w="70" w:type="dxa"/>
            </w:tcMar>
          </w:tcPr>
          <w:p>
            <w:pPr>
              <w:spacing w:after="0" w:before="0" w:line="240" w:lineRule="auto"/>
            </w:pPr>
            <w:r/>
            <w:r>
              <w:rPr>
                <w:rFonts w:ascii="Arial" w:hAnsi="Arial"/>
                <w:b w:val="0"/>
                <w:sz w:val="16"/>
              </w:rPr>
              <w:t>Q3 sales/marketing planning thread, including a discrete request to counsel and counsel’s advice on use of the Nakamura fibromyalgia study in a promotional detail aid.</w:t>
            </w:r>
          </w:p>
        </w:tc>
        <w:tc>
          <w:tcPr>
            <w:tcW w:type="dxa" w:w="3096"/>
            <w:vAlign w:val="top"/>
            <w:tcMar>
              <w:top w:w="70" w:type="dxa"/>
              <w:start w:w="70" w:type="dxa"/>
              <w:bottom w:w="70" w:type="dxa"/>
              <w:end w:w="70" w:type="dxa"/>
            </w:tcMar>
          </w:tcPr>
          <w:p>
            <w:pPr>
              <w:spacing w:after="0" w:before="0" w:line="240" w:lineRule="auto"/>
            </w:pPr>
            <w:r/>
            <w:r>
              <w:rPr>
                <w:rFonts w:ascii="Arial" w:hAnsi="Arial"/>
                <w:b w:val="0"/>
                <w:sz w:val="16"/>
              </w:rPr>
              <w:t>Attorney-client privilege; Ridgeline.</w:t>
            </w:r>
          </w:p>
        </w:tc>
        <w:tc>
          <w:tcPr>
            <w:tcW w:type="dxa" w:w="3888"/>
            <w:vAlign w:val="top"/>
            <w:tcMar>
              <w:top w:w="70" w:type="dxa"/>
              <w:start w:w="70" w:type="dxa"/>
              <w:bottom w:w="70" w:type="dxa"/>
              <w:end w:w="70" w:type="dxa"/>
            </w:tcMar>
          </w:tcPr>
          <w:p>
            <w:pPr>
              <w:spacing w:after="0" w:before="0" w:line="240" w:lineRule="auto"/>
            </w:pPr>
            <w:r/>
            <w:r>
              <w:rPr>
                <w:rFonts w:ascii="Arial" w:hAnsi="Arial"/>
                <w:b w:val="0"/>
                <w:sz w:val="16"/>
              </w:rPr>
              <w:t>Partial claim only: the legal request/advice (including internal communications that reveal that advice). Do not claim routine targets, budgets, event logistics, sales data, or other ordinary business/regulatory discussion in the same thread. Confirm exact message/page boundaries from the native thread.</w:t>
            </w:r>
          </w:p>
        </w:tc>
      </w:tr>
      <w:tr>
        <w:trPr>
          <w:cantSplit/>
        </w:trPr>
        <w:tc>
          <w:tcPr>
            <w:tcW w:type="dxa" w:w="1368"/>
            <w:shd w:fill="F4F7FA"/>
            <w:vAlign w:val="top"/>
            <w:tcMar>
              <w:top w:w="70" w:type="dxa"/>
              <w:start w:w="70" w:type="dxa"/>
              <w:bottom w:w="70" w:type="dxa"/>
              <w:end w:w="70" w:type="dxa"/>
            </w:tcMar>
          </w:tcPr>
          <w:p>
            <w:pPr>
              <w:spacing w:after="0" w:before="0" w:line="240" w:lineRule="auto"/>
            </w:pPr>
            <w:r/>
            <w:r>
              <w:rPr>
                <w:rFonts w:ascii="Arial" w:hAnsi="Arial"/>
                <w:b w:val="0"/>
                <w:sz w:val="16"/>
              </w:rPr>
              <w:t>RDGL-00020401–00020402</w:t>
            </w:r>
          </w:p>
        </w:tc>
        <w:tc>
          <w:tcPr>
            <w:tcW w:type="dxa" w:w="1440"/>
            <w:shd w:fill="F4F7FA"/>
            <w:vAlign w:val="top"/>
            <w:tcMar>
              <w:top w:w="70" w:type="dxa"/>
              <w:start w:w="70" w:type="dxa"/>
              <w:bottom w:w="70" w:type="dxa"/>
              <w:end w:w="70" w:type="dxa"/>
            </w:tcMar>
          </w:tcPr>
          <w:p>
            <w:pPr>
              <w:spacing w:after="0" w:before="0" w:line="240" w:lineRule="auto"/>
            </w:pPr>
            <w:r/>
            <w:r>
              <w:rPr>
                <w:rFonts w:ascii="Arial" w:hAnsi="Arial"/>
                <w:b w:val="0"/>
                <w:sz w:val="16"/>
              </w:rPr>
              <w:t>Aug. 3, 2022</w:t>
              <w:br/>
              <w:t>Email chain</w:t>
            </w:r>
          </w:p>
        </w:tc>
        <w:tc>
          <w:tcPr>
            <w:tcW w:type="dxa" w:w="2232"/>
            <w:shd w:fill="F4F7FA"/>
            <w:vAlign w:val="top"/>
            <w:tcMar>
              <w:top w:w="70" w:type="dxa"/>
              <w:start w:w="70" w:type="dxa"/>
              <w:bottom w:w="70" w:type="dxa"/>
              <w:end w:w="70" w:type="dxa"/>
            </w:tcMar>
          </w:tcPr>
          <w:p>
            <w:pPr>
              <w:spacing w:after="0" w:before="0" w:line="240" w:lineRule="auto"/>
            </w:pPr>
            <w:r/>
            <w:r>
              <w:rPr>
                <w:rFonts w:ascii="Arial" w:hAnsi="Arial"/>
                <w:b w:val="0"/>
                <w:sz w:val="16"/>
              </w:rPr>
              <w:t>Sandra Mullins ↔ Priya Nagarajan; no cc shown.</w:t>
            </w:r>
          </w:p>
        </w:tc>
        <w:tc>
          <w:tcPr>
            <w:tcW w:type="dxa" w:w="2520"/>
            <w:shd w:fill="F4F7FA"/>
            <w:vAlign w:val="top"/>
            <w:tcMar>
              <w:top w:w="70" w:type="dxa"/>
              <w:start w:w="70" w:type="dxa"/>
              <w:bottom w:w="70" w:type="dxa"/>
              <w:end w:w="70" w:type="dxa"/>
            </w:tcMar>
          </w:tcPr>
          <w:p>
            <w:pPr>
              <w:spacing w:after="0" w:before="0" w:line="240" w:lineRule="auto"/>
            </w:pPr>
            <w:r/>
            <w:r>
              <w:rPr>
                <w:rFonts w:ascii="Arial" w:hAnsi="Arial"/>
                <w:b w:val="0"/>
                <w:sz w:val="16"/>
              </w:rPr>
              <w:t>GC review of proposed Q4 speaker-program deck, including off-label data, content revisions, and legal/compliance advice.</w:t>
            </w:r>
          </w:p>
        </w:tc>
        <w:tc>
          <w:tcPr>
            <w:tcW w:type="dxa" w:w="3096"/>
            <w:shd w:fill="F4F7FA"/>
            <w:vAlign w:val="top"/>
            <w:tcMar>
              <w:top w:w="70" w:type="dxa"/>
              <w:start w:w="70" w:type="dxa"/>
              <w:bottom w:w="70" w:type="dxa"/>
              <w:end w:w="70" w:type="dxa"/>
            </w:tcMar>
          </w:tcPr>
          <w:p>
            <w:pPr>
              <w:spacing w:after="0" w:before="0" w:line="240" w:lineRule="auto"/>
            </w:pPr>
            <w:r/>
            <w:r>
              <w:rPr>
                <w:rFonts w:ascii="Arial" w:hAnsi="Arial"/>
                <w:b w:val="0"/>
                <w:sz w:val="16"/>
              </w:rPr>
              <w:t>Attorney-client privilege; Ridgeline.</w:t>
            </w:r>
          </w:p>
        </w:tc>
        <w:tc>
          <w:tcPr>
            <w:tcW w:type="dxa" w:w="3888"/>
            <w:shd w:fill="F4F7FA"/>
            <w:vAlign w:val="top"/>
            <w:tcMar>
              <w:top w:w="70" w:type="dxa"/>
              <w:start w:w="70" w:type="dxa"/>
              <w:bottom w:w="70" w:type="dxa"/>
              <w:end w:w="70" w:type="dxa"/>
            </w:tcMar>
          </w:tcPr>
          <w:p>
            <w:pPr>
              <w:spacing w:after="0" w:before="0" w:line="240" w:lineRule="auto"/>
            </w:pPr>
            <w:r/>
            <w:r>
              <w:rPr>
                <w:rFonts w:ascii="Arial" w:hAnsi="Arial"/>
                <w:b w:val="0"/>
                <w:sz w:val="16"/>
              </w:rPr>
              <w:t>Claim confidential legal advice and the request for it. Significant challenge risk: advice includes keeping the issue from Compliance and submitting a “cleaned-up” deck to PRC. Preserve the claim pending review; assess crime-fraud exception and whether any portions are business direction rather than legal advice.</w:t>
            </w:r>
          </w:p>
        </w:tc>
      </w:tr>
      <w:tr>
        <w:trPr>
          <w:cantSplit/>
        </w:trPr>
        <w:tc>
          <w:tcPr>
            <w:tcW w:type="dxa" w:w="1368"/>
            <w:vAlign w:val="top"/>
            <w:tcMar>
              <w:top w:w="70" w:type="dxa"/>
              <w:start w:w="70" w:type="dxa"/>
              <w:bottom w:w="70" w:type="dxa"/>
              <w:end w:w="70" w:type="dxa"/>
            </w:tcMar>
          </w:tcPr>
          <w:p>
            <w:pPr>
              <w:spacing w:after="0" w:before="0" w:line="240" w:lineRule="auto"/>
            </w:pPr>
            <w:r/>
            <w:r>
              <w:rPr>
                <w:rFonts w:ascii="Arial" w:hAnsi="Arial"/>
                <w:b w:val="0"/>
                <w:sz w:val="16"/>
              </w:rPr>
              <w:t>RDGL-00020512–00020515</w:t>
            </w:r>
          </w:p>
        </w:tc>
        <w:tc>
          <w:tcPr>
            <w:tcW w:type="dxa" w:w="1440"/>
            <w:vAlign w:val="top"/>
            <w:tcMar>
              <w:top w:w="70" w:type="dxa"/>
              <w:start w:w="70" w:type="dxa"/>
              <w:bottom w:w="70" w:type="dxa"/>
              <w:end w:w="70" w:type="dxa"/>
            </w:tcMar>
          </w:tcPr>
          <w:p>
            <w:pPr>
              <w:spacing w:after="0" w:before="0" w:line="240" w:lineRule="auto"/>
            </w:pPr>
            <w:r/>
            <w:r>
              <w:rPr>
                <w:rFonts w:ascii="Arial" w:hAnsi="Arial"/>
                <w:b w:val="0"/>
                <w:sz w:val="16"/>
              </w:rPr>
              <w:t>Nov. 2, 2023</w:t>
              <w:br/>
              <w:t>Email chain</w:t>
            </w:r>
          </w:p>
        </w:tc>
        <w:tc>
          <w:tcPr>
            <w:tcW w:type="dxa" w:w="2232"/>
            <w:vAlign w:val="top"/>
            <w:tcMar>
              <w:top w:w="70" w:type="dxa"/>
              <w:start w:w="70" w:type="dxa"/>
              <w:bottom w:w="70" w:type="dxa"/>
              <w:end w:w="70" w:type="dxa"/>
            </w:tcMar>
          </w:tcPr>
          <w:p>
            <w:pPr>
              <w:spacing w:after="0" w:before="0" w:line="240" w:lineRule="auto"/>
            </w:pPr>
            <w:r/>
            <w:r>
              <w:rPr>
                <w:rFonts w:ascii="Arial" w:hAnsi="Arial"/>
                <w:b w:val="0"/>
                <w:sz w:val="16"/>
              </w:rPr>
              <w:t>Priya Nagarajan ↔ Andrew Metcalf (Kendrick Sable LLP, counsel to Janet Correa); no cc shown.</w:t>
            </w:r>
          </w:p>
        </w:tc>
        <w:tc>
          <w:tcPr>
            <w:tcW w:type="dxa" w:w="2520"/>
            <w:vAlign w:val="top"/>
            <w:tcMar>
              <w:top w:w="70" w:type="dxa"/>
              <w:start w:w="70" w:type="dxa"/>
              <w:bottom w:w="70" w:type="dxa"/>
              <w:end w:w="70" w:type="dxa"/>
            </w:tcMar>
          </w:tcPr>
          <w:p>
            <w:pPr>
              <w:spacing w:after="0" w:before="0" w:line="240" w:lineRule="auto"/>
            </w:pPr>
            <w:r/>
            <w:r>
              <w:rPr>
                <w:rFonts w:ascii="Arial" w:hAnsi="Arial"/>
                <w:b w:val="0"/>
                <w:sz w:val="16"/>
              </w:rPr>
              <w:t>Counsel-to-counsel coordination after DOJ CID regarding MLR process, factual positions, document review, and sequencing of witness interviews.</w:t>
            </w:r>
          </w:p>
        </w:tc>
        <w:tc>
          <w:tcPr>
            <w:tcW w:type="dxa" w:w="3096"/>
            <w:vAlign w:val="top"/>
            <w:tcMar>
              <w:top w:w="70" w:type="dxa"/>
              <w:start w:w="70" w:type="dxa"/>
              <w:bottom w:w="70" w:type="dxa"/>
              <w:end w:w="70" w:type="dxa"/>
            </w:tcMar>
          </w:tcPr>
          <w:p>
            <w:pPr>
              <w:spacing w:after="0" w:before="0" w:line="240" w:lineRule="auto"/>
            </w:pPr>
            <w:r/>
            <w:r>
              <w:rPr>
                <w:rFonts w:ascii="Arial" w:hAnsi="Arial"/>
                <w:b w:val="0"/>
                <w:sz w:val="16"/>
              </w:rPr>
              <w:t>Common-interest / joint-defense attorney-client communications and work product. Ridgeline asserts only its own interest; Janet may hold a separate, shared privilege.</w:t>
            </w:r>
          </w:p>
        </w:tc>
        <w:tc>
          <w:tcPr>
            <w:tcW w:type="dxa" w:w="3888"/>
            <w:vAlign w:val="top"/>
            <w:tcMar>
              <w:top w:w="70" w:type="dxa"/>
              <w:start w:w="70" w:type="dxa"/>
              <w:bottom w:w="70" w:type="dxa"/>
              <w:end w:w="70" w:type="dxa"/>
            </w:tcMar>
          </w:tcPr>
          <w:p>
            <w:pPr>
              <w:spacing w:after="0" w:before="0" w:line="240" w:lineRule="auto"/>
            </w:pPr>
            <w:r/>
            <w:r>
              <w:rPr>
                <w:rFonts w:ascii="Arial" w:hAnsi="Arial"/>
                <w:b w:val="0"/>
                <w:sz w:val="16"/>
              </w:rPr>
              <w:t>Conditional/high challenge risk: confirm a genuine shared legal interest, confidentiality, authorization and any common-interest understanding. Potentially divergent corporate/former-employee interests and language about a “consistent” narrative require careful review; no blanket assertion if no common legal strategy existed.</w:t>
            </w:r>
          </w:p>
        </w:tc>
      </w:tr>
      <w:tr>
        <w:trPr>
          <w:cantSplit/>
        </w:trPr>
        <w:tc>
          <w:tcPr>
            <w:tcW w:type="dxa" w:w="1368"/>
            <w:shd w:fill="F4F7FA"/>
            <w:vAlign w:val="top"/>
            <w:tcMar>
              <w:top w:w="70" w:type="dxa"/>
              <w:start w:w="70" w:type="dxa"/>
              <w:bottom w:w="70" w:type="dxa"/>
              <w:end w:w="70" w:type="dxa"/>
            </w:tcMar>
          </w:tcPr>
          <w:p>
            <w:pPr>
              <w:spacing w:after="0" w:before="0" w:line="240" w:lineRule="auto"/>
            </w:pPr>
            <w:r/>
            <w:r>
              <w:rPr>
                <w:rFonts w:ascii="Arial" w:hAnsi="Arial"/>
                <w:b w:val="0"/>
                <w:sz w:val="16"/>
              </w:rPr>
              <w:t>RDGL-00020560–00020574</w:t>
            </w:r>
          </w:p>
        </w:tc>
        <w:tc>
          <w:tcPr>
            <w:tcW w:type="dxa" w:w="1440"/>
            <w:shd w:fill="F4F7FA"/>
            <w:vAlign w:val="top"/>
            <w:tcMar>
              <w:top w:w="70" w:type="dxa"/>
              <w:start w:w="70" w:type="dxa"/>
              <w:bottom w:w="70" w:type="dxa"/>
              <w:end w:w="70" w:type="dxa"/>
            </w:tcMar>
          </w:tcPr>
          <w:p>
            <w:pPr>
              <w:spacing w:after="0" w:before="0" w:line="240" w:lineRule="auto"/>
            </w:pPr>
            <w:r/>
            <w:r>
              <w:rPr>
                <w:rFonts w:ascii="Arial" w:hAnsi="Arial"/>
                <w:b w:val="0"/>
                <w:sz w:val="16"/>
              </w:rPr>
              <w:t>Dec. 5, 2023</w:t>
              <w:br/>
              <w:t>15-slide presentation (PPT exported to Word)</w:t>
            </w:r>
          </w:p>
        </w:tc>
        <w:tc>
          <w:tcPr>
            <w:tcW w:type="dxa" w:w="2232"/>
            <w:shd w:fill="F4F7FA"/>
            <w:vAlign w:val="top"/>
            <w:tcMar>
              <w:top w:w="70" w:type="dxa"/>
              <w:start w:w="70" w:type="dxa"/>
              <w:bottom w:w="70" w:type="dxa"/>
              <w:end w:w="70" w:type="dxa"/>
            </w:tcMar>
          </w:tcPr>
          <w:p>
            <w:pPr>
              <w:spacing w:after="0" w:before="0" w:line="240" w:lineRule="auto"/>
            </w:pPr>
            <w:r/>
            <w:r>
              <w:rPr>
                <w:rFonts w:ascii="Arial" w:hAnsi="Arial"/>
                <w:b w:val="0"/>
                <w:sz w:val="16"/>
              </w:rPr>
              <w:t>Thomas Viklund; prepared for CEO Marcus Ashworth, Priya Nagarajan, Kevin Lassiter and Raymond Ochoa. No external recipient shown.</w:t>
            </w:r>
          </w:p>
        </w:tc>
        <w:tc>
          <w:tcPr>
            <w:tcW w:type="dxa" w:w="2520"/>
            <w:shd w:fill="F4F7FA"/>
            <w:vAlign w:val="top"/>
            <w:tcMar>
              <w:top w:w="70" w:type="dxa"/>
              <w:start w:w="70" w:type="dxa"/>
              <w:bottom w:w="70" w:type="dxa"/>
              <w:end w:w="70" w:type="dxa"/>
            </w:tcMar>
          </w:tcPr>
          <w:p>
            <w:pPr>
              <w:spacing w:after="0" w:before="0" w:line="240" w:lineRule="auto"/>
            </w:pPr>
            <w:r/>
            <w:r>
              <w:rPr>
                <w:rFonts w:ascii="Arial" w:hAnsi="Arial"/>
                <w:b w:val="0"/>
                <w:sz w:val="16"/>
              </w:rPr>
              <w:t>Counsel’s regulatory/litigation risk assessment following DOJ inquiry, including liability/exposure, defense strategy, internal investigation, collection and witness sequencing.</w:t>
            </w:r>
          </w:p>
        </w:tc>
        <w:tc>
          <w:tcPr>
            <w:tcW w:type="dxa" w:w="3096"/>
            <w:shd w:fill="F4F7FA"/>
            <w:vAlign w:val="top"/>
            <w:tcMar>
              <w:top w:w="70" w:type="dxa"/>
              <w:start w:w="70" w:type="dxa"/>
              <w:bottom w:w="70" w:type="dxa"/>
              <w:end w:w="70" w:type="dxa"/>
            </w:tcMar>
          </w:tcPr>
          <w:p>
            <w:pPr>
              <w:spacing w:after="0" w:before="0" w:line="240" w:lineRule="auto"/>
            </w:pPr>
            <w:r/>
            <w:r>
              <w:rPr>
                <w:rFonts w:ascii="Arial" w:hAnsi="Arial"/>
                <w:b w:val="0"/>
                <w:sz w:val="16"/>
              </w:rPr>
              <w:t>Opinion work product (and attorney-client communications to corporate leadership); Ridgeline.</w:t>
            </w:r>
          </w:p>
        </w:tc>
        <w:tc>
          <w:tcPr>
            <w:tcW w:type="dxa" w:w="3888"/>
            <w:shd w:fill="F4F7FA"/>
            <w:vAlign w:val="top"/>
            <w:tcMar>
              <w:top w:w="70" w:type="dxa"/>
              <w:start w:w="70" w:type="dxa"/>
              <w:bottom w:w="70" w:type="dxa"/>
              <w:end w:w="70" w:type="dxa"/>
            </w:tcMar>
          </w:tcPr>
          <w:p>
            <w:pPr>
              <w:spacing w:after="0" w:before="0" w:line="240" w:lineRule="auto"/>
            </w:pPr>
            <w:r/>
            <w:r>
              <w:rPr>
                <w:rFonts w:ascii="Arial" w:hAnsi="Arial"/>
                <w:b w:val="0"/>
                <w:sz w:val="16"/>
              </w:rPr>
              <w:t>Partial claim: strongest for slides 9–15 and counsel’s legal analysis, recommendations and mental impressions. Do not claim underlying ordinary business facts merely because counsel compiled them; claim factual selection/organization only where it reveals counsel’s litigation strategy.</w:t>
            </w:r>
          </w:p>
        </w:tc>
      </w:tr>
      <w:tr>
        <w:trPr>
          <w:cantSplit/>
        </w:trPr>
        <w:tc>
          <w:tcPr>
            <w:tcW w:type="dxa" w:w="1368"/>
            <w:vAlign w:val="top"/>
            <w:tcMar>
              <w:top w:w="70" w:type="dxa"/>
              <w:start w:w="70" w:type="dxa"/>
              <w:bottom w:w="70" w:type="dxa"/>
              <w:end w:w="70" w:type="dxa"/>
            </w:tcMar>
          </w:tcPr>
          <w:p>
            <w:pPr>
              <w:spacing w:after="0" w:before="0" w:line="240" w:lineRule="auto"/>
            </w:pPr>
            <w:r/>
            <w:r>
              <w:rPr>
                <w:rFonts w:ascii="Arial" w:hAnsi="Arial"/>
                <w:b w:val="0"/>
                <w:sz w:val="16"/>
              </w:rPr>
              <w:t>RDGL-00020601–00020603</w:t>
            </w:r>
          </w:p>
        </w:tc>
        <w:tc>
          <w:tcPr>
            <w:tcW w:type="dxa" w:w="1440"/>
            <w:vAlign w:val="top"/>
            <w:tcMar>
              <w:top w:w="70" w:type="dxa"/>
              <w:start w:w="70" w:type="dxa"/>
              <w:bottom w:w="70" w:type="dxa"/>
              <w:end w:w="70" w:type="dxa"/>
            </w:tcMar>
          </w:tcPr>
          <w:p>
            <w:pPr>
              <w:spacing w:after="0" w:before="0" w:line="240" w:lineRule="auto"/>
            </w:pPr>
            <w:r/>
            <w:r>
              <w:rPr>
                <w:rFonts w:ascii="Arial" w:hAnsi="Arial"/>
                <w:b w:val="0"/>
                <w:sz w:val="16"/>
              </w:rPr>
              <w:t>Feb. 15, 2024</w:t>
              <w:br/>
              <w:t>Email chain</w:t>
            </w:r>
          </w:p>
        </w:tc>
        <w:tc>
          <w:tcPr>
            <w:tcW w:type="dxa" w:w="2232"/>
            <w:vAlign w:val="top"/>
            <w:tcMar>
              <w:top w:w="70" w:type="dxa"/>
              <w:start w:w="70" w:type="dxa"/>
              <w:bottom w:w="70" w:type="dxa"/>
              <w:end w:w="70" w:type="dxa"/>
            </w:tcMar>
          </w:tcPr>
          <w:p>
            <w:pPr>
              <w:spacing w:after="0" w:before="0" w:line="240" w:lineRule="auto"/>
            </w:pPr>
            <w:r/>
            <w:r>
              <w:rPr>
                <w:rFonts w:ascii="Arial" w:hAnsi="Arial"/>
                <w:b w:val="0"/>
                <w:sz w:val="16"/>
              </w:rPr>
              <w:t>Rachel Greenwald (Waverly Stone) ↔ Helen Pak-Morrison; Priya Nagarajan copied on both messages.</w:t>
            </w:r>
          </w:p>
        </w:tc>
        <w:tc>
          <w:tcPr>
            <w:tcW w:type="dxa" w:w="2520"/>
            <w:vAlign w:val="top"/>
            <w:tcMar>
              <w:top w:w="70" w:type="dxa"/>
              <w:start w:w="70" w:type="dxa"/>
              <w:bottom w:w="70" w:type="dxa"/>
              <w:end w:w="70" w:type="dxa"/>
            </w:tcMar>
          </w:tcPr>
          <w:p>
            <w:pPr>
              <w:spacing w:after="0" w:before="0" w:line="240" w:lineRule="auto"/>
            </w:pPr>
            <w:r/>
            <w:r>
              <w:rPr>
                <w:rFonts w:ascii="Arial" w:hAnsi="Arial"/>
                <w:b w:val="0"/>
                <w:sz w:val="16"/>
              </w:rPr>
              <w:t>Audit Committee investigation scope, privilege ownership/independence, and investigation into Correa’s departure and CEO knowledge.</w:t>
            </w:r>
          </w:p>
        </w:tc>
        <w:tc>
          <w:tcPr>
            <w:tcW w:type="dxa" w:w="3096"/>
            <w:vAlign w:val="top"/>
            <w:tcMar>
              <w:top w:w="70" w:type="dxa"/>
              <w:start w:w="70" w:type="dxa"/>
              <w:bottom w:w="70" w:type="dxa"/>
              <w:end w:w="70" w:type="dxa"/>
            </w:tcMar>
          </w:tcPr>
          <w:p>
            <w:pPr>
              <w:spacing w:after="0" w:before="0" w:line="240" w:lineRule="auto"/>
            </w:pPr>
            <w:r/>
            <w:r>
              <w:rPr>
                <w:rFonts w:ascii="Arial" w:hAnsi="Arial"/>
                <w:b w:val="0"/>
                <w:sz w:val="16"/>
              </w:rPr>
              <w:t>Attorney-client privilege / work product of the Audit Committee; privilege holder is the Audit Committee, not Ridgeline management.</w:t>
            </w:r>
          </w:p>
        </w:tc>
        <w:tc>
          <w:tcPr>
            <w:tcW w:type="dxa" w:w="3888"/>
            <w:vAlign w:val="top"/>
            <w:tcMar>
              <w:top w:w="70" w:type="dxa"/>
              <w:start w:w="70" w:type="dxa"/>
              <w:bottom w:w="70" w:type="dxa"/>
              <w:end w:w="70" w:type="dxa"/>
            </w:tcMar>
          </w:tcPr>
          <w:p>
            <w:pPr>
              <w:spacing w:after="0" w:before="0" w:line="240" w:lineRule="auto"/>
            </w:pPr>
            <w:r/>
            <w:r>
              <w:rPr>
                <w:rFonts w:ascii="Arial" w:hAnsi="Arial"/>
                <w:b w:val="0"/>
                <w:sz w:val="16"/>
              </w:rPr>
              <w:t>Candidate for clawback only on the Committee’s behalf or with its counsel’s authorization. Confirm the effect of copying Priya for coordination and obtain Waverly Stone’s position. Do not characterize this as Ridgeline’s privilege.</w:t>
            </w:r>
          </w:p>
        </w:tc>
      </w:tr>
      <w:tr>
        <w:trPr>
          <w:cantSplit/>
        </w:trPr>
        <w:tc>
          <w:tcPr>
            <w:tcW w:type="dxa" w:w="1368"/>
            <w:shd w:fill="F4F7FA"/>
            <w:vAlign w:val="top"/>
            <w:tcMar>
              <w:top w:w="70" w:type="dxa"/>
              <w:start w:w="70" w:type="dxa"/>
              <w:bottom w:w="70" w:type="dxa"/>
              <w:end w:w="70" w:type="dxa"/>
            </w:tcMar>
          </w:tcPr>
          <w:p>
            <w:pPr>
              <w:spacing w:after="0" w:before="0" w:line="240" w:lineRule="auto"/>
            </w:pPr>
            <w:r/>
            <w:r>
              <w:rPr>
                <w:rFonts w:ascii="Arial" w:hAnsi="Arial"/>
                <w:b w:val="0"/>
                <w:sz w:val="16"/>
              </w:rPr>
              <w:t>RDGL-00020644–00020645</w:t>
            </w:r>
          </w:p>
        </w:tc>
        <w:tc>
          <w:tcPr>
            <w:tcW w:type="dxa" w:w="1440"/>
            <w:shd w:fill="F4F7FA"/>
            <w:vAlign w:val="top"/>
            <w:tcMar>
              <w:top w:w="70" w:type="dxa"/>
              <w:start w:w="70" w:type="dxa"/>
              <w:bottom w:w="70" w:type="dxa"/>
              <w:end w:w="70" w:type="dxa"/>
            </w:tcMar>
          </w:tcPr>
          <w:p>
            <w:pPr>
              <w:spacing w:after="0" w:before="0" w:line="240" w:lineRule="auto"/>
            </w:pPr>
            <w:r/>
            <w:r>
              <w:rPr>
                <w:rFonts w:ascii="Arial" w:hAnsi="Arial"/>
                <w:b w:val="0"/>
                <w:sz w:val="16"/>
              </w:rPr>
              <w:t>Oct. 8–9, 2023</w:t>
              <w:br/>
              <w:t>Private-email chain</w:t>
            </w:r>
          </w:p>
        </w:tc>
        <w:tc>
          <w:tcPr>
            <w:tcW w:type="dxa" w:w="2232"/>
            <w:shd w:fill="F4F7FA"/>
            <w:vAlign w:val="top"/>
            <w:tcMar>
              <w:top w:w="70" w:type="dxa"/>
              <w:start w:w="70" w:type="dxa"/>
              <w:bottom w:w="70" w:type="dxa"/>
              <w:end w:w="70" w:type="dxa"/>
            </w:tcMar>
          </w:tcPr>
          <w:p>
            <w:pPr>
              <w:spacing w:after="0" w:before="0" w:line="240" w:lineRule="auto"/>
            </w:pPr>
            <w:r/>
            <w:r>
              <w:rPr>
                <w:rFonts w:ascii="Arial" w:hAnsi="Arial"/>
                <w:b w:val="0"/>
                <w:sz w:val="16"/>
              </w:rPr>
              <w:t>Janet Correa (personal Gmail) ↔ Priya Nagarajan (Ridgeline GC); no cc shown.</w:t>
            </w:r>
          </w:p>
        </w:tc>
        <w:tc>
          <w:tcPr>
            <w:tcW w:type="dxa" w:w="2520"/>
            <w:shd w:fill="F4F7FA"/>
            <w:vAlign w:val="top"/>
            <w:tcMar>
              <w:top w:w="70" w:type="dxa"/>
              <w:start w:w="70" w:type="dxa"/>
              <w:bottom w:w="70" w:type="dxa"/>
              <w:end w:w="70" w:type="dxa"/>
            </w:tcMar>
          </w:tcPr>
          <w:p>
            <w:pPr>
              <w:spacing w:after="0" w:before="0" w:line="240" w:lineRule="auto"/>
            </w:pPr>
            <w:r/>
            <w:r>
              <w:rPr>
                <w:rFonts w:ascii="Arial" w:hAnsi="Arial"/>
                <w:b w:val="0"/>
                <w:sz w:val="16"/>
              </w:rPr>
              <w:t>Correa’s request for, and Nagarajan’s individualized response concerning, Correa’s personal civil/criminal exposure arising from her former role.</w:t>
            </w:r>
          </w:p>
        </w:tc>
        <w:tc>
          <w:tcPr>
            <w:tcW w:type="dxa" w:w="3096"/>
            <w:shd w:fill="F4F7FA"/>
            <w:vAlign w:val="top"/>
            <w:tcMar>
              <w:top w:w="70" w:type="dxa"/>
              <w:start w:w="70" w:type="dxa"/>
              <w:bottom w:w="70" w:type="dxa"/>
              <w:end w:w="70" w:type="dxa"/>
            </w:tcMar>
          </w:tcPr>
          <w:p>
            <w:pPr>
              <w:spacing w:after="0" w:before="0" w:line="240" w:lineRule="auto"/>
            </w:pPr>
            <w:r/>
            <w:r>
              <w:rPr>
                <w:rFonts w:ascii="Arial" w:hAnsi="Arial"/>
                <w:b w:val="0"/>
                <w:sz w:val="16"/>
              </w:rPr>
              <w:t>Potential individual attorney-client privilege held by Janet Correa; not a corporate privilege claim.</w:t>
            </w:r>
          </w:p>
        </w:tc>
        <w:tc>
          <w:tcPr>
            <w:tcW w:type="dxa" w:w="3888"/>
            <w:shd w:fill="F4F7FA"/>
            <w:vAlign w:val="top"/>
            <w:tcMar>
              <w:top w:w="70" w:type="dxa"/>
              <w:start w:w="70" w:type="dxa"/>
              <w:bottom w:w="70" w:type="dxa"/>
              <w:end w:w="70" w:type="dxa"/>
            </w:tcMar>
          </w:tcPr>
          <w:p>
            <w:pPr>
              <w:spacing w:after="0" w:before="0" w:line="240" w:lineRule="auto"/>
            </w:pPr>
            <w:r/>
            <w:r>
              <w:rPr>
                <w:rFonts w:ascii="Arial" w:hAnsi="Arial"/>
                <w:b w:val="0"/>
                <w:sz w:val="16"/>
              </w:rPr>
              <w:t>Conditional candidate: contact Andrew Metcalf for confirmation/authorization and assess whether an attorney-client relationship was formed despite Priya’s corporate role and absence of an individual engagement. If asserted, claim the confidential personal legal-advice exchange only.</w:t>
            </w:r>
          </w:p>
        </w:tc>
      </w:tr>
      <w:tr>
        <w:trPr>
          <w:cantSplit/>
        </w:trPr>
        <w:tc>
          <w:tcPr>
            <w:tcW w:type="dxa" w:w="1368"/>
            <w:vAlign w:val="top"/>
            <w:tcMar>
              <w:top w:w="70" w:type="dxa"/>
              <w:start w:w="70" w:type="dxa"/>
              <w:bottom w:w="70" w:type="dxa"/>
              <w:end w:w="70" w:type="dxa"/>
            </w:tcMar>
          </w:tcPr>
          <w:p>
            <w:pPr>
              <w:spacing w:after="0" w:before="0" w:line="240" w:lineRule="auto"/>
            </w:pPr>
            <w:r/>
            <w:r>
              <w:rPr>
                <w:rFonts w:ascii="Arial" w:hAnsi="Arial"/>
                <w:b w:val="0"/>
                <w:sz w:val="16"/>
              </w:rPr>
              <w:t>RDGL-00020710–00020715</w:t>
            </w:r>
          </w:p>
        </w:tc>
        <w:tc>
          <w:tcPr>
            <w:tcW w:type="dxa" w:w="1440"/>
            <w:vAlign w:val="top"/>
            <w:tcMar>
              <w:top w:w="70" w:type="dxa"/>
              <w:start w:w="70" w:type="dxa"/>
              <w:bottom w:w="70" w:type="dxa"/>
              <w:end w:w="70" w:type="dxa"/>
            </w:tcMar>
          </w:tcPr>
          <w:p>
            <w:pPr>
              <w:spacing w:after="0" w:before="0" w:line="240" w:lineRule="auto"/>
            </w:pPr>
            <w:r/>
            <w:r>
              <w:rPr>
                <w:rFonts w:ascii="Arial" w:hAnsi="Arial"/>
                <w:b w:val="0"/>
                <w:sz w:val="16"/>
              </w:rPr>
              <w:t>July 2022</w:t>
              <w:br/>
              <w:t>Draft policy with comments / tracked changes</w:t>
            </w:r>
          </w:p>
        </w:tc>
        <w:tc>
          <w:tcPr>
            <w:tcW w:type="dxa" w:w="2232"/>
            <w:vAlign w:val="top"/>
            <w:tcMar>
              <w:top w:w="70" w:type="dxa"/>
              <w:start w:w="70" w:type="dxa"/>
              <w:bottom w:w="70" w:type="dxa"/>
              <w:end w:w="70" w:type="dxa"/>
            </w:tcMar>
          </w:tcPr>
          <w:p>
            <w:pPr>
              <w:spacing w:after="0" w:before="0" w:line="240" w:lineRule="auto"/>
            </w:pPr>
            <w:r/>
            <w:r>
              <w:rPr>
                <w:rFonts w:ascii="Arial" w:hAnsi="Arial"/>
                <w:b w:val="0"/>
                <w:sz w:val="16"/>
              </w:rPr>
              <w:t>Drafted by Sandra Mullins; reviewed by Kevin Lassiter, Raymond Ochoa and Thomas Viklund; Priya Nagarajan listed as approver. No external recipients shown.</w:t>
            </w:r>
          </w:p>
        </w:tc>
        <w:tc>
          <w:tcPr>
            <w:tcW w:type="dxa" w:w="2520"/>
            <w:vAlign w:val="top"/>
            <w:tcMar>
              <w:top w:w="70" w:type="dxa"/>
              <w:start w:w="70" w:type="dxa"/>
              <w:bottom w:w="70" w:type="dxa"/>
              <w:end w:w="70" w:type="dxa"/>
            </w:tcMar>
          </w:tcPr>
          <w:p>
            <w:pPr>
              <w:spacing w:after="0" w:before="0" w:line="240" w:lineRule="auto"/>
            </w:pPr>
            <w:r/>
            <w:r>
              <w:rPr>
                <w:rFonts w:ascii="Arial" w:hAnsi="Arial"/>
                <w:b w:val="0"/>
                <w:sz w:val="16"/>
              </w:rPr>
              <w:t>Draft Promotional Review Policy and embedded legal comments/revisions concerning statutory risk, PRC role, speaker monitoring, pain-related training content, and Medical Affairs separation.</w:t>
            </w:r>
          </w:p>
        </w:tc>
        <w:tc>
          <w:tcPr>
            <w:tcW w:type="dxa" w:w="3096"/>
            <w:vAlign w:val="top"/>
            <w:tcMar>
              <w:top w:w="70" w:type="dxa"/>
              <w:start w:w="70" w:type="dxa"/>
              <w:bottom w:w="70" w:type="dxa"/>
              <w:end w:w="70" w:type="dxa"/>
            </w:tcMar>
          </w:tcPr>
          <w:p>
            <w:pPr>
              <w:spacing w:after="0" w:before="0" w:line="240" w:lineRule="auto"/>
            </w:pPr>
            <w:r/>
            <w:r>
              <w:rPr>
                <w:rFonts w:ascii="Arial" w:hAnsi="Arial"/>
                <w:b w:val="0"/>
                <w:sz w:val="16"/>
              </w:rPr>
              <w:t>Attorney-client privilege for embedded legal advice/comments; Ridgeline.</w:t>
            </w:r>
          </w:p>
        </w:tc>
        <w:tc>
          <w:tcPr>
            <w:tcW w:type="dxa" w:w="3888"/>
            <w:vAlign w:val="top"/>
            <w:tcMar>
              <w:top w:w="70" w:type="dxa"/>
              <w:start w:w="70" w:type="dxa"/>
              <w:bottom w:w="70" w:type="dxa"/>
              <w:end w:w="70" w:type="dxa"/>
            </w:tcMar>
          </w:tcPr>
          <w:p>
            <w:pPr>
              <w:spacing w:after="0" w:before="0" w:line="240" w:lineRule="auto"/>
            </w:pPr>
            <w:r/>
            <w:r>
              <w:rPr>
                <w:rFonts w:ascii="Arial" w:hAnsi="Arial"/>
                <w:b w:val="0"/>
                <w:sz w:val="16"/>
              </w:rPr>
              <w:t>Partial claim limited to Viklund’s privileged comments, tracked changes and legal annotations. The clean policy text is an internal business/policy draft and is not claimed on this record. Produce/retain a clean copy if appropriate after redaction review.</w:t>
            </w:r>
          </w:p>
        </w:tc>
      </w:tr>
    </w:tbl>
    <w:p>
      <w:pPr>
        <w:spacing w:before="200" w:after="80"/>
      </w:pPr>
      <w:r>
        <w:rPr>
          <w:rFonts w:ascii="Arial" w:hAnsi="Arial"/>
          <w:b/>
          <w:color w:val="17365D"/>
          <w:sz w:val="22"/>
        </w:rPr>
        <w:t>FLAGGED SETS REVIEWED — NOT CURRENTLY PROPOSED FOR CLAWBACK</w:t>
      </w:r>
    </w:p>
    <w:tbl>
      <w:tblPr>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1944"/>
            <w:shd w:fill="17365D"/>
            <w:vAlign w:val="top"/>
            <w:tcMar>
              <w:top w:w="70" w:type="dxa"/>
              <w:start w:w="70" w:type="dxa"/>
              <w:bottom w:w="70" w:type="dxa"/>
              <w:end w:w="70" w:type="dxa"/>
            </w:tcMar>
          </w:tcPr>
          <w:p>
            <w:pPr>
              <w:spacing w:after="0" w:before="0" w:line="240" w:lineRule="auto"/>
            </w:pPr>
            <w:r/>
            <w:r>
              <w:rPr>
                <w:rFonts w:ascii="Arial" w:hAnsi="Arial"/>
                <w:b/>
                <w:color w:val="FFFFFF"/>
                <w:sz w:val="17"/>
              </w:rPr>
              <w:t>Bates range</w:t>
            </w:r>
          </w:p>
        </w:tc>
        <w:tc>
          <w:tcPr>
            <w:tcW w:type="dxa" w:w="1944"/>
            <w:shd w:fill="17365D"/>
            <w:vAlign w:val="top"/>
            <w:tcMar>
              <w:top w:w="70" w:type="dxa"/>
              <w:start w:w="70" w:type="dxa"/>
              <w:bottom w:w="70" w:type="dxa"/>
              <w:end w:w="70" w:type="dxa"/>
            </w:tcMar>
          </w:tcPr>
          <w:p>
            <w:pPr>
              <w:spacing w:after="0" w:before="0" w:line="240" w:lineRule="auto"/>
            </w:pPr>
            <w:r/>
            <w:r>
              <w:rPr>
                <w:rFonts w:ascii="Arial" w:hAnsi="Arial"/>
                <w:b/>
                <w:color w:val="FFFFFF"/>
                <w:sz w:val="17"/>
              </w:rPr>
              <w:t>Date / type</w:t>
            </w:r>
          </w:p>
        </w:tc>
        <w:tc>
          <w:tcPr>
            <w:tcW w:type="dxa" w:w="3672"/>
            <w:shd w:fill="17365D"/>
            <w:vAlign w:val="top"/>
            <w:tcMar>
              <w:top w:w="70" w:type="dxa"/>
              <w:start w:w="70" w:type="dxa"/>
              <w:bottom w:w="70" w:type="dxa"/>
              <w:end w:w="70" w:type="dxa"/>
            </w:tcMar>
          </w:tcPr>
          <w:p>
            <w:pPr>
              <w:spacing w:after="0" w:before="0" w:line="240" w:lineRule="auto"/>
            </w:pPr>
            <w:r/>
            <w:r>
              <w:rPr>
                <w:rFonts w:ascii="Arial" w:hAnsi="Arial"/>
                <w:b/>
                <w:color w:val="FFFFFF"/>
                <w:sz w:val="17"/>
              </w:rPr>
              <w:t>Author(s) / recipient(s)</w:t>
            </w:r>
          </w:p>
        </w:tc>
        <w:tc>
          <w:tcPr>
            <w:tcW w:type="dxa" w:w="6984"/>
            <w:shd w:fill="17365D"/>
            <w:vAlign w:val="top"/>
            <w:tcMar>
              <w:top w:w="70" w:type="dxa"/>
              <w:start w:w="70" w:type="dxa"/>
              <w:bottom w:w="70" w:type="dxa"/>
              <w:end w:w="70" w:type="dxa"/>
            </w:tcMar>
          </w:tcPr>
          <w:p>
            <w:pPr>
              <w:spacing w:after="0" w:before="0" w:line="240" w:lineRule="auto"/>
            </w:pPr>
            <w:r/>
            <w:r>
              <w:rPr>
                <w:rFonts w:ascii="Arial" w:hAnsi="Arial"/>
                <w:b/>
                <w:color w:val="FFFFFF"/>
                <w:sz w:val="17"/>
              </w:rPr>
              <w:t>Reason not claimed on present record</w:t>
            </w:r>
          </w:p>
        </w:tc>
      </w:tr>
      <w:tr>
        <w:trPr>
          <w:cantSplit/>
        </w:trPr>
        <w:tc>
          <w:tcPr>
            <w:tcW w:type="dxa" w:w="1944"/>
            <w:shd w:fill="F4F7FA"/>
            <w:vAlign w:val="top"/>
            <w:tcMar>
              <w:top w:w="70" w:type="dxa"/>
              <w:start w:w="70" w:type="dxa"/>
              <w:bottom w:w="70" w:type="dxa"/>
              <w:end w:w="70" w:type="dxa"/>
            </w:tcMar>
          </w:tcPr>
          <w:p>
            <w:pPr>
              <w:spacing w:after="0" w:before="0" w:line="240" w:lineRule="auto"/>
            </w:pPr>
            <w:r/>
            <w:r>
              <w:rPr>
                <w:rFonts w:ascii="Arial" w:hAnsi="Arial"/>
                <w:b w:val="0"/>
                <w:sz w:val="16"/>
              </w:rPr>
              <w:t>RDGL-00020231–00020234</w:t>
            </w:r>
          </w:p>
        </w:tc>
        <w:tc>
          <w:tcPr>
            <w:tcW w:type="dxa" w:w="1944"/>
            <w:shd w:fill="F4F7FA"/>
            <w:vAlign w:val="top"/>
            <w:tcMar>
              <w:top w:w="70" w:type="dxa"/>
              <w:start w:w="70" w:type="dxa"/>
              <w:bottom w:w="70" w:type="dxa"/>
              <w:end w:w="70" w:type="dxa"/>
            </w:tcMar>
          </w:tcPr>
          <w:p>
            <w:pPr>
              <w:spacing w:after="0" w:before="0" w:line="240" w:lineRule="auto"/>
            </w:pPr>
            <w:r/>
            <w:r>
              <w:rPr>
                <w:rFonts w:ascii="Arial" w:hAnsi="Arial"/>
                <w:b w:val="0"/>
                <w:sz w:val="16"/>
              </w:rPr>
              <w:t>Mar. 15–17, 2022</w:t>
              <w:br/>
              <w:t>Forwarded legal memo / email</w:t>
            </w:r>
          </w:p>
        </w:tc>
        <w:tc>
          <w:tcPr>
            <w:tcW w:type="dxa" w:w="3672"/>
            <w:shd w:fill="F4F7FA"/>
            <w:vAlign w:val="top"/>
            <w:tcMar>
              <w:top w:w="70" w:type="dxa"/>
              <w:start w:w="70" w:type="dxa"/>
              <w:bottom w:w="70" w:type="dxa"/>
              <w:end w:w="70" w:type="dxa"/>
            </w:tcMar>
          </w:tcPr>
          <w:p>
            <w:pPr>
              <w:spacing w:after="0" w:before="0" w:line="240" w:lineRule="auto"/>
            </w:pPr>
            <w:r/>
            <w:r>
              <w:rPr>
                <w:rFonts w:ascii="Arial" w:hAnsi="Arial"/>
                <w:b w:val="0"/>
                <w:sz w:val="16"/>
              </w:rPr>
              <w:t>Thomas Viklund memo forwarded by Kevin Lassiter to Dr. Anita Deshmukh, external physician; no common-interest or confidentiality restriction shown.</w:t>
            </w:r>
          </w:p>
        </w:tc>
        <w:tc>
          <w:tcPr>
            <w:tcW w:type="dxa" w:w="6984"/>
            <w:shd w:fill="F4F7FA"/>
            <w:vAlign w:val="top"/>
            <w:tcMar>
              <w:top w:w="70" w:type="dxa"/>
              <w:start w:w="70" w:type="dxa"/>
              <w:bottom w:w="70" w:type="dxa"/>
              <w:end w:w="70" w:type="dxa"/>
            </w:tcMar>
          </w:tcPr>
          <w:p>
            <w:pPr>
              <w:spacing w:after="0" w:before="0" w:line="240" w:lineRule="auto"/>
            </w:pPr>
            <w:r/>
            <w:r>
              <w:rPr>
                <w:rFonts w:ascii="Arial" w:hAnsi="Arial"/>
                <w:b w:val="0"/>
                <w:sz w:val="16"/>
              </w:rPr>
              <w:t>The privileged in-house legal memo was voluntarily forwarded outside Ridgeline with a request for the physician’s views. Attorney-client privilege is likely waived; no basis for common interest is apparent. Work-product waiver also presents substantial risk. Do not seek clawback absent new evidence that disclosure was controlled and consistent with maintaining secrecy.</w:t>
            </w:r>
          </w:p>
        </w:tc>
      </w:tr>
      <w:tr>
        <w:trPr>
          <w:cantSplit/>
        </w:trPr>
        <w:tc>
          <w:tcPr>
            <w:tcW w:type="dxa" w:w="1944"/>
            <w:shd w:fill="F4F7FA"/>
            <w:vAlign w:val="top"/>
            <w:tcMar>
              <w:top w:w="70" w:type="dxa"/>
              <w:start w:w="70" w:type="dxa"/>
              <w:bottom w:w="70" w:type="dxa"/>
              <w:end w:w="70" w:type="dxa"/>
            </w:tcMar>
          </w:tcPr>
          <w:p>
            <w:pPr>
              <w:spacing w:after="0" w:before="0" w:line="240" w:lineRule="auto"/>
            </w:pPr>
            <w:r/>
            <w:r>
              <w:rPr>
                <w:rFonts w:ascii="Arial" w:hAnsi="Arial"/>
                <w:b w:val="0"/>
                <w:sz w:val="16"/>
              </w:rPr>
              <w:t>RDGL-00020488–00020489</w:t>
            </w:r>
          </w:p>
        </w:tc>
        <w:tc>
          <w:tcPr>
            <w:tcW w:type="dxa" w:w="1944"/>
            <w:shd w:fill="F4F7FA"/>
            <w:vAlign w:val="top"/>
            <w:tcMar>
              <w:top w:w="70" w:type="dxa"/>
              <w:start w:w="70" w:type="dxa"/>
              <w:bottom w:w="70" w:type="dxa"/>
              <w:end w:w="70" w:type="dxa"/>
            </w:tcMar>
          </w:tcPr>
          <w:p>
            <w:pPr>
              <w:spacing w:after="0" w:before="0" w:line="240" w:lineRule="auto"/>
            </w:pPr>
            <w:r/>
            <w:r>
              <w:rPr>
                <w:rFonts w:ascii="Arial" w:hAnsi="Arial"/>
                <w:b w:val="0"/>
                <w:sz w:val="16"/>
              </w:rPr>
              <w:t>Mar. 28 &amp; Apr. 12, 2023</w:t>
              <w:br/>
              <w:t>FDA correspondence / internal forward</w:t>
            </w:r>
          </w:p>
        </w:tc>
        <w:tc>
          <w:tcPr>
            <w:tcW w:type="dxa" w:w="3672"/>
            <w:shd w:fill="F4F7FA"/>
            <w:vAlign w:val="top"/>
            <w:tcMar>
              <w:top w:w="70" w:type="dxa"/>
              <w:start w:w="70" w:type="dxa"/>
              <w:bottom w:w="70" w:type="dxa"/>
              <w:end w:w="70" w:type="dxa"/>
            </w:tcMar>
          </w:tcPr>
          <w:p>
            <w:pPr>
              <w:spacing w:after="0" w:before="0" w:line="240" w:lineRule="auto"/>
            </w:pPr>
            <w:r/>
            <w:r>
              <w:rPr>
                <w:rFonts w:ascii="Arial" w:hAnsi="Arial"/>
                <w:b w:val="0"/>
                <w:sz w:val="16"/>
              </w:rPr>
              <w:t>Raymond Ochoa to FDA-CDER, then forwarded to Kevin Lassiter.</w:t>
            </w:r>
          </w:p>
        </w:tc>
        <w:tc>
          <w:tcPr>
            <w:tcW w:type="dxa" w:w="6984"/>
            <w:shd w:fill="F4F7FA"/>
            <w:vAlign w:val="top"/>
            <w:tcMar>
              <w:top w:w="70" w:type="dxa"/>
              <w:start w:w="70" w:type="dxa"/>
              <w:bottom w:w="70" w:type="dxa"/>
              <w:end w:w="70" w:type="dxa"/>
            </w:tcMar>
          </w:tcPr>
          <w:p>
            <w:pPr>
              <w:spacing w:after="0" w:before="0" w:line="240" w:lineRule="auto"/>
            </w:pPr>
            <w:r/>
            <w:r>
              <w:rPr>
                <w:rFonts w:ascii="Arial" w:hAnsi="Arial"/>
                <w:b w:val="0"/>
                <w:sz w:val="16"/>
              </w:rPr>
              <w:t>Substantive document is a regulatory submission voluntarily sent to FDA; internal forward is informational. No privileged legal advice is apparent. QC itself states original code is unclear; verify audit trail, but do not claim on the text reviewed.</w:t>
            </w:r>
          </w:p>
        </w:tc>
      </w:tr>
    </w:tbl>
    <w:sectPr w:rsidR="00FC693F" w:rsidRPr="0006063C" w:rsidSect="00034616">
      <w:headerReference w:type="default" r:id="rId9"/>
      <w:footerReference w:type="default" r:id="rId10"/>
      <w:pgSz w:w="15840" w:h="12240" w:orient="landscape"/>
      <w:pgMar w:top="936"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666666"/>
        <w:sz w:val="16"/>
      </w:rPr>
      <w:t xml:space="preserve">Ridgeline Therapeutics | DOJ Investigation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b/>
        <w:color w:val="8B1E1E"/>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