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UNITED STATES DISTRICT COURT FOR THE DISTRICT OF NEW JERSEY</w:t>
      </w:r>
    </w:p>
    <w:p>
      <w:pPr>
        <w:jc w:val="center"/>
      </w:pPr>
      <w:r>
        <w:rPr>
          <w:sz w:val="20"/>
        </w:rPr>
        <w:t>In re: Grand Jury Subpoena No. GJ-2024-00417 — Case No. 2:24-gj-00417-ML (Hon. Margaret Liu)</w:t>
      </w:r>
    </w:p>
    <w:p>
      <w:pPr>
        <w:jc w:val="center"/>
      </w:pPr>
      <w:r>
        <w:rPr>
          <w:b/>
          <w:sz w:val="22"/>
        </w:rPr>
        <w:t>RESPONDENT RIDGELINE THERAPEUTICS, INC.</w:t>
        <w:br/>
        <w:t>PRIVILEGE LOG — CLAWBACK OF INADVERTENTLY PRODUCED DOCUMENTS (PRODUCTION 3, RDGL-00019720 – RDGL-00022019)</w:t>
      </w:r>
    </w:p>
    <w:p>
      <w:pPr>
        <w:jc w:val="center"/>
      </w:pPr>
      <w:r>
        <w:rPr>
          <w:i/>
          <w:color w:val="C00000"/>
          <w:sz w:val="18"/>
        </w:rPr>
        <w:t>DRAFT FOR PARTNER REVIEW — June 18, 2024 — Not for service until approved by C. Ellsworth</w:t>
      </w:r>
    </w:p>
    <w:p>
      <w:pPr>
        <w:pStyle w:val="Heading2"/>
      </w:pPr>
      <w:r>
        <w:t>Preliminary Statement</w:t>
      </w:r>
    </w:p>
    <w:p>
      <w:r>
        <w:rPr>
          <w:b w:val="0"/>
        </w:rPr>
        <w:t>Ridgeline Therapeutics, Inc. ("Ridgeline") submits this log pursuant to Section IV.B.2(iv) of the Stipulated Confidentiality and Clawback Order entered February 28, 2024 (the "Order") and Instruction C of Grand Jury Subpoena No. GJ-2024-00417. Each entry below identifies a document, or portion of a document, produced in Production 3 (June 10, 2024) that is protected by the attorney-client privilege and/or the work product doctrine and was produced inadvertently as a result of a software defect in the e-discovery vendor's email-threading propagation script (NB-RelScript-Thread-v4.2.1), which overwrote privilege designations that Ridgeline's reviewing attorneys had applied.</w:t>
      </w:r>
    </w:p>
    <w:p>
      <w:r>
        <w:rPr>
          <w:b w:val="0"/>
        </w:rPr>
        <w:t xml:space="preserve">Production and non-waiver are governed by Fed. R. Evid. 502(d) and Section IV of the Order. Ridgeline elects that the Government </w:t>
      </w:r>
      <w:r>
        <w:rPr>
          <w:b/>
        </w:rPr>
        <w:t>return or destroy</w:t>
      </w:r>
      <w:r>
        <w:rPr>
          <w:b w:val="0"/>
        </w:rPr>
        <w:t xml:space="preserve"> all copies of the documents identified below (including any copies in review databases, work files, or in the possession of agents) and certify compliance within five (5) business days under Section IV.C.1. Where a document is only partially privileged, Ridgeline will provide a replacement image bearing the same Bates numbers with the privileged portions redacted and marked "REDACTED — PRIVILEGED."</w:t>
      </w:r>
    </w:p>
    <w:p>
      <w:r>
        <w:rPr>
          <w:b w:val="0"/>
        </w:rPr>
        <w:t xml:space="preserve">Abbreviations: </w:t>
      </w:r>
      <w:r>
        <w:rPr>
          <w:b/>
        </w:rPr>
        <w:t>AC</w:t>
      </w:r>
      <w:r>
        <w:rPr>
          <w:b w:val="0"/>
        </w:rPr>
        <w:t xml:space="preserve"> = attorney-client privilege; </w:t>
      </w:r>
      <w:r>
        <w:rPr>
          <w:b/>
        </w:rPr>
        <w:t>WP</w:t>
      </w:r>
      <w:r>
        <w:rPr>
          <w:b w:val="0"/>
        </w:rPr>
        <w:t xml:space="preserve"> = attorney work product (opinion unless noted); </w:t>
      </w:r>
      <w:r>
        <w:rPr>
          <w:b/>
        </w:rPr>
        <w:t>CI</w:t>
      </w:r>
      <w:r>
        <w:rPr>
          <w:b w:val="0"/>
        </w:rPr>
        <w:t xml:space="preserve"> = common-interest doctrine; </w:t>
      </w:r>
      <w:r>
        <w:rPr>
          <w:b/>
        </w:rPr>
        <w:t>Esq.</w:t>
      </w:r>
      <w:r>
        <w:rPr>
          <w:b w:val="0"/>
        </w:rPr>
        <w:t xml:space="preserve"> denotes an attorney. Ridgeline personnel: Priya Nagarajan, Esq. (General Counsel); Thomas Viklund, Esq. (Deputy General Counsel); Dr. Kevin Lassiter (VP, Medical Affairs); Raymond Ochoa (VP, Regulatory Affairs); Sandra Mullins (Director, Sales Training); Janet Correa (then-VP, Commercial Operations); Dr. Marcus Ashworth (CEO); Helen Pak-Morrison (Independent Director; Chair, Audit Committee). Outside counsel: Andrew Metcalf, Esq. (Kendrick Sable LLP, counsel to J. Correa); Rachel Greenwald, Esq. (Waverly Stone LLP, counsel to the Audit Committee).</w:t>
      </w:r>
    </w:p>
    <w:p>
      <w:pPr>
        <w:pStyle w:val="Heading2"/>
      </w:pPr>
      <w:r>
        <w:t>Part A — Documents Clawed Back</w:t>
      </w:r>
    </w:p>
    <w:tbl>
      <w:tblPr>
        <w:tblStyle w:val="TableGrid"/>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648"/>
            <w:shd w:val="clear" w:color="auto" w:fill="D9D9D9"/>
          </w:tcPr>
          <w:p>
            <w:r/>
            <w:r>
              <w:rPr>
                <w:b/>
                <w:sz w:val="15"/>
              </w:rPr>
              <w:t>Log No.</w:t>
            </w:r>
          </w:p>
        </w:tc>
        <w:tc>
          <w:tcPr>
            <w:tcW w:type="dxa" w:w="1440"/>
            <w:shd w:val="clear" w:color="auto" w:fill="D9D9D9"/>
          </w:tcPr>
          <w:p>
            <w:r/>
            <w:r>
              <w:rPr>
                <w:b/>
                <w:sz w:val="15"/>
              </w:rPr>
              <w:t>Bates Range</w:t>
            </w:r>
          </w:p>
        </w:tc>
        <w:tc>
          <w:tcPr>
            <w:tcW w:type="dxa" w:w="1080"/>
            <w:shd w:val="clear" w:color="auto" w:fill="D9D9D9"/>
          </w:tcPr>
          <w:p>
            <w:r/>
            <w:r>
              <w:rPr>
                <w:b/>
                <w:sz w:val="15"/>
              </w:rPr>
              <w:t>Date</w:t>
            </w:r>
          </w:p>
        </w:tc>
        <w:tc>
          <w:tcPr>
            <w:tcW w:type="dxa" w:w="1008"/>
            <w:shd w:val="clear" w:color="auto" w:fill="D9D9D9"/>
          </w:tcPr>
          <w:p>
            <w:r/>
            <w:r>
              <w:rPr>
                <w:b/>
                <w:sz w:val="15"/>
              </w:rPr>
              <w:t>Doc Type</w:t>
            </w:r>
          </w:p>
        </w:tc>
        <w:tc>
          <w:tcPr>
            <w:tcW w:type="dxa" w:w="1440"/>
            <w:shd w:val="clear" w:color="auto" w:fill="D9D9D9"/>
          </w:tcPr>
          <w:p>
            <w:r/>
            <w:r>
              <w:rPr>
                <w:b/>
                <w:sz w:val="15"/>
              </w:rPr>
              <w:t>Author / From</w:t>
            </w:r>
          </w:p>
        </w:tc>
        <w:tc>
          <w:tcPr>
            <w:tcW w:type="dxa" w:w="1872"/>
            <w:shd w:val="clear" w:color="auto" w:fill="D9D9D9"/>
          </w:tcPr>
          <w:p>
            <w:r/>
            <w:r>
              <w:rPr>
                <w:b/>
                <w:sz w:val="15"/>
              </w:rPr>
              <w:t>Recipients (To / CC)</w:t>
            </w:r>
          </w:p>
        </w:tc>
        <w:tc>
          <w:tcPr>
            <w:tcW w:type="dxa" w:w="3672"/>
            <w:shd w:val="clear" w:color="auto" w:fill="D9D9D9"/>
          </w:tcPr>
          <w:p>
            <w:r/>
            <w:r>
              <w:rPr>
                <w:b/>
                <w:sz w:val="15"/>
              </w:rPr>
              <w:t>Description of Subject Matter</w:t>
            </w:r>
          </w:p>
        </w:tc>
        <w:tc>
          <w:tcPr>
            <w:tcW w:type="dxa" w:w="1440"/>
            <w:shd w:val="clear" w:color="auto" w:fill="D9D9D9"/>
          </w:tcPr>
          <w:p>
            <w:r/>
            <w:r>
              <w:rPr>
                <w:b/>
                <w:sz w:val="15"/>
              </w:rPr>
              <w:t>Privilege; Holder</w:t>
            </w:r>
          </w:p>
        </w:tc>
        <w:tc>
          <w:tcPr>
            <w:tcW w:type="dxa" w:w="1224"/>
            <w:shd w:val="clear" w:color="auto" w:fill="D9D9D9"/>
          </w:tcPr>
          <w:p>
            <w:r/>
            <w:r>
              <w:rPr>
                <w:b/>
                <w:sz w:val="15"/>
              </w:rPr>
              <w:t>Treatment Requested</w:t>
            </w:r>
          </w:p>
        </w:tc>
      </w:tr>
      <w:tr>
        <w:tc>
          <w:tcPr>
            <w:tcW w:type="dxa" w:w="648"/>
          </w:tcPr>
          <w:p>
            <w:pPr>
              <w:spacing w:after="40"/>
            </w:pPr>
            <w:r>
              <w:rPr>
                <w:sz w:val="15"/>
              </w:rPr>
            </w:r>
            <w:r>
              <w:rPr>
                <w:b w:val="0"/>
                <w:sz w:val="15"/>
              </w:rPr>
              <w:t>PL-001</w:t>
            </w:r>
          </w:p>
        </w:tc>
        <w:tc>
          <w:tcPr>
            <w:tcW w:type="dxa" w:w="1440"/>
          </w:tcPr>
          <w:p>
            <w:pPr>
              <w:spacing w:after="40"/>
            </w:pPr>
            <w:r>
              <w:rPr>
                <w:sz w:val="15"/>
              </w:rPr>
            </w:r>
            <w:r>
              <w:rPr>
                <w:b w:val="0"/>
                <w:sz w:val="15"/>
              </w:rPr>
              <w:t>RDGL-00020231 – RDGL-00020234 (embedded message beginning on 20231)</w:t>
            </w:r>
          </w:p>
        </w:tc>
        <w:tc>
          <w:tcPr>
            <w:tcW w:type="dxa" w:w="1080"/>
          </w:tcPr>
          <w:p>
            <w:pPr>
              <w:spacing w:after="40"/>
            </w:pPr>
            <w:r>
              <w:rPr>
                <w:sz w:val="15"/>
              </w:rPr>
            </w:r>
            <w:r>
              <w:rPr>
                <w:b w:val="0"/>
                <w:sz w:val="15"/>
              </w:rPr>
              <w:t>03/15/2022 (embedded); forwarded 03/17/2022</w:t>
            </w:r>
          </w:p>
        </w:tc>
        <w:tc>
          <w:tcPr>
            <w:tcW w:type="dxa" w:w="1008"/>
          </w:tcPr>
          <w:p>
            <w:pPr>
              <w:spacing w:after="40"/>
            </w:pPr>
            <w:r>
              <w:rPr>
                <w:sz w:val="15"/>
              </w:rPr>
            </w:r>
            <w:r>
              <w:rPr>
                <w:b w:val="0"/>
                <w:sz w:val="15"/>
              </w:rPr>
              <w:t>Email memorandum embedded in forwarded email</w:t>
            </w:r>
          </w:p>
        </w:tc>
        <w:tc>
          <w:tcPr>
            <w:tcW w:type="dxa" w:w="1440"/>
          </w:tcPr>
          <w:p>
            <w:pPr>
              <w:spacing w:after="40"/>
            </w:pPr>
            <w:r>
              <w:rPr>
                <w:sz w:val="15"/>
              </w:rPr>
            </w:r>
            <w:r>
              <w:rPr>
                <w:b w:val="0"/>
                <w:sz w:val="15"/>
              </w:rPr>
              <w:t>Thomas Viklund, Esq.</w:t>
            </w:r>
          </w:p>
        </w:tc>
        <w:tc>
          <w:tcPr>
            <w:tcW w:type="dxa" w:w="1872"/>
          </w:tcPr>
          <w:p>
            <w:pPr>
              <w:spacing w:after="40"/>
            </w:pPr>
            <w:r>
              <w:rPr>
                <w:sz w:val="15"/>
              </w:rPr>
            </w:r>
            <w:r>
              <w:rPr>
                <w:b w:val="0"/>
                <w:sz w:val="15"/>
              </w:rPr>
              <w:t>To: Dr. Kevin Lassiter</w:t>
            </w:r>
          </w:p>
          <w:p>
            <w:pPr>
              <w:spacing w:after="40"/>
            </w:pPr>
            <w:r>
              <w:rPr>
                <w:b w:val="0"/>
                <w:sz w:val="15"/>
              </w:rPr>
              <w:t>(Forwarded 03/17/2022 by Dr. Lassiter to Dr. Anita Deshmukh, external physician)</w:t>
            </w:r>
          </w:p>
        </w:tc>
        <w:tc>
          <w:tcPr>
            <w:tcW w:type="dxa" w:w="3672"/>
          </w:tcPr>
          <w:p>
            <w:pPr>
              <w:spacing w:after="40"/>
            </w:pPr>
            <w:r>
              <w:rPr>
                <w:sz w:val="15"/>
              </w:rPr>
            </w:r>
            <w:r>
              <w:rPr>
                <w:b w:val="0"/>
                <w:sz w:val="15"/>
              </w:rPr>
              <w:t>Confidential memorandum from Deputy General Counsel, prepared at request of Medical Affairs, rendering legal analysis of proposed Veratrine XR national speaker program (topics, slide content, audience criteria) under the FDCA, Anti-Kickback Statute and False Claims Act, assessing legal exposure and recommending modifications. Marked "Attorney-Client Privileged and Confidential" with express instruction not to distribute outside the Legal Department.</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Replacement image to be produced with 03/15/2022 memorandum redacted; 03/17/2022 Lassiter cover note produced unredacted.</w:t>
            </w:r>
          </w:p>
        </w:tc>
      </w:tr>
      <w:tr>
        <w:tc>
          <w:tcPr>
            <w:tcW w:type="dxa" w:w="648"/>
          </w:tcPr>
          <w:p>
            <w:pPr>
              <w:spacing w:after="40"/>
            </w:pPr>
            <w:r>
              <w:rPr>
                <w:sz w:val="15"/>
              </w:rPr>
            </w:r>
            <w:r>
              <w:rPr>
                <w:b w:val="0"/>
                <w:sz w:val="15"/>
              </w:rPr>
              <w:t>PL-002</w:t>
            </w:r>
          </w:p>
        </w:tc>
        <w:tc>
          <w:tcPr>
            <w:tcW w:type="dxa" w:w="1440"/>
          </w:tcPr>
          <w:p>
            <w:pPr>
              <w:spacing w:after="40"/>
            </w:pPr>
            <w:r>
              <w:rPr>
                <w:sz w:val="15"/>
              </w:rPr>
            </w:r>
            <w:r>
              <w:rPr>
                <w:b w:val="0"/>
                <w:sz w:val="15"/>
              </w:rPr>
              <w:t>RDGL-00020343 (portion)</w:t>
            </w:r>
          </w:p>
        </w:tc>
        <w:tc>
          <w:tcPr>
            <w:tcW w:type="dxa" w:w="1080"/>
          </w:tcPr>
          <w:p>
            <w:pPr>
              <w:spacing w:after="40"/>
            </w:pPr>
            <w:r>
              <w:rPr>
                <w:sz w:val="15"/>
              </w:rPr>
            </w:r>
            <w:r>
              <w:rPr>
                <w:b w:val="0"/>
                <w:sz w:val="15"/>
              </w:rPr>
              <w:t>07/26/2022</w:t>
            </w:r>
          </w:p>
        </w:tc>
        <w:tc>
          <w:tcPr>
            <w:tcW w:type="dxa" w:w="1008"/>
          </w:tcPr>
          <w:p>
            <w:pPr>
              <w:spacing w:after="40"/>
            </w:pPr>
            <w:r>
              <w:rPr>
                <w:sz w:val="15"/>
              </w:rPr>
            </w:r>
            <w:r>
              <w:rPr>
                <w:b w:val="0"/>
                <w:sz w:val="15"/>
              </w:rPr>
              <w:t>Email (within thread RDGL-00020340 – 20353)</w:t>
            </w:r>
          </w:p>
        </w:tc>
        <w:tc>
          <w:tcPr>
            <w:tcW w:type="dxa" w:w="1440"/>
          </w:tcPr>
          <w:p>
            <w:pPr>
              <w:spacing w:after="40"/>
            </w:pPr>
            <w:r>
              <w:rPr>
                <w:sz w:val="15"/>
              </w:rPr>
            </w:r>
            <w:r>
              <w:rPr>
                <w:b w:val="0"/>
                <w:sz w:val="15"/>
              </w:rPr>
              <w:t>Sandra Mullins</w:t>
            </w:r>
          </w:p>
        </w:tc>
        <w:tc>
          <w:tcPr>
            <w:tcW w:type="dxa" w:w="1872"/>
          </w:tcPr>
          <w:p>
            <w:pPr>
              <w:spacing w:after="40"/>
            </w:pPr>
            <w:r>
              <w:rPr>
                <w:sz w:val="15"/>
              </w:rPr>
            </w:r>
            <w:r>
              <w:rPr>
                <w:b w:val="0"/>
                <w:sz w:val="15"/>
              </w:rPr>
              <w:t>To: Janet Correa; Dr. Kevin Lassiter; Raymond Ochoa; Thomas Viklund, Esq.</w:t>
            </w:r>
          </w:p>
        </w:tc>
        <w:tc>
          <w:tcPr>
            <w:tcW w:type="dxa" w:w="3672"/>
          </w:tcPr>
          <w:p>
            <w:pPr>
              <w:spacing w:after="40"/>
            </w:pPr>
            <w:r>
              <w:rPr>
                <w:sz w:val="15"/>
              </w:rPr>
            </w:r>
            <w:r>
              <w:rPr>
                <w:b w:val="0"/>
                <w:sz w:val="15"/>
              </w:rPr>
              <w:t>Opening two sentences of message relaying and implementing legal advice of Deputy General Counsel regarding use of published clinical literature in promotional detail aid. Remainder of message (competitive talking points, sales meeting logistics) not withheld.</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thread; produce replacement with this portion redacted.</w:t>
            </w:r>
          </w:p>
        </w:tc>
      </w:tr>
      <w:tr>
        <w:tc>
          <w:tcPr>
            <w:tcW w:type="dxa" w:w="648"/>
          </w:tcPr>
          <w:p>
            <w:pPr>
              <w:spacing w:after="40"/>
            </w:pPr>
            <w:r>
              <w:rPr>
                <w:sz w:val="15"/>
              </w:rPr>
            </w:r>
            <w:r>
              <w:rPr>
                <w:b w:val="0"/>
                <w:sz w:val="15"/>
              </w:rPr>
              <w:t>PL-003</w:t>
            </w:r>
          </w:p>
        </w:tc>
        <w:tc>
          <w:tcPr>
            <w:tcW w:type="dxa" w:w="1440"/>
          </w:tcPr>
          <w:p>
            <w:pPr>
              <w:spacing w:after="40"/>
            </w:pPr>
            <w:r>
              <w:rPr>
                <w:sz w:val="15"/>
              </w:rPr>
            </w:r>
            <w:r>
              <w:rPr>
                <w:b w:val="0"/>
                <w:sz w:val="15"/>
              </w:rPr>
              <w:t>RDGL-00020344</w:t>
            </w:r>
          </w:p>
        </w:tc>
        <w:tc>
          <w:tcPr>
            <w:tcW w:type="dxa" w:w="1080"/>
          </w:tcPr>
          <w:p>
            <w:pPr>
              <w:spacing w:after="40"/>
            </w:pPr>
            <w:r>
              <w:rPr>
                <w:sz w:val="15"/>
              </w:rPr>
            </w:r>
            <w:r>
              <w:rPr>
                <w:b w:val="0"/>
                <w:sz w:val="15"/>
              </w:rPr>
              <w:t>07/25/2022</w:t>
            </w:r>
          </w:p>
        </w:tc>
        <w:tc>
          <w:tcPr>
            <w:tcW w:type="dxa" w:w="1008"/>
          </w:tcPr>
          <w:p>
            <w:pPr>
              <w:spacing w:after="40"/>
            </w:pPr>
            <w:r>
              <w:rPr>
                <w:sz w:val="15"/>
              </w:rPr>
            </w:r>
            <w:r>
              <w:rPr>
                <w:b w:val="0"/>
                <w:sz w:val="15"/>
              </w:rPr>
              <w:t>Email (within thread RDGL-00020340 – 20353)</w:t>
            </w:r>
          </w:p>
        </w:tc>
        <w:tc>
          <w:tcPr>
            <w:tcW w:type="dxa" w:w="1440"/>
          </w:tcPr>
          <w:p>
            <w:pPr>
              <w:spacing w:after="40"/>
            </w:pPr>
            <w:r>
              <w:rPr>
                <w:sz w:val="15"/>
              </w:rPr>
            </w:r>
            <w:r>
              <w:rPr>
                <w:b w:val="0"/>
                <w:sz w:val="15"/>
              </w:rPr>
              <w:t>Thomas Viklund, Esq.</w:t>
            </w:r>
          </w:p>
        </w:tc>
        <w:tc>
          <w:tcPr>
            <w:tcW w:type="dxa" w:w="1872"/>
          </w:tcPr>
          <w:p>
            <w:pPr>
              <w:spacing w:after="40"/>
            </w:pPr>
            <w:r>
              <w:rPr>
                <w:sz w:val="15"/>
              </w:rPr>
            </w:r>
            <w:r>
              <w:rPr>
                <w:b w:val="0"/>
                <w:sz w:val="15"/>
              </w:rPr>
              <w:t>To: Raymond Ochoa; Janet Correa; Sandra Mullins; Dr. Kevin Lassiter</w:t>
            </w:r>
          </w:p>
        </w:tc>
        <w:tc>
          <w:tcPr>
            <w:tcW w:type="dxa" w:w="3672"/>
          </w:tcPr>
          <w:p>
            <w:pPr>
              <w:spacing w:after="40"/>
            </w:pPr>
            <w:r>
              <w:rPr>
                <w:sz w:val="15"/>
              </w:rPr>
            </w:r>
            <w:r>
              <w:rPr>
                <w:b w:val="0"/>
                <w:sz w:val="15"/>
              </w:rPr>
              <w:t>Deputy General Counsel's legal advice, in response to express request, regarding whether specified published study may be referenced in promotional detail aid under FDA promotional requirements.</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thread; produce replacement with message body redacted (header information unredacted).</w:t>
            </w:r>
          </w:p>
        </w:tc>
      </w:tr>
      <w:tr>
        <w:tc>
          <w:tcPr>
            <w:tcW w:type="dxa" w:w="648"/>
          </w:tcPr>
          <w:p>
            <w:pPr>
              <w:spacing w:after="40"/>
            </w:pPr>
            <w:r>
              <w:rPr>
                <w:sz w:val="15"/>
              </w:rPr>
            </w:r>
            <w:r>
              <w:rPr>
                <w:b w:val="0"/>
                <w:sz w:val="15"/>
              </w:rPr>
              <w:t>PL-004</w:t>
            </w:r>
          </w:p>
        </w:tc>
        <w:tc>
          <w:tcPr>
            <w:tcW w:type="dxa" w:w="1440"/>
          </w:tcPr>
          <w:p>
            <w:pPr>
              <w:spacing w:after="40"/>
            </w:pPr>
            <w:r>
              <w:rPr>
                <w:sz w:val="15"/>
              </w:rPr>
            </w:r>
            <w:r>
              <w:rPr>
                <w:b w:val="0"/>
                <w:sz w:val="15"/>
              </w:rPr>
              <w:t>RDGL-00020345 (portion)</w:t>
            </w:r>
          </w:p>
        </w:tc>
        <w:tc>
          <w:tcPr>
            <w:tcW w:type="dxa" w:w="1080"/>
          </w:tcPr>
          <w:p>
            <w:pPr>
              <w:spacing w:after="40"/>
            </w:pPr>
            <w:r>
              <w:rPr>
                <w:sz w:val="15"/>
              </w:rPr>
            </w:r>
            <w:r>
              <w:rPr>
                <w:b w:val="0"/>
                <w:sz w:val="15"/>
              </w:rPr>
              <w:t>07/25/2022</w:t>
            </w:r>
          </w:p>
        </w:tc>
        <w:tc>
          <w:tcPr>
            <w:tcW w:type="dxa" w:w="1008"/>
          </w:tcPr>
          <w:p>
            <w:pPr>
              <w:spacing w:after="40"/>
            </w:pPr>
            <w:r>
              <w:rPr>
                <w:sz w:val="15"/>
              </w:rPr>
            </w:r>
            <w:r>
              <w:rPr>
                <w:b w:val="0"/>
                <w:sz w:val="15"/>
              </w:rPr>
              <w:t>Email (within thread RDGL-00020340 – 20353)</w:t>
            </w:r>
          </w:p>
        </w:tc>
        <w:tc>
          <w:tcPr>
            <w:tcW w:type="dxa" w:w="1440"/>
          </w:tcPr>
          <w:p>
            <w:pPr>
              <w:spacing w:after="40"/>
            </w:pPr>
            <w:r>
              <w:rPr>
                <w:sz w:val="15"/>
              </w:rPr>
            </w:r>
            <w:r>
              <w:rPr>
                <w:b w:val="0"/>
                <w:sz w:val="15"/>
              </w:rPr>
              <w:t>Raymond Ochoa</w:t>
            </w:r>
          </w:p>
        </w:tc>
        <w:tc>
          <w:tcPr>
            <w:tcW w:type="dxa" w:w="1872"/>
          </w:tcPr>
          <w:p>
            <w:pPr>
              <w:spacing w:after="40"/>
            </w:pPr>
            <w:r>
              <w:rPr>
                <w:sz w:val="15"/>
              </w:rPr>
            </w:r>
            <w:r>
              <w:rPr>
                <w:b w:val="0"/>
                <w:sz w:val="15"/>
              </w:rPr>
              <w:t>To: Janet Correa; Sandra Mullins; Dr. Kevin Lassiter; Thomas Viklund, Esq.</w:t>
            </w:r>
          </w:p>
        </w:tc>
        <w:tc>
          <w:tcPr>
            <w:tcW w:type="dxa" w:w="3672"/>
          </w:tcPr>
          <w:p>
            <w:pPr>
              <w:spacing w:after="40"/>
            </w:pPr>
            <w:r>
              <w:rPr>
                <w:sz w:val="15"/>
              </w:rPr>
            </w:r>
            <w:r>
              <w:rPr>
                <w:b w:val="0"/>
                <w:sz w:val="15"/>
              </w:rPr>
              <w:t>Final two paragraphs: request directed to Deputy General Counsel for legal advice regarding content of promotional detail aid. Regulatory-affairs discussion in preceding paragraphs not withheld.</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thread; produce replacement with this portion redacted.</w:t>
            </w:r>
          </w:p>
        </w:tc>
      </w:tr>
      <w:tr>
        <w:tc>
          <w:tcPr>
            <w:tcW w:type="dxa" w:w="648"/>
          </w:tcPr>
          <w:p>
            <w:pPr>
              <w:spacing w:after="40"/>
            </w:pPr>
            <w:r>
              <w:rPr>
                <w:sz w:val="15"/>
              </w:rPr>
            </w:r>
            <w:r>
              <w:rPr>
                <w:b w:val="0"/>
                <w:sz w:val="15"/>
              </w:rPr>
              <w:t>PL-005</w:t>
            </w:r>
          </w:p>
        </w:tc>
        <w:tc>
          <w:tcPr>
            <w:tcW w:type="dxa" w:w="1440"/>
          </w:tcPr>
          <w:p>
            <w:pPr>
              <w:spacing w:after="40"/>
            </w:pPr>
            <w:r>
              <w:rPr>
                <w:sz w:val="15"/>
              </w:rPr>
            </w:r>
            <w:r>
              <w:rPr>
                <w:b w:val="0"/>
                <w:sz w:val="15"/>
              </w:rPr>
              <w:t>RDGL-00020346 (portion)</w:t>
            </w:r>
          </w:p>
        </w:tc>
        <w:tc>
          <w:tcPr>
            <w:tcW w:type="dxa" w:w="1080"/>
          </w:tcPr>
          <w:p>
            <w:pPr>
              <w:spacing w:after="40"/>
            </w:pPr>
            <w:r>
              <w:rPr>
                <w:sz w:val="15"/>
              </w:rPr>
            </w:r>
            <w:r>
              <w:rPr>
                <w:b w:val="0"/>
                <w:sz w:val="15"/>
              </w:rPr>
              <w:t>07/22/2022</w:t>
            </w:r>
          </w:p>
        </w:tc>
        <w:tc>
          <w:tcPr>
            <w:tcW w:type="dxa" w:w="1008"/>
          </w:tcPr>
          <w:p>
            <w:pPr>
              <w:spacing w:after="40"/>
            </w:pPr>
            <w:r>
              <w:rPr>
                <w:sz w:val="15"/>
              </w:rPr>
            </w:r>
            <w:r>
              <w:rPr>
                <w:b w:val="0"/>
                <w:sz w:val="15"/>
              </w:rPr>
              <w:t>Email (within thread RDGL-00020340 – 20353)</w:t>
            </w:r>
          </w:p>
        </w:tc>
        <w:tc>
          <w:tcPr>
            <w:tcW w:type="dxa" w:w="1440"/>
          </w:tcPr>
          <w:p>
            <w:pPr>
              <w:spacing w:after="40"/>
            </w:pPr>
            <w:r>
              <w:rPr>
                <w:sz w:val="15"/>
              </w:rPr>
            </w:r>
            <w:r>
              <w:rPr>
                <w:b w:val="0"/>
                <w:sz w:val="15"/>
              </w:rPr>
              <w:t>Janet Correa</w:t>
            </w:r>
          </w:p>
        </w:tc>
        <w:tc>
          <w:tcPr>
            <w:tcW w:type="dxa" w:w="1872"/>
          </w:tcPr>
          <w:p>
            <w:pPr>
              <w:spacing w:after="40"/>
            </w:pPr>
            <w:r>
              <w:rPr>
                <w:sz w:val="15"/>
              </w:rPr>
            </w:r>
            <w:r>
              <w:rPr>
                <w:b w:val="0"/>
                <w:sz w:val="15"/>
              </w:rPr>
              <w:t>To: Sandra Mullins; Dr. Kevin Lassiter; Raymond Ochoa; Thomas Viklund, Esq.</w:t>
            </w:r>
          </w:p>
        </w:tc>
        <w:tc>
          <w:tcPr>
            <w:tcW w:type="dxa" w:w="3672"/>
          </w:tcPr>
          <w:p>
            <w:pPr>
              <w:spacing w:after="40"/>
            </w:pPr>
            <w:r>
              <w:rPr>
                <w:sz w:val="15"/>
              </w:rPr>
            </w:r>
            <w:r>
              <w:rPr>
                <w:b w:val="0"/>
                <w:sz w:val="15"/>
              </w:rPr>
              <w:t>Closing paragraph requesting legal and regulatory advice from Deputy General Counsel regarding use of published study in promotional materials. Remainder (targets, budget reallocation) not withheld.</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thread; produce replacement with this portion redacted.</w:t>
            </w:r>
          </w:p>
        </w:tc>
      </w:tr>
      <w:tr>
        <w:tc>
          <w:tcPr>
            <w:tcW w:type="dxa" w:w="648"/>
          </w:tcPr>
          <w:p>
            <w:pPr>
              <w:spacing w:after="40"/>
            </w:pPr>
            <w:r>
              <w:rPr>
                <w:sz w:val="15"/>
              </w:rPr>
            </w:r>
            <w:r>
              <w:rPr>
                <w:b w:val="0"/>
                <w:sz w:val="15"/>
              </w:rPr>
              <w:t>PL-006</w:t>
            </w:r>
          </w:p>
        </w:tc>
        <w:tc>
          <w:tcPr>
            <w:tcW w:type="dxa" w:w="1440"/>
          </w:tcPr>
          <w:p>
            <w:pPr>
              <w:spacing w:after="40"/>
            </w:pPr>
            <w:r>
              <w:rPr>
                <w:sz w:val="15"/>
              </w:rPr>
            </w:r>
            <w:r>
              <w:rPr>
                <w:b w:val="0"/>
                <w:sz w:val="15"/>
              </w:rPr>
              <w:t>RDGL-00020401 – RDGL-00020402</w:t>
            </w:r>
          </w:p>
        </w:tc>
        <w:tc>
          <w:tcPr>
            <w:tcW w:type="dxa" w:w="1080"/>
          </w:tcPr>
          <w:p>
            <w:pPr>
              <w:spacing w:after="40"/>
            </w:pPr>
            <w:r>
              <w:rPr>
                <w:sz w:val="15"/>
              </w:rPr>
            </w:r>
            <w:r>
              <w:rPr>
                <w:b w:val="0"/>
                <w:sz w:val="15"/>
              </w:rPr>
              <w:t>08/03/2022 (request); reply undated on face — same day per content; date to be confirmed from metadata</w:t>
            </w:r>
          </w:p>
        </w:tc>
        <w:tc>
          <w:tcPr>
            <w:tcW w:type="dxa" w:w="1008"/>
          </w:tcPr>
          <w:p>
            <w:pPr>
              <w:spacing w:after="40"/>
            </w:pPr>
            <w:r>
              <w:rPr>
                <w:sz w:val="15"/>
              </w:rPr>
            </w:r>
            <w:r>
              <w:rPr>
                <w:b w:val="0"/>
                <w:sz w:val="15"/>
              </w:rPr>
              <w:t>Email chain (2 messages) with referenced draft slide deck</w:t>
            </w:r>
          </w:p>
        </w:tc>
        <w:tc>
          <w:tcPr>
            <w:tcW w:type="dxa" w:w="1440"/>
          </w:tcPr>
          <w:p>
            <w:pPr>
              <w:spacing w:after="40"/>
            </w:pPr>
            <w:r>
              <w:rPr>
                <w:sz w:val="15"/>
              </w:rPr>
            </w:r>
            <w:r>
              <w:rPr>
                <w:b w:val="0"/>
                <w:sz w:val="15"/>
              </w:rPr>
              <w:t>Sandra Mullins (request); Priya Nagarajan, Esq. (reply)</w:t>
            </w:r>
          </w:p>
        </w:tc>
        <w:tc>
          <w:tcPr>
            <w:tcW w:type="dxa" w:w="1872"/>
          </w:tcPr>
          <w:p>
            <w:pPr>
              <w:spacing w:after="40"/>
            </w:pPr>
            <w:r>
              <w:rPr>
                <w:sz w:val="15"/>
              </w:rPr>
            </w:r>
            <w:r>
              <w:rPr>
                <w:b w:val="0"/>
                <w:sz w:val="15"/>
              </w:rPr>
              <w:t>To: Priya Nagarajan, Esq. (request)</w:t>
            </w:r>
          </w:p>
          <w:p>
            <w:pPr>
              <w:spacing w:after="40"/>
            </w:pPr>
            <w:r>
              <w:rPr>
                <w:b w:val="0"/>
                <w:sz w:val="15"/>
              </w:rPr>
              <w:t>To: Sandra Mullins (reply)</w:t>
            </w:r>
          </w:p>
        </w:tc>
        <w:tc>
          <w:tcPr>
            <w:tcW w:type="dxa" w:w="3672"/>
          </w:tcPr>
          <w:p>
            <w:pPr>
              <w:spacing w:after="40"/>
            </w:pPr>
            <w:r>
              <w:rPr>
                <w:sz w:val="15"/>
              </w:rPr>
            </w:r>
            <w:r>
              <w:rPr>
                <w:b w:val="0"/>
                <w:sz w:val="15"/>
              </w:rPr>
              <w:t>Request by Sales Training for legal review of draft Q4 2022 speaker-program slide deck, and General Counsel's responsive legal advice regarding slide content, presentation of published and company-sponsored clinical data, speaker agreements and honoraria documentation. Request marked "Privileged &amp; Confidential — Attorney-Client Communication."</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in full.</w:t>
            </w:r>
          </w:p>
          <w:p>
            <w:pPr>
              <w:spacing w:after="40"/>
            </w:pPr>
            <w:r>
              <w:rPr>
                <w:b w:val="0"/>
                <w:sz w:val="15"/>
              </w:rPr>
              <w:t>[Internal: see Memo § III.D — assertion requires sign-off by unconflicted client decision-maker.]</w:t>
            </w:r>
          </w:p>
        </w:tc>
      </w:tr>
      <w:tr>
        <w:tc>
          <w:tcPr>
            <w:tcW w:type="dxa" w:w="648"/>
          </w:tcPr>
          <w:p>
            <w:pPr>
              <w:spacing w:after="40"/>
            </w:pPr>
            <w:r>
              <w:rPr>
                <w:sz w:val="15"/>
              </w:rPr>
            </w:r>
            <w:r>
              <w:rPr>
                <w:b w:val="0"/>
                <w:sz w:val="15"/>
              </w:rPr>
              <w:t>PL-007</w:t>
            </w:r>
          </w:p>
        </w:tc>
        <w:tc>
          <w:tcPr>
            <w:tcW w:type="dxa" w:w="1440"/>
          </w:tcPr>
          <w:p>
            <w:pPr>
              <w:spacing w:after="40"/>
            </w:pPr>
            <w:r>
              <w:rPr>
                <w:sz w:val="15"/>
              </w:rPr>
            </w:r>
            <w:r>
              <w:rPr>
                <w:b w:val="0"/>
                <w:sz w:val="15"/>
              </w:rPr>
              <w:t>RDGL-00020512 – RDGL-00020515</w:t>
            </w:r>
          </w:p>
        </w:tc>
        <w:tc>
          <w:tcPr>
            <w:tcW w:type="dxa" w:w="1080"/>
          </w:tcPr>
          <w:p>
            <w:pPr>
              <w:spacing w:after="40"/>
            </w:pPr>
            <w:r>
              <w:rPr>
                <w:sz w:val="15"/>
              </w:rPr>
            </w:r>
            <w:r>
              <w:rPr>
                <w:b w:val="0"/>
                <w:sz w:val="15"/>
              </w:rPr>
              <w:t>11/02/2023</w:t>
            </w:r>
          </w:p>
        </w:tc>
        <w:tc>
          <w:tcPr>
            <w:tcW w:type="dxa" w:w="1008"/>
          </w:tcPr>
          <w:p>
            <w:pPr>
              <w:spacing w:after="40"/>
            </w:pPr>
            <w:r>
              <w:rPr>
                <w:sz w:val="15"/>
              </w:rPr>
            </w:r>
            <w:r>
              <w:rPr>
                <w:b w:val="0"/>
                <w:sz w:val="15"/>
              </w:rPr>
              <w:t>Email chain (4 messages)</w:t>
            </w:r>
          </w:p>
        </w:tc>
        <w:tc>
          <w:tcPr>
            <w:tcW w:type="dxa" w:w="1440"/>
          </w:tcPr>
          <w:p>
            <w:pPr>
              <w:spacing w:after="40"/>
            </w:pPr>
            <w:r>
              <w:rPr>
                <w:sz w:val="15"/>
              </w:rPr>
            </w:r>
            <w:r>
              <w:rPr>
                <w:b w:val="0"/>
                <w:sz w:val="15"/>
              </w:rPr>
              <w:t>Priya Nagarajan, Esq.; Andrew Metcalf, Esq.</w:t>
            </w:r>
          </w:p>
        </w:tc>
        <w:tc>
          <w:tcPr>
            <w:tcW w:type="dxa" w:w="1872"/>
          </w:tcPr>
          <w:p>
            <w:pPr>
              <w:spacing w:after="40"/>
            </w:pPr>
            <w:r>
              <w:rPr>
                <w:sz w:val="15"/>
              </w:rPr>
            </w:r>
            <w:r>
              <w:rPr>
                <w:b w:val="0"/>
                <w:sz w:val="15"/>
              </w:rPr>
              <w:t>Between Priya Nagarajan, Esq. (Ridgeline GC) and Andrew Metcalf, Esq. (counsel to J. Correa)</w:t>
            </w:r>
          </w:p>
        </w:tc>
        <w:tc>
          <w:tcPr>
            <w:tcW w:type="dxa" w:w="3672"/>
          </w:tcPr>
          <w:p>
            <w:pPr>
              <w:spacing w:after="40"/>
            </w:pPr>
            <w:r>
              <w:rPr>
                <w:sz w:val="15"/>
              </w:rPr>
            </w:r>
            <w:r>
              <w:rPr>
                <w:b w:val="0"/>
                <w:sz w:val="15"/>
              </w:rPr>
              <w:t>Confidential communications between counsel for Ridgeline and counsel for former employee, following service of DOJ Civil Investigative Demand, concerning coordination of legal defense in the government investigation, counsel's preliminary assessment of the investigation, status of counsel-directed internal document review, and anticipated witness-interview logistics.</w:t>
            </w:r>
          </w:p>
        </w:tc>
        <w:tc>
          <w:tcPr>
            <w:tcW w:type="dxa" w:w="1440"/>
          </w:tcPr>
          <w:p>
            <w:pPr>
              <w:spacing w:after="40"/>
            </w:pPr>
            <w:r>
              <w:rPr>
                <w:sz w:val="15"/>
              </w:rPr>
            </w:r>
            <w:r>
              <w:rPr>
                <w:b w:val="0"/>
                <w:sz w:val="15"/>
              </w:rPr>
              <w:t>AC / WP, shared under CI doctrine (In re Teleglobe Commc'ns Corp., 493 F.3d 345 (3d Cir. 2007)); Ridgeline and J. Correa</w:t>
            </w:r>
          </w:p>
        </w:tc>
        <w:tc>
          <w:tcPr>
            <w:tcW w:type="dxa" w:w="1224"/>
          </w:tcPr>
          <w:p>
            <w:pPr>
              <w:spacing w:after="40"/>
            </w:pPr>
            <w:r>
              <w:rPr>
                <w:sz w:val="15"/>
              </w:rPr>
            </w:r>
            <w:r>
              <w:rPr>
                <w:b w:val="0"/>
                <w:sz w:val="15"/>
              </w:rPr>
              <w:t>Claw back in full.</w:t>
            </w:r>
          </w:p>
          <w:p>
            <w:pPr>
              <w:spacing w:after="40"/>
            </w:pPr>
            <w:r>
              <w:rPr>
                <w:b w:val="0"/>
                <w:sz w:val="15"/>
              </w:rPr>
              <w:t>[Internal: see Memo § III.F — confirm Kendrick Sable position before service.]</w:t>
            </w:r>
          </w:p>
        </w:tc>
      </w:tr>
      <w:tr>
        <w:tc>
          <w:tcPr>
            <w:tcW w:type="dxa" w:w="648"/>
          </w:tcPr>
          <w:p>
            <w:pPr>
              <w:spacing w:after="40"/>
            </w:pPr>
            <w:r>
              <w:rPr>
                <w:sz w:val="15"/>
              </w:rPr>
            </w:r>
            <w:r>
              <w:rPr>
                <w:b w:val="0"/>
                <w:sz w:val="15"/>
              </w:rPr>
              <w:t>PL-008</w:t>
            </w:r>
          </w:p>
        </w:tc>
        <w:tc>
          <w:tcPr>
            <w:tcW w:type="dxa" w:w="1440"/>
          </w:tcPr>
          <w:p>
            <w:pPr>
              <w:spacing w:after="40"/>
            </w:pPr>
            <w:r>
              <w:rPr>
                <w:sz w:val="15"/>
              </w:rPr>
            </w:r>
            <w:r>
              <w:rPr>
                <w:b w:val="0"/>
                <w:sz w:val="15"/>
              </w:rPr>
              <w:t>RDGL-00020560 – RDGL-00020574 (redact 20568 – 20574 and Part II summary on 20561)</w:t>
            </w:r>
          </w:p>
        </w:tc>
        <w:tc>
          <w:tcPr>
            <w:tcW w:type="dxa" w:w="1080"/>
          </w:tcPr>
          <w:p>
            <w:pPr>
              <w:spacing w:after="40"/>
            </w:pPr>
            <w:r>
              <w:rPr>
                <w:sz w:val="15"/>
              </w:rPr>
            </w:r>
            <w:r>
              <w:rPr>
                <w:b w:val="0"/>
                <w:sz w:val="15"/>
              </w:rPr>
              <w:t>12/05/2023</w:t>
            </w:r>
          </w:p>
        </w:tc>
        <w:tc>
          <w:tcPr>
            <w:tcW w:type="dxa" w:w="1008"/>
          </w:tcPr>
          <w:p>
            <w:pPr>
              <w:spacing w:after="40"/>
            </w:pPr>
            <w:r>
              <w:rPr>
                <w:sz w:val="15"/>
              </w:rPr>
            </w:r>
            <w:r>
              <w:rPr>
                <w:b w:val="0"/>
                <w:sz w:val="15"/>
              </w:rPr>
              <w:t>Presentation (PowerPoint exported to Word), transmitted as email attachment</w:t>
            </w:r>
          </w:p>
        </w:tc>
        <w:tc>
          <w:tcPr>
            <w:tcW w:type="dxa" w:w="1440"/>
          </w:tcPr>
          <w:p>
            <w:pPr>
              <w:spacing w:after="40"/>
            </w:pPr>
            <w:r>
              <w:rPr>
                <w:sz w:val="15"/>
              </w:rPr>
            </w:r>
            <w:r>
              <w:rPr>
                <w:b w:val="0"/>
                <w:sz w:val="15"/>
              </w:rPr>
              <w:t>Thomas Viklund, Esq.</w:t>
            </w:r>
          </w:p>
        </w:tc>
        <w:tc>
          <w:tcPr>
            <w:tcW w:type="dxa" w:w="1872"/>
          </w:tcPr>
          <w:p>
            <w:pPr>
              <w:spacing w:after="40"/>
            </w:pPr>
            <w:r>
              <w:rPr>
                <w:sz w:val="15"/>
              </w:rPr>
            </w:r>
            <w:r>
              <w:rPr>
                <w:b w:val="0"/>
                <w:sz w:val="15"/>
              </w:rPr>
              <w:t>Dr. Marcus Ashworth; Priya Nagarajan, Esq.; Dr. Kevin Lassiter; Raymond Ochoa</w:t>
            </w:r>
          </w:p>
        </w:tc>
        <w:tc>
          <w:tcPr>
            <w:tcW w:type="dxa" w:w="3672"/>
          </w:tcPr>
          <w:p>
            <w:pPr>
              <w:spacing w:after="40"/>
            </w:pPr>
            <w:r>
              <w:rPr>
                <w:sz w:val="15"/>
              </w:rPr>
            </w:r>
            <w:r>
              <w:rPr>
                <w:b w:val="0"/>
                <w:sz w:val="15"/>
              </w:rPr>
              <w:t>Presentation by Deputy General Counsel to senior management, prepared after receipt of DOJ Civil Investigative Demand and in consultation with outside counsel (Harwick &amp; Calloway LLP), analyzing the government's anticipated legal theories, estimated legal exposure and loss reserve, document and witness risk, recommended defense strategy, and internal-investigation workplan (Part II, slides 9–15). Part I (slides 3–8, compliance-program overview) produced subject to redaction of counsel's legal assessments, if any, identified on re-review.</w:t>
            </w:r>
          </w:p>
        </w:tc>
        <w:tc>
          <w:tcPr>
            <w:tcW w:type="dxa" w:w="1440"/>
          </w:tcPr>
          <w:p>
            <w:pPr>
              <w:spacing w:after="40"/>
            </w:pPr>
            <w:r>
              <w:rPr>
                <w:sz w:val="15"/>
              </w:rPr>
            </w:r>
            <w:r>
              <w:rPr>
                <w:b w:val="0"/>
                <w:sz w:val="15"/>
              </w:rPr>
              <w:t>AC; WP (opinion); Ridgeline</w:t>
            </w:r>
          </w:p>
        </w:tc>
        <w:tc>
          <w:tcPr>
            <w:tcW w:type="dxa" w:w="1224"/>
          </w:tcPr>
          <w:p>
            <w:pPr>
              <w:spacing w:after="40"/>
            </w:pPr>
            <w:r>
              <w:rPr>
                <w:sz w:val="15"/>
              </w:rPr>
            </w:r>
            <w:r>
              <w:rPr>
                <w:b w:val="0"/>
                <w:sz w:val="15"/>
              </w:rPr>
              <w:t>Claw back; produce replacement with slides 9–15 (RDGL-00020568 – 20574) and Part II summary bullets on RDGL-00020561 redacted.</w:t>
            </w:r>
          </w:p>
        </w:tc>
      </w:tr>
      <w:tr>
        <w:tc>
          <w:tcPr>
            <w:tcW w:type="dxa" w:w="648"/>
          </w:tcPr>
          <w:p>
            <w:pPr>
              <w:spacing w:after="40"/>
            </w:pPr>
            <w:r>
              <w:rPr>
                <w:sz w:val="15"/>
              </w:rPr>
            </w:r>
            <w:r>
              <w:rPr>
                <w:b w:val="0"/>
                <w:sz w:val="15"/>
              </w:rPr>
              <w:t>PL-009</w:t>
            </w:r>
          </w:p>
        </w:tc>
        <w:tc>
          <w:tcPr>
            <w:tcW w:type="dxa" w:w="1440"/>
          </w:tcPr>
          <w:p>
            <w:pPr>
              <w:spacing w:after="40"/>
            </w:pPr>
            <w:r>
              <w:rPr>
                <w:sz w:val="15"/>
              </w:rPr>
            </w:r>
            <w:r>
              <w:rPr>
                <w:b w:val="0"/>
                <w:sz w:val="15"/>
              </w:rPr>
              <w:t>RDGL-00020601 – RDGL-00020603</w:t>
            </w:r>
          </w:p>
        </w:tc>
        <w:tc>
          <w:tcPr>
            <w:tcW w:type="dxa" w:w="1080"/>
          </w:tcPr>
          <w:p>
            <w:pPr>
              <w:spacing w:after="40"/>
            </w:pPr>
            <w:r>
              <w:rPr>
                <w:sz w:val="15"/>
              </w:rPr>
            </w:r>
            <w:r>
              <w:rPr>
                <w:b w:val="0"/>
                <w:sz w:val="15"/>
              </w:rPr>
              <w:t>02/15/2024 (Greenwald, 10:17 AM EST); reply by H. Pak-Morrison (metadata timestamp 02/15/2024 03:42 UTC — anomaly under verification)</w:t>
            </w:r>
          </w:p>
        </w:tc>
        <w:tc>
          <w:tcPr>
            <w:tcW w:type="dxa" w:w="1008"/>
          </w:tcPr>
          <w:p>
            <w:pPr>
              <w:spacing w:after="40"/>
            </w:pPr>
            <w:r>
              <w:rPr>
                <w:sz w:val="15"/>
              </w:rPr>
            </w:r>
            <w:r>
              <w:rPr>
                <w:b w:val="0"/>
                <w:sz w:val="15"/>
              </w:rPr>
              <w:t>Email chain (2 messages)</w:t>
            </w:r>
          </w:p>
        </w:tc>
        <w:tc>
          <w:tcPr>
            <w:tcW w:type="dxa" w:w="1440"/>
          </w:tcPr>
          <w:p>
            <w:pPr>
              <w:spacing w:after="40"/>
            </w:pPr>
            <w:r>
              <w:rPr>
                <w:sz w:val="15"/>
              </w:rPr>
            </w:r>
            <w:r>
              <w:rPr>
                <w:b w:val="0"/>
                <w:sz w:val="15"/>
              </w:rPr>
              <w:t>Rachel Greenwald, Esq. (Waverly Stone LLP); Helen Pak-Morrison</w:t>
            </w:r>
          </w:p>
        </w:tc>
        <w:tc>
          <w:tcPr>
            <w:tcW w:type="dxa" w:w="1872"/>
          </w:tcPr>
          <w:p>
            <w:pPr>
              <w:spacing w:after="40"/>
            </w:pPr>
            <w:r>
              <w:rPr>
                <w:sz w:val="15"/>
              </w:rPr>
            </w:r>
            <w:r>
              <w:rPr>
                <w:b w:val="0"/>
                <w:sz w:val="15"/>
              </w:rPr>
              <w:t>To: Helen Pak-Morrison / Rachel Greenwald, Esq.</w:t>
            </w:r>
          </w:p>
          <w:p>
            <w:pPr>
              <w:spacing w:after="40"/>
            </w:pPr>
            <w:r>
              <w:rPr>
                <w:b w:val="0"/>
                <w:sz w:val="15"/>
              </w:rPr>
              <w:t>CC: Priya Nagarajan, Esq.</w:t>
            </w:r>
          </w:p>
        </w:tc>
        <w:tc>
          <w:tcPr>
            <w:tcW w:type="dxa" w:w="3672"/>
          </w:tcPr>
          <w:p>
            <w:pPr>
              <w:spacing w:after="40"/>
            </w:pPr>
            <w:r>
              <w:rPr>
                <w:sz w:val="15"/>
              </w:rPr>
            </w:r>
            <w:r>
              <w:rPr>
                <w:b w:val="0"/>
                <w:sz w:val="15"/>
              </w:rPr>
              <w:t>Communications between Audit Committee Chair and the Committee's separately retained counsel concerning the proposed scope, staffing, and governance of the Audit Committee's privileged internal investigation. Nagarajan copied solely for coordination purposes.</w:t>
            </w:r>
          </w:p>
        </w:tc>
        <w:tc>
          <w:tcPr>
            <w:tcW w:type="dxa" w:w="1440"/>
          </w:tcPr>
          <w:p>
            <w:pPr>
              <w:spacing w:after="40"/>
            </w:pPr>
            <w:r>
              <w:rPr>
                <w:sz w:val="15"/>
              </w:rPr>
            </w:r>
            <w:r>
              <w:rPr>
                <w:b w:val="0"/>
                <w:sz w:val="15"/>
              </w:rPr>
              <w:t xml:space="preserve">AC; WP; </w:t>
            </w:r>
            <w:r>
              <w:rPr>
                <w:b/>
                <w:sz w:val="15"/>
              </w:rPr>
              <w:t>Audit Committee of the Board of Ridgeline</w:t>
            </w:r>
            <w:r>
              <w:rPr>
                <w:b w:val="0"/>
                <w:sz w:val="15"/>
              </w:rPr>
              <w:t xml:space="preserve"> (Order §§ II.E, VI.C). Also post-dates Relevant Period (non-responsive).</w:t>
            </w:r>
          </w:p>
        </w:tc>
        <w:tc>
          <w:tcPr>
            <w:tcW w:type="dxa" w:w="1224"/>
          </w:tcPr>
          <w:p>
            <w:pPr>
              <w:spacing w:after="40"/>
            </w:pPr>
            <w:r>
              <w:rPr>
                <w:sz w:val="15"/>
              </w:rPr>
            </w:r>
            <w:r>
              <w:rPr>
                <w:b w:val="0"/>
                <w:sz w:val="15"/>
              </w:rPr>
              <w:t>Claw back in full, asserted by Ridgeline and on behalf of, and with written authorization of, the Audit Committee through Waverly Stone LLP.</w:t>
            </w:r>
          </w:p>
        </w:tc>
      </w:tr>
      <w:tr>
        <w:tc>
          <w:tcPr>
            <w:tcW w:type="dxa" w:w="648"/>
          </w:tcPr>
          <w:p>
            <w:pPr>
              <w:spacing w:after="40"/>
            </w:pPr>
            <w:r>
              <w:rPr>
                <w:sz w:val="15"/>
              </w:rPr>
            </w:r>
            <w:r>
              <w:rPr>
                <w:b w:val="0"/>
                <w:sz w:val="15"/>
              </w:rPr>
              <w:t>PL-010</w:t>
            </w:r>
          </w:p>
        </w:tc>
        <w:tc>
          <w:tcPr>
            <w:tcW w:type="dxa" w:w="1440"/>
          </w:tcPr>
          <w:p>
            <w:pPr>
              <w:spacing w:after="40"/>
            </w:pPr>
            <w:r>
              <w:rPr>
                <w:sz w:val="15"/>
              </w:rPr>
            </w:r>
            <w:r>
              <w:rPr>
                <w:b w:val="0"/>
                <w:sz w:val="15"/>
              </w:rPr>
              <w:t>RDGL-00020711 – RDGL-00020714 (portions)</w:t>
            </w:r>
          </w:p>
        </w:tc>
        <w:tc>
          <w:tcPr>
            <w:tcW w:type="dxa" w:w="1080"/>
          </w:tcPr>
          <w:p>
            <w:pPr>
              <w:spacing w:after="40"/>
            </w:pPr>
            <w:r>
              <w:rPr>
                <w:sz w:val="15"/>
              </w:rPr>
            </w:r>
            <w:r>
              <w:rPr>
                <w:b w:val="0"/>
                <w:sz w:val="15"/>
              </w:rPr>
              <w:t>07/11/2022 – 07/18/2022 (comments); draft dated July 2022</w:t>
            </w:r>
          </w:p>
        </w:tc>
        <w:tc>
          <w:tcPr>
            <w:tcW w:type="dxa" w:w="1008"/>
          </w:tcPr>
          <w:p>
            <w:pPr>
              <w:spacing w:after="40"/>
            </w:pPr>
            <w:r>
              <w:rPr>
                <w:sz w:val="15"/>
              </w:rPr>
            </w:r>
            <w:r>
              <w:rPr>
                <w:b w:val="0"/>
                <w:sz w:val="15"/>
              </w:rPr>
              <w:t>Draft policy (Word) — embedded reviewer comments and tracked deletion</w:t>
            </w:r>
          </w:p>
        </w:tc>
        <w:tc>
          <w:tcPr>
            <w:tcW w:type="dxa" w:w="1440"/>
          </w:tcPr>
          <w:p>
            <w:pPr>
              <w:spacing w:after="40"/>
            </w:pPr>
            <w:r>
              <w:rPr>
                <w:sz w:val="15"/>
              </w:rPr>
            </w:r>
            <w:r>
              <w:rPr>
                <w:b w:val="0"/>
                <w:sz w:val="15"/>
              </w:rPr>
              <w:t>Thomas Viklund, Esq. (comments); Sandra Mullins (draft author)</w:t>
            </w:r>
          </w:p>
        </w:tc>
        <w:tc>
          <w:tcPr>
            <w:tcW w:type="dxa" w:w="1872"/>
          </w:tcPr>
          <w:p>
            <w:pPr>
              <w:spacing w:after="40"/>
            </w:pPr>
            <w:r>
              <w:rPr>
                <w:sz w:val="15"/>
              </w:rPr>
            </w:r>
            <w:r>
              <w:rPr>
                <w:b w:val="0"/>
                <w:sz w:val="15"/>
              </w:rPr>
              <w:t>Sandra Mullins; reviewers Dr. Kevin Lassiter, Raymond Ochoa (per draft routing block)</w:t>
            </w:r>
          </w:p>
        </w:tc>
        <w:tc>
          <w:tcPr>
            <w:tcW w:type="dxa" w:w="3672"/>
          </w:tcPr>
          <w:p>
            <w:pPr>
              <w:spacing w:after="40"/>
            </w:pPr>
            <w:r>
              <w:rPr>
                <w:sz w:val="15"/>
              </w:rPr>
            </w:r>
            <w:r>
              <w:rPr>
                <w:b w:val="0"/>
                <w:sz w:val="15"/>
              </w:rPr>
              <w:t>Deputy General Counsel's marginal comments and tracked-deletion annotation on draft Promotional Review Policy (RDGL-COMP-POL-2022-004, Draft v3) providing legal advice regarding FDCA, AKS and FCA compliance, speaker-program monitoring, sales-training content, and Medical Affairs firewall. Nine comments/annotations (7/11, 7/14 [2], 7/15, 7/16 [2], 7/18 [2]). Clean policy text is not withheld.</w:t>
            </w:r>
          </w:p>
        </w:tc>
        <w:tc>
          <w:tcPr>
            <w:tcW w:type="dxa" w:w="1440"/>
          </w:tcPr>
          <w:p>
            <w:pPr>
              <w:spacing w:after="40"/>
            </w:pPr>
            <w:r>
              <w:rPr>
                <w:sz w:val="15"/>
              </w:rPr>
            </w:r>
            <w:r>
              <w:rPr>
                <w:b w:val="0"/>
                <w:sz w:val="15"/>
              </w:rPr>
              <w:t>AC; Ridgeline</w:t>
            </w:r>
          </w:p>
        </w:tc>
        <w:tc>
          <w:tcPr>
            <w:tcW w:type="dxa" w:w="1224"/>
          </w:tcPr>
          <w:p>
            <w:pPr>
              <w:spacing w:after="40"/>
            </w:pPr>
            <w:r>
              <w:rPr>
                <w:sz w:val="15"/>
              </w:rPr>
            </w:r>
            <w:r>
              <w:rPr>
                <w:b w:val="0"/>
                <w:sz w:val="15"/>
              </w:rPr>
              <w:t>Claw back; produce replacement with the nine comments/annotations redacted; underlying policy text unredacted.</w:t>
            </w:r>
          </w:p>
        </w:tc>
      </w:tr>
    </w:tbl>
    <w:p>
      <w:pPr>
        <w:pStyle w:val="Heading2"/>
      </w:pPr>
      <w:r>
        <w:t>Part B — Remaining Flagged Documents (Pending Review)</w:t>
      </w:r>
    </w:p>
    <w:p>
      <w:r>
        <w:rPr>
          <w:b w:val="0"/>
        </w:rPr>
        <w:t xml:space="preserve">NorthBridge Report NB-QC-2024-0617-001 identifies 47 affected documents. The ten documents above (NorthBridge review subset items 1–10) have been individually reviewed. The report describes a "12 representative document" subset but lists only ten; the two missing items and the remaining 35 documents catalogued in Appendix A (NB-QC-2024-0617-001_AppA_FlaggedDocList.xlsx) have not yet been reviewed. </w:t>
      </w:r>
      <w:r>
        <w:rPr>
          <w:b/>
        </w:rPr>
        <w:t>Log entries PL-011 et seq. will be added upon completion of review, which must be done before the clawback notice is served.</w:t>
      </w:r>
      <w:r>
        <w:rPr>
          <w:b w:val="0"/>
        </w:rPr>
        <w:t xml:space="preserve"> Recommended default: any document a Harwick &amp; Calloway reviewer originally coded privileged should be included in the notice unless affirmatively cleared, because a claim can be withdrawn later but may be waived if asserted late (Order § IV.B.5).</w:t>
      </w:r>
    </w:p>
    <w:p>
      <w:pPr>
        <w:pStyle w:val="Heading2"/>
      </w:pPr>
      <w:r>
        <w:t>Part C — Flagged Documents Reviewed and NOT Logged (Internal — Do Not Serve)</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1872"/>
            <w:shd w:val="clear" w:color="auto" w:fill="D9D9D9"/>
          </w:tcPr>
          <w:p>
            <w:r/>
            <w:r>
              <w:rPr>
                <w:b/>
                <w:sz w:val="15"/>
              </w:rPr>
              <w:t>Bates Range</w:t>
            </w:r>
          </w:p>
        </w:tc>
        <w:tc>
          <w:tcPr>
            <w:tcW w:type="dxa" w:w="3744"/>
            <w:shd w:val="clear" w:color="auto" w:fill="D9D9D9"/>
          </w:tcPr>
          <w:p>
            <w:r/>
            <w:r>
              <w:rPr>
                <w:b/>
                <w:sz w:val="15"/>
              </w:rPr>
              <w:t>Description</w:t>
            </w:r>
          </w:p>
        </w:tc>
        <w:tc>
          <w:tcPr>
            <w:tcW w:type="dxa" w:w="5616"/>
            <w:shd w:val="clear" w:color="auto" w:fill="D9D9D9"/>
          </w:tcPr>
          <w:p>
            <w:r/>
            <w:r>
              <w:rPr>
                <w:b/>
                <w:sz w:val="15"/>
              </w:rPr>
              <w:t>Reason Not Logged</w:t>
            </w:r>
          </w:p>
        </w:tc>
        <w:tc>
          <w:tcPr>
            <w:tcW w:type="dxa" w:w="2592"/>
            <w:shd w:val="clear" w:color="auto" w:fill="D9D9D9"/>
          </w:tcPr>
          <w:p>
            <w:r/>
            <w:r>
              <w:rPr>
                <w:b/>
                <w:sz w:val="15"/>
              </w:rPr>
              <w:t>Disposition</w:t>
            </w:r>
          </w:p>
        </w:tc>
      </w:tr>
      <w:tr>
        <w:tc>
          <w:tcPr>
            <w:tcW w:type="dxa" w:w="1872"/>
          </w:tcPr>
          <w:p>
            <w:pPr>
              <w:spacing w:after="40"/>
            </w:pPr>
            <w:r>
              <w:rPr>
                <w:sz w:val="15"/>
              </w:rPr>
            </w:r>
            <w:r>
              <w:rPr>
                <w:b w:val="0"/>
                <w:sz w:val="15"/>
              </w:rPr>
              <w:t>RDGL-00020114 – 20116</w:t>
            </w:r>
          </w:p>
        </w:tc>
        <w:tc>
          <w:tcPr>
            <w:tcW w:type="dxa" w:w="3744"/>
          </w:tcPr>
          <w:p>
            <w:pPr>
              <w:spacing w:after="40"/>
            </w:pPr>
            <w:r>
              <w:rPr>
                <w:sz w:val="15"/>
              </w:rPr>
            </w:r>
            <w:r>
              <w:rPr>
                <w:b w:val="0"/>
                <w:sz w:val="15"/>
              </w:rPr>
              <w:t>Sept. 14–22, 2020 emails between C. Ellsworth (Harwick &amp; Calloway) and P. Nagarajan following DIA conference</w:t>
            </w:r>
          </w:p>
        </w:tc>
        <w:tc>
          <w:tcPr>
            <w:tcW w:type="dxa" w:w="5616"/>
          </w:tcPr>
          <w:p>
            <w:pPr>
              <w:spacing w:after="40"/>
            </w:pPr>
            <w:r>
              <w:rPr>
                <w:sz w:val="15"/>
              </w:rPr>
            </w:r>
            <w:r>
              <w:rPr>
                <w:b w:val="0"/>
                <w:sz w:val="15"/>
              </w:rPr>
              <w:t>Pre-date the October 15, 2023 engagement, which expressly disclaims retroactive coverage of prior "informal discussions." 20116 is a business-development solicitation (not privileged). 20115/20114 are at most a prospective-client consultation (RPC 1.18); claim is weak, and asserting it would place the lead partner's pre-engagement dealings at issue. See Memo § III.A.</w:t>
            </w:r>
          </w:p>
        </w:tc>
        <w:tc>
          <w:tcPr>
            <w:tcW w:type="dxa" w:w="2592"/>
          </w:tcPr>
          <w:p>
            <w:pPr>
              <w:spacing w:after="40"/>
            </w:pPr>
            <w:r>
              <w:rPr>
                <w:sz w:val="15"/>
              </w:rPr>
            </w:r>
            <w:r>
              <w:rPr>
                <w:b w:val="0"/>
                <w:sz w:val="15"/>
              </w:rPr>
              <w:t>Recommend no clawback. Partner decision; alternative entry drafted in Memo § III.A if preferred.</w:t>
            </w:r>
          </w:p>
        </w:tc>
      </w:tr>
      <w:tr>
        <w:tc>
          <w:tcPr>
            <w:tcW w:type="dxa" w:w="1872"/>
          </w:tcPr>
          <w:p>
            <w:pPr>
              <w:spacing w:after="40"/>
            </w:pPr>
            <w:r>
              <w:rPr>
                <w:sz w:val="15"/>
              </w:rPr>
            </w:r>
            <w:r>
              <w:rPr>
                <w:b w:val="0"/>
                <w:sz w:val="15"/>
              </w:rPr>
              <w:t>RDGL-00020488 – 20489</w:t>
            </w:r>
          </w:p>
        </w:tc>
        <w:tc>
          <w:tcPr>
            <w:tcW w:type="dxa" w:w="3744"/>
          </w:tcPr>
          <w:p>
            <w:pPr>
              <w:spacing w:after="40"/>
            </w:pPr>
            <w:r>
              <w:rPr>
                <w:sz w:val="15"/>
              </w:rPr>
            </w:r>
            <w:r>
              <w:rPr>
                <w:b w:val="0"/>
                <w:sz w:val="15"/>
              </w:rPr>
              <w:t>Mar. 28, 2023 transmittal from R. Ochoa to FDA (sNDA-2023-0412) and Apr. 12, 2023 internal forward to Dr. Lassiter</w:t>
            </w:r>
          </w:p>
        </w:tc>
        <w:tc>
          <w:tcPr>
            <w:tcW w:type="dxa" w:w="5616"/>
          </w:tcPr>
          <w:p>
            <w:pPr>
              <w:spacing w:after="40"/>
            </w:pPr>
            <w:r>
              <w:rPr>
                <w:sz w:val="15"/>
              </w:rPr>
            </w:r>
            <w:r>
              <w:rPr>
                <w:b w:val="0"/>
                <w:sz w:val="15"/>
              </w:rPr>
              <w:t>Communication with a government agency and a non-lawyer internal status forward. No request for or rendering of legal advice. The passing reference to legal review does not disclose advice. NorthBridge audit trail ambiguous; original reviewer coding likely "Not Privileged."</w:t>
            </w:r>
          </w:p>
        </w:tc>
        <w:tc>
          <w:tcPr>
            <w:tcW w:type="dxa" w:w="2592"/>
          </w:tcPr>
          <w:p>
            <w:pPr>
              <w:spacing w:after="40"/>
            </w:pPr>
            <w:r>
              <w:rPr>
                <w:sz w:val="15"/>
              </w:rPr>
            </w:r>
            <w:r>
              <w:rPr>
                <w:b w:val="0"/>
                <w:sz w:val="15"/>
              </w:rPr>
              <w:t>Correctly produced. Remove from clawback set; confirm audit trail with NorthBridge.</w:t>
            </w:r>
          </w:p>
        </w:tc>
      </w:tr>
      <w:tr>
        <w:tc>
          <w:tcPr>
            <w:tcW w:type="dxa" w:w="1872"/>
          </w:tcPr>
          <w:p>
            <w:pPr>
              <w:spacing w:after="40"/>
            </w:pPr>
            <w:r>
              <w:rPr>
                <w:sz w:val="15"/>
              </w:rPr>
            </w:r>
            <w:r>
              <w:rPr>
                <w:b w:val="0"/>
                <w:sz w:val="15"/>
              </w:rPr>
              <w:t>RDGL-00020644 – 20645</w:t>
            </w:r>
          </w:p>
        </w:tc>
        <w:tc>
          <w:tcPr>
            <w:tcW w:type="dxa" w:w="3744"/>
          </w:tcPr>
          <w:p>
            <w:pPr>
              <w:spacing w:after="40"/>
            </w:pPr>
            <w:r>
              <w:rPr>
                <w:sz w:val="15"/>
              </w:rPr>
            </w:r>
            <w:r>
              <w:rPr>
                <w:b w:val="0"/>
                <w:sz w:val="15"/>
              </w:rPr>
              <w:t>Oct. 8–9, 2023 emails between J. Correa (personal Gmail, post-departure) and P. Nagarajan</w:t>
            </w:r>
          </w:p>
        </w:tc>
        <w:tc>
          <w:tcPr>
            <w:tcW w:type="dxa" w:w="5616"/>
          </w:tcPr>
          <w:p>
            <w:pPr>
              <w:spacing w:after="40"/>
            </w:pPr>
            <w:r>
              <w:rPr>
                <w:sz w:val="15"/>
              </w:rPr>
            </w:r>
            <w:r>
              <w:rPr>
                <w:b w:val="0"/>
                <w:sz w:val="15"/>
              </w:rPr>
              <w:t>Former employee seeking personal legal advice about her individual exposure; not a communication for the purpose of obtaining legal advice for Ridgeline. Ridgeline holds no privilege. Any personal privilege belongs to Ms. Correa (and is doubtful since Ms. Nagarajan did not represent her). See Memo § III.I.</w:t>
            </w:r>
          </w:p>
        </w:tc>
        <w:tc>
          <w:tcPr>
            <w:tcW w:type="dxa" w:w="2592"/>
          </w:tcPr>
          <w:p>
            <w:pPr>
              <w:spacing w:after="40"/>
            </w:pPr>
            <w:r>
              <w:rPr>
                <w:sz w:val="15"/>
              </w:rPr>
            </w:r>
            <w:r>
              <w:rPr>
                <w:b w:val="0"/>
                <w:sz w:val="15"/>
              </w:rPr>
              <w:t>Do not assert on Ridgeline's behalf. Escalate governance/ethics issues (Memo § IV.A).</w:t>
            </w:r>
          </w:p>
        </w:tc>
      </w:tr>
    </w:tbl>
    <w:p>
      <w:pPr>
        <w:pStyle w:val="Heading2"/>
      </w:pPr>
      <w:r>
        <w:t>Certification</w:t>
      </w:r>
    </w:p>
    <w:p>
      <w:r>
        <w:t>Harwick &amp; Calloway LLP, counsel for Ridgeline Therapeutics, Inc., represents that the foregoing entries were prepared after attorney review of each document and that each assertion is made in good faith. Ridgeline reserves the right to supplement or amend this log.</w:t>
      </w:r>
    </w:p>
    <w:p>
      <w:r>
        <w:t>HARWICK &amp; CALLOWAY LLP</w:t>
        <w:br/>
        <w:br/>
        <w:t>By: ______________________</w:t>
        <w:br/>
        <w:t>Catherine Ellsworth</w:t>
        <w:br/>
        <w:t>1100 K Street NW, Suite 800, Washington, DC 20005</w:t>
        <w:br/>
        <w:t>Counsel for Ridgeline Therapeutics, Inc.</w:t>
        <w:br/>
        <w:br/>
        <w:t>[Audit Committee entry PL-009 — joinder: WAVERLY STONE LLP, By: ____________ Rachel Greenwald, Counsel to the Audit Committee]</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