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17365D"/>
          <w:sz w:val="36"/>
        </w:rPr>
        <w:t>BILLING REVIEW MEMORANDUM</w:t>
      </w:r>
    </w:p>
    <w:tbl>
      <w:tblPr>
        <w:tblW w:type="auto" w:w="0"/>
        <w:jc w:val="left"/>
        <w:tblLayout w:type="fixed"/>
        <w:tblLook w:firstColumn="1" w:firstRow="1" w:lastColumn="0" w:lastRow="0" w:noHBand="0" w:noVBand="1" w:val="04A0"/>
      </w:tblPr>
      <w:tblGrid>
        <w:gridCol w:w="5083"/>
        <w:gridCol w:w="5083"/>
      </w:tblGrid>
      <w:tr>
        <w:trPr>
          <w:cantSplit/>
        </w:trPr>
        <w:tc>
          <w:tcPr>
            <w:tcW w:type="dxa" w:w="1037"/>
            <w:tcMar>
              <w:top w:w="15" w:type="dxa"/>
              <w:start w:w="15" w:type="dxa"/>
              <w:bottom w:w="15" w:type="dxa"/>
              <w:end w:w="30" w:type="dxa"/>
            </w:tcMar>
          </w:tcPr>
          <w:p>
            <w:pPr>
              <w:spacing w:after="0"/>
            </w:pPr>
            <w:r>
              <w:rPr>
                <w:rFonts w:ascii="Calibri" w:hAnsi="Calibri"/>
                <w:b/>
                <w:color w:val="1F4E79"/>
                <w:sz w:val="18"/>
              </w:rPr>
              <w:t>TO</w:t>
            </w:r>
          </w:p>
        </w:tc>
        <w:tc>
          <w:tcPr>
            <w:tcW w:type="dxa" w:w="9864"/>
            <w:tcMar>
              <w:top w:w="15" w:type="dxa"/>
              <w:start w:w="15" w:type="dxa"/>
              <w:bottom w:w="15" w:type="dxa"/>
              <w:end w:w="30" w:type="dxa"/>
            </w:tcMar>
          </w:tcPr>
          <w:p>
            <w:pPr>
              <w:spacing w:after="0"/>
            </w:pPr>
            <w:r>
              <w:rPr>
                <w:rFonts w:ascii="Calibri" w:hAnsi="Calibri"/>
                <w:sz w:val="18"/>
              </w:rPr>
              <w:t>Marcus Holt, Deputy General Counsel</w:t>
            </w:r>
          </w:p>
        </w:tc>
      </w:tr>
      <w:tr>
        <w:trPr>
          <w:cantSplit/>
        </w:trPr>
        <w:tc>
          <w:tcPr>
            <w:tcW w:type="dxa" w:w="1037"/>
            <w:tcMar>
              <w:top w:w="15" w:type="dxa"/>
              <w:start w:w="15" w:type="dxa"/>
              <w:bottom w:w="15" w:type="dxa"/>
              <w:end w:w="30" w:type="dxa"/>
            </w:tcMar>
          </w:tcPr>
          <w:p>
            <w:pPr>
              <w:spacing w:after="0"/>
            </w:pPr>
            <w:r>
              <w:rPr>
                <w:rFonts w:ascii="Calibri" w:hAnsi="Calibri"/>
                <w:b/>
                <w:color w:val="1F4E79"/>
                <w:sz w:val="18"/>
              </w:rPr>
              <w:t>FROM</w:t>
            </w:r>
          </w:p>
        </w:tc>
        <w:tc>
          <w:tcPr>
            <w:tcW w:type="dxa" w:w="9864"/>
            <w:tcMar>
              <w:top w:w="15" w:type="dxa"/>
              <w:start w:w="15" w:type="dxa"/>
              <w:bottom w:w="15" w:type="dxa"/>
              <w:end w:w="30" w:type="dxa"/>
            </w:tcMar>
          </w:tcPr>
          <w:p>
            <w:pPr>
              <w:spacing w:after="0"/>
            </w:pPr>
            <w:r>
              <w:rPr>
                <w:rFonts w:ascii="Calibri" w:hAnsi="Calibri"/>
                <w:sz w:val="18"/>
              </w:rPr>
              <w:t>Billing Review</w:t>
            </w:r>
          </w:p>
        </w:tc>
      </w:tr>
      <w:tr>
        <w:trPr>
          <w:cantSplit/>
        </w:trPr>
        <w:tc>
          <w:tcPr>
            <w:tcW w:type="dxa" w:w="1037"/>
            <w:tcMar>
              <w:top w:w="15" w:type="dxa"/>
              <w:start w:w="15" w:type="dxa"/>
              <w:bottom w:w="15" w:type="dxa"/>
              <w:end w:w="30" w:type="dxa"/>
            </w:tcMar>
          </w:tcPr>
          <w:p>
            <w:pPr>
              <w:spacing w:after="0"/>
            </w:pPr>
            <w:r>
              <w:rPr>
                <w:rFonts w:ascii="Calibri" w:hAnsi="Calibri"/>
                <w:b/>
                <w:color w:val="1F4E79"/>
                <w:sz w:val="18"/>
              </w:rPr>
              <w:t>DATE</w:t>
            </w:r>
          </w:p>
        </w:tc>
        <w:tc>
          <w:tcPr>
            <w:tcW w:type="dxa" w:w="9864"/>
            <w:tcMar>
              <w:top w:w="15" w:type="dxa"/>
              <w:start w:w="15" w:type="dxa"/>
              <w:bottom w:w="15" w:type="dxa"/>
              <w:end w:w="30" w:type="dxa"/>
            </w:tcMar>
          </w:tcPr>
          <w:p>
            <w:pPr>
              <w:spacing w:after="0"/>
            </w:pPr>
            <w:r>
              <w:rPr>
                <w:rFonts w:ascii="Calibri" w:hAnsi="Calibri"/>
                <w:sz w:val="18"/>
              </w:rPr>
              <w:t>August 2024</w:t>
            </w:r>
          </w:p>
        </w:tc>
      </w:tr>
      <w:tr>
        <w:trPr>
          <w:cantSplit/>
        </w:trPr>
        <w:tc>
          <w:tcPr>
            <w:tcW w:type="dxa" w:w="1037"/>
            <w:tcMar>
              <w:top w:w="15" w:type="dxa"/>
              <w:start w:w="15" w:type="dxa"/>
              <w:bottom w:w="15" w:type="dxa"/>
              <w:end w:w="30" w:type="dxa"/>
            </w:tcMar>
          </w:tcPr>
          <w:p>
            <w:pPr>
              <w:spacing w:after="0"/>
            </w:pPr>
            <w:r>
              <w:rPr>
                <w:rFonts w:ascii="Calibri" w:hAnsi="Calibri"/>
                <w:b/>
                <w:color w:val="1F4E79"/>
                <w:sz w:val="18"/>
              </w:rPr>
              <w:t>RE</w:t>
            </w:r>
          </w:p>
        </w:tc>
        <w:tc>
          <w:tcPr>
            <w:tcW w:type="dxa" w:w="9864"/>
            <w:tcMar>
              <w:top w:w="15" w:type="dxa"/>
              <w:start w:w="15" w:type="dxa"/>
              <w:bottom w:w="15" w:type="dxa"/>
              <w:end w:w="30" w:type="dxa"/>
            </w:tcMar>
          </w:tcPr>
          <w:p>
            <w:pPr>
              <w:spacing w:after="0"/>
            </w:pPr>
            <w:r>
              <w:rPr>
                <w:rFonts w:ascii="Calibri" w:hAnsi="Calibri"/>
                <w:sz w:val="18"/>
              </w:rPr>
              <w:t>Hargrove &amp; Linden LLP — July 2024 Cascade invoice HL-TV-2024-0731; related DOE charges</w:t>
            </w:r>
          </w:p>
        </w:tc>
      </w:tr>
    </w:tbl>
    <w:p>
      <w:pPr>
        <w:spacing w:before="80" w:after="140"/>
      </w:pPr>
      <w:r>
        <w:rPr>
          <w:b/>
          <w:color w:val="8B1E1E"/>
          <w:sz w:val="16"/>
        </w:rPr>
        <w:t>PRIVILEGED AND CONFIDENTIAL — ATTORNEY-CLIENT BILLING REVIEW</w:t>
      </w:r>
    </w:p>
    <w:p>
      <w:r>
        <w:t>Recommendation: Do not approve the Cascade invoice as submitted. Return it for reconciliation and apply the specific reductions below. The time-entry schedule does not support the invoice summary by $106,472.00; the stated net research charges independently exceed the 12% cap; the invoice includes prohibited Westlaw charges, potentially duplicated research, partner research at partner rates, and travel time billed at full rates. The related DOE matter summary also exceeds its cap and shows likely cross-matter duplication. Where this packet does not include approval or supporting records, the recommendation is to hold the charge unless Hargrove &amp; Linden (H&amp;L) supplies contemporaneous written approval and adequate back-up.</w:t>
      </w:r>
    </w:p>
    <w:p>
      <w:r>
        <w:t>Materials reviewed: Cascade July invoice workbook; July DOE matter invoice summary; TerraVerde Outside Counsel Billing Guidelines (November 2023); Cascade engagement letter dated January 22, 2024; June Cascade invoice summary; and Marcus Holt’s June 28, 2024 email to H&amp;L. No separate DOE engagement letter, written research-cap approval, travel approval, expert approval, receipts, or vendor invoices were included in the materials reviewed.</w:t>
      </w:r>
    </w:p>
    <w:p>
      <w:pPr>
        <w:pStyle w:val="Heading1"/>
      </w:pPr>
      <w:r>
        <w:t>1. Immediate invoice-integrity issue</w:t>
      </w:r>
    </w:p>
    <w:p>
      <w:r>
        <w:t>The workbook’s summary cannot be reconciled to its own itemized fee detail. The Fee Detail tab contains 160 entries totaling $243,080.50 in gross fees; the Summary tab reports $349,552.50. The unsupported difference is $106,472.00. Applying the stated $7,732.00 discount to the detailed fees yields net fees of $235,348.50, not the reported $341,820.50. The $45,600.00 disbursement total does tie to the listed disbursements.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shd w:fill="17365D"/>
            <w:tcMar>
              <w:top w:w="60" w:type="dxa"/>
              <w:start w:w="75" w:type="dxa"/>
              <w:bottom w:w="60" w:type="dxa"/>
              <w:end w:w="75" w:type="dxa"/>
            </w:tcMar>
            <w:vAlign w:val="center"/>
          </w:tcPr>
          <w:p>
            <w:pPr>
              <w:spacing w:after="0" w:before="0"/>
            </w:pPr>
            <w:r>
              <w:rPr>
                <w:rFonts w:ascii="Calibri" w:hAnsi="Calibri"/>
                <w:b/>
                <w:color w:val="FFFFFF"/>
                <w:sz w:val="16"/>
              </w:rPr>
              <w:t>Control check</w:t>
            </w:r>
          </w:p>
        </w:tc>
        <w:tc>
          <w:tcPr>
            <w:tcW w:type="dxa" w:w="2376"/>
            <w:shd w:fill="17365D"/>
            <w:tcMar>
              <w:top w:w="60" w:type="dxa"/>
              <w:start w:w="75" w:type="dxa"/>
              <w:bottom w:w="60" w:type="dxa"/>
              <w:end w:w="75" w:type="dxa"/>
            </w:tcMar>
            <w:vAlign w:val="center"/>
          </w:tcPr>
          <w:p>
            <w:pPr>
              <w:spacing w:after="0" w:before="0"/>
            </w:pPr>
            <w:r>
              <w:rPr>
                <w:rFonts w:ascii="Calibri" w:hAnsi="Calibri"/>
                <w:b/>
                <w:color w:val="FFFFFF"/>
                <w:sz w:val="16"/>
              </w:rPr>
              <w:t>Reported / calculated amount</w:t>
            </w:r>
          </w:p>
        </w:tc>
        <w:tc>
          <w:tcPr>
            <w:tcW w:type="dxa" w:w="5501"/>
            <w:shd w:fill="17365D"/>
            <w:tcMar>
              <w:top w:w="60" w:type="dxa"/>
              <w:start w:w="75" w:type="dxa"/>
              <w:bottom w:w="60" w:type="dxa"/>
              <w:end w:w="75" w:type="dxa"/>
            </w:tcMar>
            <w:vAlign w:val="center"/>
          </w:tcPr>
          <w:p>
            <w:pPr>
              <w:spacing w:after="0" w:before="0"/>
            </w:pPr>
            <w:r>
              <w:rPr>
                <w:rFonts w:ascii="Calibri" w:hAnsi="Calibri"/>
                <w:b/>
                <w:color w:val="FFFFFF"/>
                <w:sz w:val="16"/>
              </w:rPr>
              <w:t>Review result</w:t>
            </w:r>
          </w:p>
        </w:tc>
      </w:tr>
      <w:tr>
        <w:trPr>
          <w:cantSplit/>
        </w:trPr>
        <w:tc>
          <w:tcPr>
            <w:tcW w:type="dxa" w:w="3024"/>
            <w:tcMar>
              <w:top w:w="60" w:type="dxa"/>
              <w:start w:w="75" w:type="dxa"/>
              <w:bottom w:w="60" w:type="dxa"/>
              <w:end w:w="75" w:type="dxa"/>
            </w:tcMar>
            <w:vAlign w:val="top"/>
          </w:tcPr>
          <w:p>
            <w:pPr>
              <w:spacing w:after="0" w:before="0" w:line="240" w:lineRule="auto"/>
            </w:pPr>
            <w:r>
              <w:rPr>
                <w:rFonts w:ascii="Calibri" w:hAnsi="Calibri"/>
                <w:sz w:val="16"/>
              </w:rPr>
              <w:t>Gross professional fees — Summary tab</w:t>
            </w:r>
          </w:p>
        </w:tc>
        <w:tc>
          <w:tcPr>
            <w:tcW w:type="dxa" w:w="2376"/>
            <w:tcMar>
              <w:top w:w="60" w:type="dxa"/>
              <w:start w:w="75" w:type="dxa"/>
              <w:bottom w:w="60" w:type="dxa"/>
              <w:end w:w="75" w:type="dxa"/>
            </w:tcMar>
            <w:vAlign w:val="top"/>
          </w:tcPr>
          <w:p>
            <w:pPr>
              <w:spacing w:after="0" w:before="0" w:line="240" w:lineRule="auto"/>
            </w:pPr>
            <w:r>
              <w:rPr>
                <w:rFonts w:ascii="Calibri" w:hAnsi="Calibri"/>
                <w:sz w:val="16"/>
              </w:rPr>
              <w:t>$349,552.50</w:t>
            </w:r>
          </w:p>
        </w:tc>
        <w:tc>
          <w:tcPr>
            <w:tcW w:type="dxa" w:w="5501"/>
            <w:tcMar>
              <w:top w:w="60" w:type="dxa"/>
              <w:start w:w="75" w:type="dxa"/>
              <w:bottom w:w="60" w:type="dxa"/>
              <w:end w:w="75" w:type="dxa"/>
            </w:tcMar>
            <w:vAlign w:val="top"/>
          </w:tcPr>
          <w:p>
            <w:pPr>
              <w:spacing w:after="0" w:before="0" w:line="240" w:lineRule="auto"/>
            </w:pPr>
            <w:r>
              <w:rPr>
                <w:rFonts w:ascii="Calibri" w:hAnsi="Calibri"/>
                <w:sz w:val="16"/>
              </w:rPr>
              <w:t>Does not tie to Fee Detail.</w:t>
            </w:r>
          </w:p>
        </w:tc>
      </w:tr>
      <w:tr>
        <w:trPr>
          <w:cantSplit/>
        </w:trPr>
        <w:tc>
          <w:tcPr>
            <w:tcW w:type="dxa" w:w="3024"/>
            <w:tcMar>
              <w:top w:w="60" w:type="dxa"/>
              <w:start w:w="75" w:type="dxa"/>
              <w:bottom w:w="60" w:type="dxa"/>
              <w:end w:w="75" w:type="dxa"/>
            </w:tcMar>
            <w:vAlign w:val="top"/>
            <w:shd w:fill="F3F7FA"/>
          </w:tcPr>
          <w:p>
            <w:pPr>
              <w:spacing w:after="0" w:before="0" w:line="240" w:lineRule="auto"/>
            </w:pPr>
            <w:r>
              <w:rPr>
                <w:rFonts w:ascii="Calibri" w:hAnsi="Calibri"/>
                <w:sz w:val="16"/>
              </w:rPr>
              <w:t>Gross professional fees — sum of Fee Detail rows</w:t>
            </w:r>
          </w:p>
        </w:tc>
        <w:tc>
          <w:tcPr>
            <w:tcW w:type="dxa" w:w="2376"/>
            <w:tcMar>
              <w:top w:w="60" w:type="dxa"/>
              <w:start w:w="75" w:type="dxa"/>
              <w:bottom w:w="60" w:type="dxa"/>
              <w:end w:w="75" w:type="dxa"/>
            </w:tcMar>
            <w:vAlign w:val="top"/>
            <w:shd w:fill="F3F7FA"/>
          </w:tcPr>
          <w:p>
            <w:pPr>
              <w:spacing w:after="0" w:before="0" w:line="240" w:lineRule="auto"/>
            </w:pPr>
            <w:r>
              <w:rPr>
                <w:rFonts w:ascii="Calibri" w:hAnsi="Calibri"/>
                <w:sz w:val="16"/>
              </w:rPr>
              <w:t>$243,080.50</w:t>
            </w:r>
          </w:p>
        </w:tc>
        <w:tc>
          <w:tcPr>
            <w:tcW w:type="dxa" w:w="5501"/>
            <w:tcMar>
              <w:top w:w="60" w:type="dxa"/>
              <w:start w:w="75" w:type="dxa"/>
              <w:bottom w:w="60" w:type="dxa"/>
              <w:end w:w="75" w:type="dxa"/>
            </w:tcMar>
            <w:vAlign w:val="top"/>
            <w:shd w:fill="F3F7FA"/>
          </w:tcPr>
          <w:p>
            <w:pPr>
              <w:spacing w:after="0" w:before="0" w:line="240" w:lineRule="auto"/>
            </w:pPr>
            <w:r>
              <w:rPr>
                <w:rFonts w:ascii="Calibri" w:hAnsi="Calibri"/>
                <w:sz w:val="16"/>
              </w:rPr>
              <w:t>Difference: $106,472.00 unexplained.</w:t>
            </w:r>
          </w:p>
        </w:tc>
      </w:tr>
      <w:tr>
        <w:trPr>
          <w:cantSplit/>
        </w:trPr>
        <w:tc>
          <w:tcPr>
            <w:tcW w:type="dxa" w:w="3024"/>
            <w:tcMar>
              <w:top w:w="60" w:type="dxa"/>
              <w:start w:w="75" w:type="dxa"/>
              <w:bottom w:w="60" w:type="dxa"/>
              <w:end w:w="75" w:type="dxa"/>
            </w:tcMar>
            <w:vAlign w:val="top"/>
          </w:tcPr>
          <w:p>
            <w:pPr>
              <w:spacing w:after="0" w:before="0" w:line="240" w:lineRule="auto"/>
            </w:pPr>
            <w:r>
              <w:rPr>
                <w:rFonts w:ascii="Calibri" w:hAnsi="Calibri"/>
                <w:sz w:val="16"/>
              </w:rPr>
              <w:t>Research hours — Summary tab / Detail &amp; Discount tabs</w:t>
            </w:r>
          </w:p>
        </w:tc>
        <w:tc>
          <w:tcPr>
            <w:tcW w:type="dxa" w:w="2376"/>
            <w:tcMar>
              <w:top w:w="60" w:type="dxa"/>
              <w:start w:w="75" w:type="dxa"/>
              <w:bottom w:w="60" w:type="dxa"/>
              <w:end w:w="75" w:type="dxa"/>
            </w:tcMar>
            <w:vAlign w:val="top"/>
          </w:tcPr>
          <w:p>
            <w:pPr>
              <w:spacing w:after="0" w:before="0" w:line="240" w:lineRule="auto"/>
            </w:pPr>
            <w:r>
              <w:rPr>
                <w:rFonts w:ascii="Calibri" w:hAnsi="Calibri"/>
                <w:sz w:val="16"/>
              </w:rPr>
              <w:t>142.3 / 137.6 hours</w:t>
            </w:r>
          </w:p>
        </w:tc>
        <w:tc>
          <w:tcPr>
            <w:tcW w:type="dxa" w:w="5501"/>
            <w:tcMar>
              <w:top w:w="60" w:type="dxa"/>
              <w:start w:w="75" w:type="dxa"/>
              <w:bottom w:w="60" w:type="dxa"/>
              <w:end w:w="75" w:type="dxa"/>
            </w:tcMar>
            <w:vAlign w:val="top"/>
          </w:tcPr>
          <w:p>
            <w:pPr>
              <w:spacing w:after="0" w:before="0" w:line="240" w:lineRule="auto"/>
            </w:pPr>
            <w:r>
              <w:rPr>
                <w:rFonts w:ascii="Calibri" w:hAnsi="Calibri"/>
                <w:sz w:val="16"/>
              </w:rPr>
              <w:t>4.7-hour discrepancy; research dollars nevertheless tie at $54,104.50.</w:t>
            </w:r>
          </w:p>
        </w:tc>
      </w:tr>
      <w:tr>
        <w:trPr>
          <w:cantSplit/>
        </w:trPr>
        <w:tc>
          <w:tcPr>
            <w:tcW w:type="dxa" w:w="3024"/>
            <w:tcMar>
              <w:top w:w="60" w:type="dxa"/>
              <w:start w:w="75" w:type="dxa"/>
              <w:bottom w:w="60" w:type="dxa"/>
              <w:end w:w="75" w:type="dxa"/>
            </w:tcMar>
            <w:vAlign w:val="top"/>
            <w:shd w:fill="F3F7FA"/>
          </w:tcPr>
          <w:p>
            <w:pPr>
              <w:spacing w:after="0" w:before="0" w:line="240" w:lineRule="auto"/>
            </w:pPr>
            <w:r>
              <w:rPr>
                <w:rFonts w:ascii="Calibri" w:hAnsi="Calibri"/>
                <w:sz w:val="16"/>
              </w:rPr>
              <w:t>Research efficiency discount</w:t>
            </w:r>
          </w:p>
        </w:tc>
        <w:tc>
          <w:tcPr>
            <w:tcW w:type="dxa" w:w="2376"/>
            <w:tcMar>
              <w:top w:w="60" w:type="dxa"/>
              <w:start w:w="75" w:type="dxa"/>
              <w:bottom w:w="60" w:type="dxa"/>
              <w:end w:w="75" w:type="dxa"/>
            </w:tcMar>
            <w:vAlign w:val="top"/>
            <w:shd w:fill="F3F7FA"/>
          </w:tcPr>
          <w:p>
            <w:pPr>
              <w:spacing w:after="0" w:before="0" w:line="240" w:lineRule="auto"/>
            </w:pPr>
            <w:r>
              <w:rPr>
                <w:rFonts w:ascii="Calibri" w:hAnsi="Calibri"/>
                <w:sz w:val="16"/>
              </w:rPr>
              <w:t>$7,732.00, described as 15%</w:t>
            </w:r>
          </w:p>
        </w:tc>
        <w:tc>
          <w:tcPr>
            <w:tcW w:type="dxa" w:w="5501"/>
            <w:tcMar>
              <w:top w:w="60" w:type="dxa"/>
              <w:start w:w="75" w:type="dxa"/>
              <w:bottom w:w="60" w:type="dxa"/>
              <w:end w:w="75" w:type="dxa"/>
            </w:tcMar>
            <w:vAlign w:val="top"/>
            <w:shd w:fill="F3F7FA"/>
          </w:tcPr>
          <w:p>
            <w:pPr>
              <w:spacing w:after="0" w:before="0" w:line="240" w:lineRule="auto"/>
            </w:pPr>
            <w:r>
              <w:rPr>
                <w:rFonts w:ascii="Calibri" w:hAnsi="Calibri"/>
                <w:sz w:val="16"/>
              </w:rPr>
              <w:t>15% of $54,104.50 is $8,115.68; stated discount is short by $383.68.</w:t>
            </w:r>
          </w:p>
        </w:tc>
      </w:tr>
      <w:tr>
        <w:trPr>
          <w:cantSplit/>
        </w:trPr>
        <w:tc>
          <w:tcPr>
            <w:tcW w:type="dxa" w:w="3024"/>
            <w:tcMar>
              <w:top w:w="60" w:type="dxa"/>
              <w:start w:w="75" w:type="dxa"/>
              <w:bottom w:w="60" w:type="dxa"/>
              <w:end w:w="75" w:type="dxa"/>
            </w:tcMar>
            <w:vAlign w:val="top"/>
          </w:tcPr>
          <w:p>
            <w:pPr>
              <w:spacing w:after="0" w:before="0" w:line="240" w:lineRule="auto"/>
            </w:pPr>
            <w:r>
              <w:rPr>
                <w:rFonts w:ascii="Calibri" w:hAnsi="Calibri"/>
                <w:sz w:val="16"/>
              </w:rPr>
              <w:t>Disbursements</w:t>
            </w:r>
          </w:p>
        </w:tc>
        <w:tc>
          <w:tcPr>
            <w:tcW w:type="dxa" w:w="2376"/>
            <w:tcMar>
              <w:top w:w="60" w:type="dxa"/>
              <w:start w:w="75" w:type="dxa"/>
              <w:bottom w:w="60" w:type="dxa"/>
              <w:end w:w="75" w:type="dxa"/>
            </w:tcMar>
            <w:vAlign w:val="top"/>
          </w:tcPr>
          <w:p>
            <w:pPr>
              <w:spacing w:after="0" w:before="0" w:line="240" w:lineRule="auto"/>
            </w:pPr>
            <w:r>
              <w:rPr>
                <w:rFonts w:ascii="Calibri" w:hAnsi="Calibri"/>
                <w:sz w:val="16"/>
              </w:rPr>
              <w:t>$45,600.00</w:t>
            </w:r>
          </w:p>
        </w:tc>
        <w:tc>
          <w:tcPr>
            <w:tcW w:type="dxa" w:w="5501"/>
            <w:tcMar>
              <w:top w:w="60" w:type="dxa"/>
              <w:start w:w="75" w:type="dxa"/>
              <w:bottom w:w="60" w:type="dxa"/>
              <w:end w:w="75" w:type="dxa"/>
            </w:tcMar>
            <w:vAlign w:val="top"/>
          </w:tcPr>
          <w:p>
            <w:pPr>
              <w:spacing w:after="0" w:before="0" w:line="240" w:lineRule="auto"/>
            </w:pPr>
            <w:r>
              <w:rPr>
                <w:rFonts w:ascii="Calibri" w:hAnsi="Calibri"/>
                <w:sz w:val="16"/>
              </w:rPr>
              <w:t>Arithmetic ties; supporting receipts/vendor invoices are not in the packet.</w:t>
            </w:r>
          </w:p>
        </w:tc>
      </w:tr>
    </w:tbl>
    <w:p>
      <w:pPr>
        <w:spacing w:after="0"/>
      </w:pPr>
    </w:p>
    <w:p>
      <w:r>
        <w:t>Recommended action: require a corrected invoice with a complete time-entry schedule, reconciled fee totals, corrected research hours, and a documented discount calculation. Do not approve the $106,472.00 summary-to-detail difference. The invoice’s total due of $387,420.50 depends on the unreconciled fee summary; the detailed entries plus stated discount and disbursements support only $280,948.50 pending correction.</w:t>
      </w:r>
    </w:p>
    <w:p>
      <w:pPr>
        <w:pStyle w:val="Heading1"/>
      </w:pPr>
      <w:r>
        <w:t>2. Research charges: cap, staffing, and duplication</w:t>
      </w:r>
    </w:p>
    <w:p>
      <w:r>
        <w:t>The June 28 email specifically reminded H&amp;L that Section 6.2 caps research at 12% absent prior written approval, identified prior MTCA duplication, and cautioned that July MTCA research should build on work already completed. The email did not approve an exception; it expressly required advance written approval. None is in the materials reviewed.</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2880"/>
            <w:shd w:fill="17365D"/>
            <w:tcMar>
              <w:top w:w="60" w:type="dxa"/>
              <w:start w:w="75" w:type="dxa"/>
              <w:bottom w:w="60" w:type="dxa"/>
              <w:end w:w="75" w:type="dxa"/>
            </w:tcMar>
            <w:vAlign w:val="center"/>
          </w:tcPr>
          <w:p>
            <w:pPr>
              <w:spacing w:after="0" w:before="0"/>
            </w:pPr>
            <w:r>
              <w:rPr>
                <w:rFonts w:ascii="Calibri" w:hAnsi="Calibri"/>
                <w:b/>
                <w:color w:val="FFFFFF"/>
                <w:sz w:val="15"/>
              </w:rPr>
              <w:t>Matter / basis</w:t>
            </w:r>
          </w:p>
        </w:tc>
        <w:tc>
          <w:tcPr>
            <w:tcW w:type="dxa" w:w="1800"/>
            <w:shd w:fill="17365D"/>
            <w:tcMar>
              <w:top w:w="60" w:type="dxa"/>
              <w:start w:w="75" w:type="dxa"/>
              <w:bottom w:w="60" w:type="dxa"/>
              <w:end w:w="75" w:type="dxa"/>
            </w:tcMar>
            <w:vAlign w:val="center"/>
          </w:tcPr>
          <w:p>
            <w:pPr>
              <w:spacing w:after="0" w:before="0"/>
            </w:pPr>
            <w:r>
              <w:rPr>
                <w:rFonts w:ascii="Calibri" w:hAnsi="Calibri"/>
                <w:b/>
                <w:color w:val="FFFFFF"/>
                <w:sz w:val="15"/>
              </w:rPr>
              <w:t>Net research</w:t>
            </w:r>
          </w:p>
        </w:tc>
        <w:tc>
          <w:tcPr>
            <w:tcW w:type="dxa" w:w="2232"/>
            <w:shd w:fill="17365D"/>
            <w:tcMar>
              <w:top w:w="60" w:type="dxa"/>
              <w:start w:w="75" w:type="dxa"/>
              <w:bottom w:w="60" w:type="dxa"/>
              <w:end w:w="75" w:type="dxa"/>
            </w:tcMar>
            <w:vAlign w:val="center"/>
          </w:tcPr>
          <w:p>
            <w:pPr>
              <w:spacing w:after="0" w:before="0"/>
            </w:pPr>
            <w:r>
              <w:rPr>
                <w:rFonts w:ascii="Calibri" w:hAnsi="Calibri"/>
                <w:b/>
                <w:color w:val="FFFFFF"/>
                <w:sz w:val="15"/>
              </w:rPr>
              <w:t>Net professional fees used</w:t>
            </w:r>
          </w:p>
        </w:tc>
        <w:tc>
          <w:tcPr>
            <w:tcW w:type="dxa" w:w="1728"/>
            <w:shd w:fill="17365D"/>
            <w:tcMar>
              <w:top w:w="60" w:type="dxa"/>
              <w:start w:w="75" w:type="dxa"/>
              <w:bottom w:w="60" w:type="dxa"/>
              <w:end w:w="75" w:type="dxa"/>
            </w:tcMar>
            <w:vAlign w:val="center"/>
          </w:tcPr>
          <w:p>
            <w:pPr>
              <w:spacing w:after="0" w:before="0"/>
            </w:pPr>
            <w:r>
              <w:rPr>
                <w:rFonts w:ascii="Calibri" w:hAnsi="Calibri"/>
                <w:b/>
                <w:color w:val="FFFFFF"/>
                <w:sz w:val="15"/>
              </w:rPr>
              <w:t>12% ceiling</w:t>
            </w:r>
          </w:p>
        </w:tc>
        <w:tc>
          <w:tcPr>
            <w:tcW w:type="dxa" w:w="1944"/>
            <w:shd w:fill="17365D"/>
            <w:tcMar>
              <w:top w:w="60" w:type="dxa"/>
              <w:start w:w="75" w:type="dxa"/>
              <w:bottom w:w="60" w:type="dxa"/>
              <w:end w:w="75" w:type="dxa"/>
            </w:tcMar>
            <w:vAlign w:val="center"/>
          </w:tcPr>
          <w:p>
            <w:pPr>
              <w:spacing w:after="0" w:before="0"/>
            </w:pPr>
            <w:r>
              <w:rPr>
                <w:rFonts w:ascii="Calibri" w:hAnsi="Calibri"/>
                <w:b/>
                <w:color w:val="FFFFFF"/>
                <w:sz w:val="15"/>
              </w:rPr>
              <w:t>Excess as submitted</w:t>
            </w:r>
          </w:p>
        </w:tc>
      </w:tr>
      <w:tr>
        <w:trPr>
          <w:cantSplit/>
        </w:trPr>
        <w:tc>
          <w:tcPr>
            <w:tcW w:type="dxa" w:w="2880"/>
            <w:tcMar>
              <w:top w:w="60" w:type="dxa"/>
              <w:start w:w="75" w:type="dxa"/>
              <w:bottom w:w="60" w:type="dxa"/>
              <w:end w:w="75" w:type="dxa"/>
            </w:tcMar>
            <w:vAlign w:val="top"/>
          </w:tcPr>
          <w:p>
            <w:pPr>
              <w:spacing w:after="0" w:before="0" w:line="240" w:lineRule="auto"/>
            </w:pPr>
            <w:r>
              <w:rPr>
                <w:rFonts w:ascii="Calibri" w:hAnsi="Calibri"/>
                <w:sz w:val="15"/>
              </w:rPr>
              <w:t>Cascade — Summary-tab figures</w:t>
            </w:r>
          </w:p>
        </w:tc>
        <w:tc>
          <w:tcPr>
            <w:tcW w:type="dxa" w:w="1800"/>
            <w:tcMar>
              <w:top w:w="60" w:type="dxa"/>
              <w:start w:w="75" w:type="dxa"/>
              <w:bottom w:w="60" w:type="dxa"/>
              <w:end w:w="75" w:type="dxa"/>
            </w:tcMar>
            <w:vAlign w:val="top"/>
          </w:tcPr>
          <w:p>
            <w:pPr>
              <w:spacing w:after="0" w:before="0" w:line="240" w:lineRule="auto"/>
            </w:pPr>
            <w:r>
              <w:rPr>
                <w:rFonts w:ascii="Calibri" w:hAnsi="Calibri"/>
                <w:sz w:val="15"/>
              </w:rPr>
              <w:t>$46,372.50</w:t>
            </w:r>
          </w:p>
        </w:tc>
        <w:tc>
          <w:tcPr>
            <w:tcW w:type="dxa" w:w="2232"/>
            <w:tcMar>
              <w:top w:w="60" w:type="dxa"/>
              <w:start w:w="75" w:type="dxa"/>
              <w:bottom w:w="60" w:type="dxa"/>
              <w:end w:w="75" w:type="dxa"/>
            </w:tcMar>
            <w:vAlign w:val="top"/>
          </w:tcPr>
          <w:p>
            <w:pPr>
              <w:spacing w:after="0" w:before="0" w:line="240" w:lineRule="auto"/>
            </w:pPr>
            <w:r>
              <w:rPr>
                <w:rFonts w:ascii="Calibri" w:hAnsi="Calibri"/>
                <w:sz w:val="15"/>
              </w:rPr>
              <w:t>$341,820.50</w:t>
            </w:r>
          </w:p>
        </w:tc>
        <w:tc>
          <w:tcPr>
            <w:tcW w:type="dxa" w:w="1728"/>
            <w:tcMar>
              <w:top w:w="60" w:type="dxa"/>
              <w:start w:w="75" w:type="dxa"/>
              <w:bottom w:w="60" w:type="dxa"/>
              <w:end w:w="75" w:type="dxa"/>
            </w:tcMar>
            <w:vAlign w:val="top"/>
          </w:tcPr>
          <w:p>
            <w:pPr>
              <w:spacing w:after="0" w:before="0" w:line="240" w:lineRule="auto"/>
            </w:pPr>
            <w:r>
              <w:rPr>
                <w:rFonts w:ascii="Calibri" w:hAnsi="Calibri"/>
                <w:sz w:val="15"/>
              </w:rPr>
              <w:t>$41,018.46</w:t>
            </w:r>
          </w:p>
        </w:tc>
        <w:tc>
          <w:tcPr>
            <w:tcW w:type="dxa" w:w="1944"/>
            <w:tcMar>
              <w:top w:w="60" w:type="dxa"/>
              <w:start w:w="75" w:type="dxa"/>
              <w:bottom w:w="60" w:type="dxa"/>
              <w:end w:w="75" w:type="dxa"/>
            </w:tcMar>
            <w:vAlign w:val="top"/>
          </w:tcPr>
          <w:p>
            <w:pPr>
              <w:spacing w:after="0" w:before="0" w:line="240" w:lineRule="auto"/>
            </w:pPr>
            <w:r>
              <w:rPr>
                <w:rFonts w:ascii="Calibri" w:hAnsi="Calibri"/>
                <w:sz w:val="15"/>
              </w:rPr>
              <w:t>$5,354.04</w:t>
            </w:r>
          </w:p>
        </w:tc>
      </w:tr>
      <w:tr>
        <w:trPr>
          <w:cantSplit/>
        </w:trPr>
        <w:tc>
          <w:tcPr>
            <w:tcW w:type="dxa" w:w="2880"/>
            <w:tcMar>
              <w:top w:w="60" w:type="dxa"/>
              <w:start w:w="75" w:type="dxa"/>
              <w:bottom w:w="60" w:type="dxa"/>
              <w:end w:w="75" w:type="dxa"/>
            </w:tcMar>
            <w:vAlign w:val="top"/>
            <w:shd w:fill="F3F7FA"/>
          </w:tcPr>
          <w:p>
            <w:pPr>
              <w:spacing w:after="0" w:before="0" w:line="240" w:lineRule="auto"/>
            </w:pPr>
            <w:r>
              <w:rPr>
                <w:rFonts w:ascii="Calibri" w:hAnsi="Calibri"/>
                <w:sz w:val="15"/>
              </w:rPr>
              <w:t>Cascade — Fee Detail total less stated discount</w:t>
            </w:r>
          </w:p>
        </w:tc>
        <w:tc>
          <w:tcPr>
            <w:tcW w:type="dxa" w:w="1800"/>
            <w:tcMar>
              <w:top w:w="60" w:type="dxa"/>
              <w:start w:w="75" w:type="dxa"/>
              <w:bottom w:w="60" w:type="dxa"/>
              <w:end w:w="75" w:type="dxa"/>
            </w:tcMar>
            <w:vAlign w:val="top"/>
            <w:shd w:fill="F3F7FA"/>
          </w:tcPr>
          <w:p>
            <w:pPr>
              <w:spacing w:after="0" w:before="0" w:line="240" w:lineRule="auto"/>
            </w:pPr>
            <w:r>
              <w:rPr>
                <w:rFonts w:ascii="Calibri" w:hAnsi="Calibri"/>
                <w:sz w:val="15"/>
              </w:rPr>
              <w:t>$46,372.50</w:t>
            </w:r>
          </w:p>
        </w:tc>
        <w:tc>
          <w:tcPr>
            <w:tcW w:type="dxa" w:w="2232"/>
            <w:tcMar>
              <w:top w:w="60" w:type="dxa"/>
              <w:start w:w="75" w:type="dxa"/>
              <w:bottom w:w="60" w:type="dxa"/>
              <w:end w:w="75" w:type="dxa"/>
            </w:tcMar>
            <w:vAlign w:val="top"/>
            <w:shd w:fill="F3F7FA"/>
          </w:tcPr>
          <w:p>
            <w:pPr>
              <w:spacing w:after="0" w:before="0" w:line="240" w:lineRule="auto"/>
            </w:pPr>
            <w:r>
              <w:rPr>
                <w:rFonts w:ascii="Calibri" w:hAnsi="Calibri"/>
                <w:sz w:val="15"/>
              </w:rPr>
              <w:t>$235,348.50</w:t>
            </w:r>
          </w:p>
        </w:tc>
        <w:tc>
          <w:tcPr>
            <w:tcW w:type="dxa" w:w="1728"/>
            <w:tcMar>
              <w:top w:w="60" w:type="dxa"/>
              <w:start w:w="75" w:type="dxa"/>
              <w:bottom w:w="60" w:type="dxa"/>
              <w:end w:w="75" w:type="dxa"/>
            </w:tcMar>
            <w:vAlign w:val="top"/>
            <w:shd w:fill="F3F7FA"/>
          </w:tcPr>
          <w:p>
            <w:pPr>
              <w:spacing w:after="0" w:before="0" w:line="240" w:lineRule="auto"/>
            </w:pPr>
            <w:r>
              <w:rPr>
                <w:rFonts w:ascii="Calibri" w:hAnsi="Calibri"/>
                <w:sz w:val="15"/>
              </w:rPr>
              <w:t>$28,241.82</w:t>
            </w:r>
          </w:p>
        </w:tc>
        <w:tc>
          <w:tcPr>
            <w:tcW w:type="dxa" w:w="1944"/>
            <w:tcMar>
              <w:top w:w="60" w:type="dxa"/>
              <w:start w:w="75" w:type="dxa"/>
              <w:bottom w:w="60" w:type="dxa"/>
              <w:end w:w="75" w:type="dxa"/>
            </w:tcMar>
            <w:vAlign w:val="top"/>
            <w:shd w:fill="F3F7FA"/>
          </w:tcPr>
          <w:p>
            <w:pPr>
              <w:spacing w:after="0" w:before="0" w:line="240" w:lineRule="auto"/>
            </w:pPr>
            <w:r>
              <w:rPr>
                <w:rFonts w:ascii="Calibri" w:hAnsi="Calibri"/>
                <w:sz w:val="15"/>
              </w:rPr>
              <w:t>$18,130.68</w:t>
            </w:r>
          </w:p>
        </w:tc>
      </w:tr>
      <w:tr>
        <w:trPr>
          <w:cantSplit/>
        </w:trPr>
        <w:tc>
          <w:tcPr>
            <w:tcW w:type="dxa" w:w="2880"/>
            <w:tcMar>
              <w:top w:w="60" w:type="dxa"/>
              <w:start w:w="75" w:type="dxa"/>
              <w:bottom w:w="60" w:type="dxa"/>
              <w:end w:w="75" w:type="dxa"/>
            </w:tcMar>
            <w:vAlign w:val="top"/>
          </w:tcPr>
          <w:p>
            <w:pPr>
              <w:spacing w:after="0" w:before="0" w:line="240" w:lineRule="auto"/>
            </w:pPr>
            <w:r>
              <w:rPr>
                <w:rFonts w:ascii="Calibri" w:hAnsi="Calibri"/>
                <w:sz w:val="15"/>
              </w:rPr>
              <w:t>DOE — July invoice summary</w:t>
            </w:r>
          </w:p>
        </w:tc>
        <w:tc>
          <w:tcPr>
            <w:tcW w:type="dxa" w:w="1800"/>
            <w:tcMar>
              <w:top w:w="60" w:type="dxa"/>
              <w:start w:w="75" w:type="dxa"/>
              <w:bottom w:w="60" w:type="dxa"/>
              <w:end w:w="75" w:type="dxa"/>
            </w:tcMar>
            <w:vAlign w:val="top"/>
          </w:tcPr>
          <w:p>
            <w:pPr>
              <w:spacing w:after="0" w:before="0" w:line="240" w:lineRule="auto"/>
            </w:pPr>
            <w:r>
              <w:rPr>
                <w:rFonts w:ascii="Calibri" w:hAnsi="Calibri"/>
                <w:sz w:val="15"/>
              </w:rPr>
              <w:t>$5,872.50</w:t>
            </w:r>
          </w:p>
        </w:tc>
        <w:tc>
          <w:tcPr>
            <w:tcW w:type="dxa" w:w="2232"/>
            <w:tcMar>
              <w:top w:w="60" w:type="dxa"/>
              <w:start w:w="75" w:type="dxa"/>
              <w:bottom w:w="60" w:type="dxa"/>
              <w:end w:w="75" w:type="dxa"/>
            </w:tcMar>
            <w:vAlign w:val="top"/>
          </w:tcPr>
          <w:p>
            <w:pPr>
              <w:spacing w:after="0" w:before="0" w:line="240" w:lineRule="auto"/>
            </w:pPr>
            <w:r>
              <w:rPr>
                <w:rFonts w:ascii="Calibri" w:hAnsi="Calibri"/>
                <w:sz w:val="15"/>
              </w:rPr>
              <w:t>$48,735.00</w:t>
            </w:r>
          </w:p>
        </w:tc>
        <w:tc>
          <w:tcPr>
            <w:tcW w:type="dxa" w:w="1728"/>
            <w:tcMar>
              <w:top w:w="60" w:type="dxa"/>
              <w:start w:w="75" w:type="dxa"/>
              <w:bottom w:w="60" w:type="dxa"/>
              <w:end w:w="75" w:type="dxa"/>
            </w:tcMar>
            <w:vAlign w:val="top"/>
          </w:tcPr>
          <w:p>
            <w:pPr>
              <w:spacing w:after="0" w:before="0" w:line="240" w:lineRule="auto"/>
            </w:pPr>
            <w:r>
              <w:rPr>
                <w:rFonts w:ascii="Calibri" w:hAnsi="Calibri"/>
                <w:sz w:val="15"/>
              </w:rPr>
              <w:t>$5,848.20</w:t>
            </w:r>
          </w:p>
        </w:tc>
        <w:tc>
          <w:tcPr>
            <w:tcW w:type="dxa" w:w="1944"/>
            <w:tcMar>
              <w:top w:w="60" w:type="dxa"/>
              <w:start w:w="75" w:type="dxa"/>
              <w:bottom w:w="60" w:type="dxa"/>
              <w:end w:w="75" w:type="dxa"/>
            </w:tcMar>
            <w:vAlign w:val="top"/>
          </w:tcPr>
          <w:p>
            <w:pPr>
              <w:spacing w:after="0" w:before="0" w:line="240" w:lineRule="auto"/>
            </w:pPr>
            <w:r>
              <w:rPr>
                <w:rFonts w:ascii="Calibri" w:hAnsi="Calibri"/>
                <w:sz w:val="15"/>
              </w:rPr>
              <w:t>$24.30</w:t>
            </w:r>
          </w:p>
        </w:tc>
      </w:tr>
    </w:tbl>
    <w:p>
      <w:pPr>
        <w:spacing w:after="0"/>
      </w:pPr>
    </w:p>
    <w:p>
      <w:r>
        <w:t>Cascade’s reported research ratio is 13.56% (the Summary tab rounds to 13.56%), already over the cap. Since the fee denominator is materially inconsistent, the final cap adjustment must be recalculated after H&amp;L reconciles the invoice. The table shows the standalone excess under each available Cascade denominator; it is not an additional haircut to stack on top of entry-specific disallowances. Apply Sections 6.2 and 11 to the corrected invoice, after credits for duplicated or otherwise disallowed time. The DOE summary shows a separate $24.30 cap overage and no written approval.</w:t>
      </w:r>
    </w:p>
    <w:p>
      <w:pPr>
        <w:pStyle w:val="Heading2"/>
      </w:pPr>
      <w:r>
        <w:t>2.1 Partner and senior-associate research</w:t>
      </w:r>
    </w:p>
    <w:p>
      <w:r>
        <w:t>Section 6.3 bars partner research at partner rates. If exceptional partner research is retained, it must be written off or billed at no more than the $545 senior-associate rate, and the entry must explain why delegation was not possible and why partner involvement was necessary. The six partner-coded RES entries contain no such notation: Diane Hargrove, 5.5 hours/$4,922.50; Nathan Briggs, 7.0 hours/$5,075.00. If retained rather than disallowed as duplicative, reduce the combined $9,997.50 to $6,812.50 at $545/hour — a $3,185.00 reduction. Do not also apply this rate reduction to any partner entry fully disallowed under the duplication rule below.</w:t>
      </w:r>
    </w:p>
    <w:p>
      <w:r>
        <w:t>Samantha Ortega’s July 8 (3.5 hours) and July 22 (2.0 hours) research entries total 5.5 hours/$2,997.50 for deposition procedure and witness-preparation ethics. These are routine procedural research topics, with no explanation why a junior associate could not perform them. Under Sections 4.1 and 6.3, re-rate to the first-year associate rate of $295/hour (or disallow if the firm cannot justify the staffing level): recommended reduction $1,375.00.</w:t>
      </w:r>
    </w:p>
    <w:p>
      <w:pPr>
        <w:pStyle w:val="Heading2"/>
      </w:pPr>
      <w:r>
        <w:t>2.2 Duplicative research within Cascade</w:t>
      </w:r>
    </w:p>
    <w:p>
      <w:r>
        <w:t>Section 6.4 requires payment only for the most junior qualified attorney’s research when different attorneys research the same or substantially overlapping issue in the same billing period. The descriptions below show overlap; H&amp;L bears the burden to identify genuinely distinct sub-issues and allocate time. Proposed disallowances are at the billed gross entry amounts, before recalculating any research discount.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7365D"/>
            <w:tcMar>
              <w:top w:w="60" w:type="dxa"/>
              <w:start w:w="75" w:type="dxa"/>
              <w:bottom w:w="60" w:type="dxa"/>
              <w:end w:w="75" w:type="dxa"/>
            </w:tcMar>
            <w:vAlign w:val="center"/>
          </w:tcPr>
          <w:p>
            <w:pPr>
              <w:spacing w:after="0" w:before="0"/>
            </w:pPr>
            <w:r>
              <w:rPr>
                <w:rFonts w:ascii="Calibri" w:hAnsi="Calibri"/>
                <w:b/>
                <w:color w:val="FFFFFF"/>
                <w:sz w:val="14"/>
              </w:rPr>
              <w:t>Overlapping issue / entries</w:t>
            </w:r>
          </w:p>
        </w:tc>
        <w:tc>
          <w:tcPr>
            <w:tcW w:type="dxa" w:w="1800"/>
            <w:shd w:fill="17365D"/>
            <w:tcMar>
              <w:top w:w="60" w:type="dxa"/>
              <w:start w:w="75" w:type="dxa"/>
              <w:bottom w:w="60" w:type="dxa"/>
              <w:end w:w="75" w:type="dxa"/>
            </w:tcMar>
            <w:vAlign w:val="center"/>
          </w:tcPr>
          <w:p>
            <w:pPr>
              <w:spacing w:after="0" w:before="0"/>
            </w:pPr>
            <w:r>
              <w:rPr>
                <w:rFonts w:ascii="Calibri" w:hAnsi="Calibri"/>
                <w:b/>
                <w:color w:val="FFFFFF"/>
                <w:sz w:val="14"/>
              </w:rPr>
              <w:t>Recommended credit (gross)</w:t>
            </w:r>
          </w:p>
        </w:tc>
        <w:tc>
          <w:tcPr>
            <w:tcW w:type="dxa" w:w="4608"/>
            <w:shd w:fill="17365D"/>
            <w:tcMar>
              <w:top w:w="60" w:type="dxa"/>
              <w:start w:w="75" w:type="dxa"/>
              <w:bottom w:w="60" w:type="dxa"/>
              <w:end w:w="75" w:type="dxa"/>
            </w:tcMar>
            <w:vAlign w:val="center"/>
          </w:tcPr>
          <w:p>
            <w:pPr>
              <w:spacing w:after="0" w:before="0"/>
            </w:pPr>
            <w:r>
              <w:rPr>
                <w:rFonts w:ascii="Calibri" w:hAnsi="Calibri"/>
                <w:b/>
                <w:color w:val="FFFFFF"/>
                <w:sz w:val="14"/>
              </w:rPr>
              <w:t>Basis</w:t>
            </w:r>
          </w:p>
        </w:tc>
      </w:tr>
      <w:tr>
        <w:trPr>
          <w:cantSplit/>
        </w:trPr>
        <w:tc>
          <w:tcPr>
            <w:tcW w:type="dxa" w:w="3384"/>
            <w:tcMar>
              <w:top w:w="60" w:type="dxa"/>
              <w:start w:w="75" w:type="dxa"/>
              <w:bottom w:w="60" w:type="dxa"/>
              <w:end w:w="75" w:type="dxa"/>
            </w:tcMar>
            <w:vAlign w:val="top"/>
          </w:tcPr>
          <w:p>
            <w:pPr>
              <w:spacing w:after="0" w:before="0" w:line="240" w:lineRule="auto"/>
            </w:pPr>
            <w:r>
              <w:rPr>
                <w:rFonts w:ascii="Calibri" w:hAnsi="Calibri"/>
                <w:sz w:val="14"/>
              </w:rPr>
              <w:t>MTCA contractor liability: Wendt July 1, 3.2h/$1,360; Wendt July 5, 4.0h/$1,700. Takahashi also researched the MTCA contractor-liability framework July 1–2.</w:t>
            </w:r>
          </w:p>
        </w:tc>
        <w:tc>
          <w:tcPr>
            <w:tcW w:type="dxa" w:w="1800"/>
            <w:tcMar>
              <w:top w:w="60" w:type="dxa"/>
              <w:start w:w="75" w:type="dxa"/>
              <w:bottom w:w="60" w:type="dxa"/>
              <w:end w:w="75" w:type="dxa"/>
            </w:tcMar>
            <w:vAlign w:val="top"/>
          </w:tcPr>
          <w:p>
            <w:pPr>
              <w:spacing w:after="0" w:before="0" w:line="240" w:lineRule="auto"/>
            </w:pPr>
            <w:r>
              <w:rPr>
                <w:rFonts w:ascii="Calibri" w:hAnsi="Calibri"/>
                <w:sz w:val="14"/>
              </w:rPr>
              <w:t>$3,060.00</w:t>
            </w:r>
          </w:p>
        </w:tc>
        <w:tc>
          <w:tcPr>
            <w:tcW w:type="dxa" w:w="4608"/>
            <w:tcMar>
              <w:top w:w="60" w:type="dxa"/>
              <w:start w:w="75" w:type="dxa"/>
              <w:bottom w:w="60" w:type="dxa"/>
              <w:end w:w="75" w:type="dxa"/>
            </w:tcMar>
            <w:vAlign w:val="top"/>
          </w:tcPr>
          <w:p>
            <w:pPr>
              <w:spacing w:after="0" w:before="0" w:line="240" w:lineRule="auto"/>
            </w:pPr>
            <w:r>
              <w:rPr>
                <w:rFonts w:ascii="Calibri" w:hAnsi="Calibri"/>
                <w:sz w:val="14"/>
              </w:rPr>
              <w:t>Retain the most junior qualified researcher’s work; Wendt’s July 1/5 descriptions do not allocate a distinct summary-judgment sub-issue. Allow any distinctly supported procedural portion only if H&amp;L documents it.</w:t>
            </w:r>
          </w:p>
        </w:tc>
      </w:tr>
      <w:tr>
        <w:trPr>
          <w:cantSplit/>
        </w:trPr>
        <w:tc>
          <w:tcPr>
            <w:tcW w:type="dxa" w:w="3384"/>
            <w:tcMar>
              <w:top w:w="60" w:type="dxa"/>
              <w:start w:w="75" w:type="dxa"/>
              <w:bottom w:w="60" w:type="dxa"/>
              <w:end w:w="75" w:type="dxa"/>
            </w:tcMar>
            <w:vAlign w:val="top"/>
            <w:shd w:fill="F3F7FA"/>
          </w:tcPr>
          <w:p>
            <w:pPr>
              <w:spacing w:after="0" w:before="0" w:line="240" w:lineRule="auto"/>
            </w:pPr>
            <w:r>
              <w:rPr>
                <w:rFonts w:ascii="Calibri" w:hAnsi="Calibri"/>
                <w:sz w:val="14"/>
              </w:rPr>
              <w:t>Washington economic-loss rule: Takahashi July 12, 6.0h/$2,040; Osei July 12, 4.5h/$1,327.50.</w:t>
            </w:r>
          </w:p>
        </w:tc>
        <w:tc>
          <w:tcPr>
            <w:tcW w:type="dxa" w:w="1800"/>
            <w:tcMar>
              <w:top w:w="60" w:type="dxa"/>
              <w:start w:w="75" w:type="dxa"/>
              <w:bottom w:w="60" w:type="dxa"/>
              <w:end w:w="75" w:type="dxa"/>
            </w:tcMar>
            <w:vAlign w:val="top"/>
            <w:shd w:fill="F3F7FA"/>
          </w:tcPr>
          <w:p>
            <w:pPr>
              <w:spacing w:after="0" w:before="0" w:line="240" w:lineRule="auto"/>
            </w:pPr>
            <w:r>
              <w:rPr>
                <w:rFonts w:ascii="Calibri" w:hAnsi="Calibri"/>
                <w:sz w:val="14"/>
              </w:rPr>
              <w:t>$2,040.00</w:t>
            </w:r>
          </w:p>
        </w:tc>
        <w:tc>
          <w:tcPr>
            <w:tcW w:type="dxa" w:w="4608"/>
            <w:tcMar>
              <w:top w:w="60" w:type="dxa"/>
              <w:start w:w="75" w:type="dxa"/>
              <w:bottom w:w="60" w:type="dxa"/>
              <w:end w:w="75" w:type="dxa"/>
            </w:tcMar>
            <w:vAlign w:val="top"/>
            <w:shd w:fill="F3F7FA"/>
          </w:tcPr>
          <w:p>
            <w:pPr>
              <w:spacing w:after="0" w:before="0" w:line="240" w:lineRule="auto"/>
            </w:pPr>
            <w:r>
              <w:rPr>
                <w:rFonts w:ascii="Calibri" w:hAnsi="Calibri"/>
                <w:sz w:val="14"/>
              </w:rPr>
              <w:t>Same doctrine and same day; Osei is the more junior researcher. The “exceptions” framing does not, without more, make this a separate legal issue under §6.4.</w:t>
            </w:r>
          </w:p>
        </w:tc>
      </w:tr>
      <w:tr>
        <w:trPr>
          <w:cantSplit/>
        </w:trPr>
        <w:tc>
          <w:tcPr>
            <w:tcW w:type="dxa" w:w="3384"/>
            <w:tcMar>
              <w:top w:w="60" w:type="dxa"/>
              <w:start w:w="75" w:type="dxa"/>
              <w:bottom w:w="60" w:type="dxa"/>
              <w:end w:w="75" w:type="dxa"/>
            </w:tcMar>
            <w:vAlign w:val="top"/>
          </w:tcPr>
          <w:p>
            <w:pPr>
              <w:spacing w:after="0" w:before="0" w:line="240" w:lineRule="auto"/>
            </w:pPr>
            <w:r>
              <w:rPr>
                <w:rFonts w:ascii="Calibri" w:hAnsi="Calibri"/>
                <w:sz w:val="14"/>
              </w:rPr>
              <w:t>Consequential damages: Takahashi July 3, 3.5h/$1,190; Osei July 8–10, 13.0h/$3,835.00.</w:t>
            </w:r>
          </w:p>
        </w:tc>
        <w:tc>
          <w:tcPr>
            <w:tcW w:type="dxa" w:w="1800"/>
            <w:tcMar>
              <w:top w:w="60" w:type="dxa"/>
              <w:start w:w="75" w:type="dxa"/>
              <w:bottom w:w="60" w:type="dxa"/>
              <w:end w:w="75" w:type="dxa"/>
            </w:tcMar>
            <w:vAlign w:val="top"/>
          </w:tcPr>
          <w:p>
            <w:pPr>
              <w:spacing w:after="0" w:before="0" w:line="240" w:lineRule="auto"/>
            </w:pPr>
            <w:r>
              <w:rPr>
                <w:rFonts w:ascii="Calibri" w:hAnsi="Calibri"/>
                <w:sz w:val="14"/>
              </w:rPr>
              <w:t>$1,190.00</w:t>
            </w:r>
          </w:p>
        </w:tc>
        <w:tc>
          <w:tcPr>
            <w:tcW w:type="dxa" w:w="4608"/>
            <w:tcMar>
              <w:top w:w="60" w:type="dxa"/>
              <w:start w:w="75" w:type="dxa"/>
              <w:bottom w:w="60" w:type="dxa"/>
              <w:end w:w="75" w:type="dxa"/>
            </w:tcMar>
            <w:vAlign w:val="top"/>
          </w:tcPr>
          <w:p>
            <w:pPr>
              <w:spacing w:after="0" w:before="0" w:line="240" w:lineRule="auto"/>
            </w:pPr>
            <w:r>
              <w:rPr>
                <w:rFonts w:ascii="Calibri" w:hAnsi="Calibri"/>
                <w:sz w:val="14"/>
              </w:rPr>
              <w:t>Both address Washington consequential damages/foreseeability in contract disputes; retain the junior associate’s work and disallow the higher-rate overlap.</w:t>
            </w:r>
          </w:p>
        </w:tc>
      </w:tr>
      <w:tr>
        <w:trPr>
          <w:cantSplit/>
        </w:trPr>
        <w:tc>
          <w:tcPr>
            <w:tcW w:type="dxa" w:w="3384"/>
            <w:tcMar>
              <w:top w:w="60" w:type="dxa"/>
              <w:start w:w="75" w:type="dxa"/>
              <w:bottom w:w="60" w:type="dxa"/>
              <w:end w:w="75" w:type="dxa"/>
            </w:tcMar>
            <w:vAlign w:val="top"/>
            <w:shd w:fill="F3F7FA"/>
          </w:tcPr>
          <w:p>
            <w:pPr>
              <w:spacing w:after="0" w:before="0" w:line="240" w:lineRule="auto"/>
            </w:pPr>
            <w:r>
              <w:rPr>
                <w:rFonts w:ascii="Calibri" w:hAnsi="Calibri"/>
                <w:sz w:val="14"/>
              </w:rPr>
              <w:t>Lost profits: Wendt July 18, 4.5h/$1,912.50; Takahashi July 18, 3.5h/$1,190.</w:t>
            </w:r>
          </w:p>
        </w:tc>
        <w:tc>
          <w:tcPr>
            <w:tcW w:type="dxa" w:w="1800"/>
            <w:tcMar>
              <w:top w:w="60" w:type="dxa"/>
              <w:start w:w="75" w:type="dxa"/>
              <w:bottom w:w="60" w:type="dxa"/>
              <w:end w:w="75" w:type="dxa"/>
            </w:tcMar>
            <w:vAlign w:val="top"/>
            <w:shd w:fill="F3F7FA"/>
          </w:tcPr>
          <w:p>
            <w:pPr>
              <w:spacing w:after="0" w:before="0" w:line="240" w:lineRule="auto"/>
            </w:pPr>
            <w:r>
              <w:rPr>
                <w:rFonts w:ascii="Calibri" w:hAnsi="Calibri"/>
                <w:sz w:val="14"/>
              </w:rPr>
              <w:t>$1,912.50</w:t>
            </w:r>
          </w:p>
        </w:tc>
        <w:tc>
          <w:tcPr>
            <w:tcW w:type="dxa" w:w="4608"/>
            <w:tcMar>
              <w:top w:w="60" w:type="dxa"/>
              <w:start w:w="75" w:type="dxa"/>
              <w:bottom w:w="60" w:type="dxa"/>
              <w:end w:w="75" w:type="dxa"/>
            </w:tcMar>
            <w:vAlign w:val="top"/>
            <w:shd w:fill="F3F7FA"/>
          </w:tcPr>
          <w:p>
            <w:pPr>
              <w:spacing w:after="0" w:before="0" w:line="240" w:lineRule="auto"/>
            </w:pPr>
            <w:r>
              <w:rPr>
                <w:rFonts w:ascii="Calibri" w:hAnsi="Calibri"/>
                <w:sz w:val="14"/>
              </w:rPr>
              <w:t>Same Washington lost-profits proof/speculation issue; retain the more junior researcher’s time.</w:t>
            </w:r>
          </w:p>
        </w:tc>
      </w:tr>
      <w:tr>
        <w:trPr>
          <w:cantSplit/>
        </w:trPr>
        <w:tc>
          <w:tcPr>
            <w:tcW w:type="dxa" w:w="3384"/>
            <w:tcMar>
              <w:top w:w="60" w:type="dxa"/>
              <w:start w:w="75" w:type="dxa"/>
              <w:bottom w:w="60" w:type="dxa"/>
              <w:end w:w="75" w:type="dxa"/>
            </w:tcMar>
            <w:vAlign w:val="top"/>
          </w:tcPr>
          <w:p>
            <w:pPr>
              <w:spacing w:after="0" w:before="0" w:line="240" w:lineRule="auto"/>
            </w:pPr>
            <w:r>
              <w:rPr>
                <w:rFonts w:ascii="Calibri" w:hAnsi="Calibri"/>
                <w:sz w:val="14"/>
              </w:rPr>
              <w:t>Spoliation / ESI sanctions: Briggs July 2, 2.5h/$1,812.50 and July 24, 1.5h/$1,087.50; Wendt July 29, 2.8h/$1,190; Takahashi July 29, 4.3h/$1,462.</w:t>
            </w:r>
          </w:p>
        </w:tc>
        <w:tc>
          <w:tcPr>
            <w:tcW w:type="dxa" w:w="1800"/>
            <w:tcMar>
              <w:top w:w="60" w:type="dxa"/>
              <w:start w:w="75" w:type="dxa"/>
              <w:bottom w:w="60" w:type="dxa"/>
              <w:end w:w="75" w:type="dxa"/>
            </w:tcMar>
            <w:vAlign w:val="top"/>
          </w:tcPr>
          <w:p>
            <w:pPr>
              <w:spacing w:after="0" w:before="0" w:line="240" w:lineRule="auto"/>
            </w:pPr>
            <w:r>
              <w:rPr>
                <w:rFonts w:ascii="Calibri" w:hAnsi="Calibri"/>
                <w:sz w:val="14"/>
              </w:rPr>
              <w:t>$4,090.00</w:t>
            </w:r>
          </w:p>
        </w:tc>
        <w:tc>
          <w:tcPr>
            <w:tcW w:type="dxa" w:w="4608"/>
            <w:tcMar>
              <w:top w:w="60" w:type="dxa"/>
              <w:start w:w="75" w:type="dxa"/>
              <w:bottom w:w="60" w:type="dxa"/>
              <w:end w:w="75" w:type="dxa"/>
            </w:tcMar>
            <w:vAlign w:val="top"/>
          </w:tcPr>
          <w:p>
            <w:pPr>
              <w:spacing w:after="0" w:before="0" w:line="240" w:lineRule="auto"/>
            </w:pPr>
            <w:r>
              <w:rPr>
                <w:rFonts w:ascii="Calibri" w:hAnsi="Calibri"/>
                <w:sz w:val="14"/>
              </w:rPr>
              <w:t>Same federal spoliation/sanctions framework, including preservation duty and Rule 37(e). Retain Takahashi’s lower-rate work; remove the partner and Wendt overlap.</w:t>
            </w:r>
          </w:p>
        </w:tc>
      </w:tr>
      <w:tr>
        <w:trPr>
          <w:cantSplit/>
        </w:trPr>
        <w:tc>
          <w:tcPr>
            <w:tcW w:type="dxa" w:w="3384"/>
            <w:tcMar>
              <w:top w:w="60" w:type="dxa"/>
              <w:start w:w="75" w:type="dxa"/>
              <w:bottom w:w="60" w:type="dxa"/>
              <w:end w:w="75" w:type="dxa"/>
            </w:tcMar>
            <w:vAlign w:val="top"/>
            <w:shd w:fill="F3F7FA"/>
          </w:tcPr>
          <w:p>
            <w:pPr>
              <w:spacing w:after="0" w:before="0" w:line="240" w:lineRule="auto"/>
            </w:pPr>
            <w:r>
              <w:rPr>
                <w:rFonts w:ascii="Calibri" w:hAnsi="Calibri"/>
                <w:sz w:val="14"/>
              </w:rPr>
              <w:t>Unjust enrichment: Takahashi July 24, 3.5h/$1,190; Osei July 23, 4.0h/$1,180.</w:t>
            </w:r>
          </w:p>
        </w:tc>
        <w:tc>
          <w:tcPr>
            <w:tcW w:type="dxa" w:w="1800"/>
            <w:tcMar>
              <w:top w:w="60" w:type="dxa"/>
              <w:start w:w="75" w:type="dxa"/>
              <w:bottom w:w="60" w:type="dxa"/>
              <w:end w:w="75" w:type="dxa"/>
            </w:tcMar>
            <w:vAlign w:val="top"/>
            <w:shd w:fill="F3F7FA"/>
          </w:tcPr>
          <w:p>
            <w:pPr>
              <w:spacing w:after="0" w:before="0" w:line="240" w:lineRule="auto"/>
            </w:pPr>
            <w:r>
              <w:rPr>
                <w:rFonts w:ascii="Calibri" w:hAnsi="Calibri"/>
                <w:sz w:val="14"/>
              </w:rPr>
              <w:t>$1,190.00</w:t>
            </w:r>
          </w:p>
        </w:tc>
        <w:tc>
          <w:tcPr>
            <w:tcW w:type="dxa" w:w="4608"/>
            <w:tcMar>
              <w:top w:w="60" w:type="dxa"/>
              <w:start w:w="75" w:type="dxa"/>
              <w:bottom w:w="60" w:type="dxa"/>
              <w:end w:w="75" w:type="dxa"/>
            </w:tcMar>
            <w:vAlign w:val="top"/>
            <w:shd w:fill="F3F7FA"/>
          </w:tcPr>
          <w:p>
            <w:pPr>
              <w:spacing w:after="0" w:before="0" w:line="240" w:lineRule="auto"/>
            </w:pPr>
            <w:r>
              <w:rPr>
                <w:rFonts w:ascii="Calibri" w:hAnsi="Calibri"/>
                <w:sz w:val="14"/>
              </w:rPr>
              <w:t>Same Washington unjust-enrichment claim/defense framework. Section 6.4 treats elements and defenses as the same issue absent a demonstrated distinct legal framework; retain Osei’s lower-rate work.</w:t>
            </w:r>
          </w:p>
        </w:tc>
      </w:tr>
    </w:tbl>
    <w:p>
      <w:pPr>
        <w:spacing w:after="0"/>
      </w:pPr>
    </w:p>
    <w:p>
      <w:r>
        <w:t>The above intra-matter duplicate candidates total $13,482.50 gross. This is an entry-level recommendation subject to documented proof of distinct sub-issues; it is not additive to a cap reduction for the same amounts.</w:t>
      </w:r>
    </w:p>
    <w:p>
      <w:pPr>
        <w:pStyle w:val="Heading2"/>
      </w:pPr>
      <w:r>
        <w:t>2.3 Cross-matter MTCA research</w:t>
      </w:r>
    </w:p>
    <w:p>
      <w:r>
        <w:t>Section 6.6 requires research that benefits multiple TerraVerde matters to be billed only once, to the primary matter, with a notation identifying the other applicable matter. Neither July research schedule contains such a notation or a prior written request to conduct the same research independently. The Cascade team had already researched and briefed the MTCA contractor-liability issue in June; the June 28 email specifically noted the parallel DOE matter and reminded H&amp;L not to bill shared research twice.</w:t>
      </w:r>
    </w:p>
    <w:p>
      <w:r>
        <w:t>The clearest overlap is between Cascade’s July 1–5 Takahashi/Wendt MTCA contractor-liability and CERCLA-analog entries and the DOE invoice’s Takahashi entries: July 1 (3.0h/$1,020), July 2 (2.5h/$850), and July 8 (2.0h/$680). Those three DOE entries total $2,550 and substantially track the same MTCA contractor-liability/CERCLA questions billed on Cascade. Treat Cascade as the primary matter for the shared liability research, given the June summary-judgment work, and credit the duplicate $2,550 on the DOE bill (or on whichever invoice has not yet been paid). Review the additional DOE July 15 and July 22 Takahashi entries (combined $1,700) for overlap; allow only time H&amp;L can show was genuinely DOE-specific, separately allocated, and not useful to Cascade. DOE-specific administrative-hearing and penalty research by Osei ($1,622.50) appears distinct on its descriptions and is not included in the proposed cross-matter credit.</w:t>
      </w:r>
    </w:p>
    <w:p>
      <w:pPr>
        <w:pStyle w:val="Heading2"/>
      </w:pPr>
      <w:r>
        <w:t>2.4 Vague, background, and block-billed research</w:t>
      </w:r>
    </w:p>
    <w:p>
      <w:pPr>
        <w:pStyle w:val="ListBullet"/>
        <w:spacing w:after="40"/>
        <w:ind w:left="317"/>
      </w:pPr>
      <w:r>
        <w:t>Takahashi’s July 1–2 Cascade MTCA research repeats the issue already addressed in June; July 5 Wendt research and July 9 Hargrove MTCA-preemption/contractor-defense research likewise need a specific explanation of the new issue arising from Cascade’s June 28 opposition. In light of the June 28 warning, disallow any continuation that merely redoes existing research; retain only supported incremental reply-brief work.</w:t>
      </w:r>
    </w:p>
    <w:p>
      <w:pPr>
        <w:pStyle w:val="ListBullet"/>
        <w:spacing w:after="40"/>
        <w:ind w:left="317"/>
      </w:pPr>
      <w:r>
        <w:t>Wendt July 15: 2.5 hours/$1,062.50 for “background” on the Washington regulatory framework and “familiarize with” MTCA amendments; Wendt July 25: 3.8 hours/$1,615.00 to review file materials, do background research, and “get up to speed”; Osei July 19: 5.0 hours/$1,475.00 of technical industry/background research. These entries do not identify a specific legal question and its purpose as required by §6.5. Disallow the $4,152.50 absent a corrected, substantive explanation. The engagement letter lists Wendt as assigned since January, so §4.3’s onboarding prohibition applies only if H&amp;L confirms he was newly/rotationally assigned; if so, the July 25 orientation component is nonbillable in full.</w:t>
      </w:r>
    </w:p>
    <w:p>
      <w:pPr>
        <w:pStyle w:val="ListBullet"/>
        <w:spacing w:after="40"/>
        <w:ind w:left="317"/>
      </w:pPr>
      <w:r>
        <w:t>Osei’s July 3 (6.0h/$1,770), July 8 (7.5h/$2,212.50), and July 16 (3.5h/$1,032.50) entries combine research with drafting a memorandum or memorandum section without allocating time. Under §6.5, count the entire entries toward research for the cap unless a clear allocation is provided; if H&amp;L does not correct the block billing, apply up to the Guidelines’ 30% reduction under §§5.3/6.5 (up to $1,504.50 total).</w:t>
      </w:r>
    </w:p>
    <w:p>
      <w:pPr>
        <w:pStyle w:val="Heading1"/>
      </w:pPr>
      <w:r>
        <w:t>3. Other professional-fee adjustments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240"/>
            <w:shd w:fill="17365D"/>
            <w:tcMar>
              <w:top w:w="60" w:type="dxa"/>
              <w:start w:w="75" w:type="dxa"/>
              <w:bottom w:w="60" w:type="dxa"/>
              <w:end w:w="75" w:type="dxa"/>
            </w:tcMar>
            <w:vAlign w:val="center"/>
          </w:tcPr>
          <w:p>
            <w:pPr>
              <w:spacing w:after="0" w:before="0"/>
            </w:pPr>
            <w:r>
              <w:rPr>
                <w:rFonts w:ascii="Calibri" w:hAnsi="Calibri"/>
                <w:b/>
                <w:color w:val="FFFFFF"/>
                <w:sz w:val="15"/>
              </w:rPr>
              <w:t>Entry / issue</w:t>
            </w:r>
          </w:p>
        </w:tc>
        <w:tc>
          <w:tcPr>
            <w:tcW w:type="dxa" w:w="1944"/>
            <w:shd w:fill="17365D"/>
            <w:tcMar>
              <w:top w:w="60" w:type="dxa"/>
              <w:start w:w="75" w:type="dxa"/>
              <w:bottom w:w="60" w:type="dxa"/>
              <w:end w:w="75" w:type="dxa"/>
            </w:tcMar>
            <w:vAlign w:val="center"/>
          </w:tcPr>
          <w:p>
            <w:pPr>
              <w:spacing w:after="0" w:before="0"/>
            </w:pPr>
            <w:r>
              <w:rPr>
                <w:rFonts w:ascii="Calibri" w:hAnsi="Calibri"/>
                <w:b/>
                <w:color w:val="FFFFFF"/>
                <w:sz w:val="15"/>
              </w:rPr>
              <w:t>Recommended adjustment</w:t>
            </w:r>
          </w:p>
        </w:tc>
        <w:tc>
          <w:tcPr>
            <w:tcW w:type="dxa" w:w="4608"/>
            <w:shd w:fill="17365D"/>
            <w:tcMar>
              <w:top w:w="60" w:type="dxa"/>
              <w:start w:w="75" w:type="dxa"/>
              <w:bottom w:w="60" w:type="dxa"/>
              <w:end w:w="75" w:type="dxa"/>
            </w:tcMar>
            <w:vAlign w:val="center"/>
          </w:tcPr>
          <w:p>
            <w:pPr>
              <w:spacing w:after="0" w:before="0"/>
            </w:pPr>
            <w:r>
              <w:rPr>
                <w:rFonts w:ascii="Calibri" w:hAnsi="Calibri"/>
                <w:b/>
                <w:color w:val="FFFFFF"/>
                <w:sz w:val="15"/>
              </w:rPr>
              <w:t>Guideline / reasoning</w:t>
            </w:r>
          </w:p>
        </w:tc>
      </w:tr>
      <w:tr>
        <w:trPr>
          <w:cantSplit/>
        </w:trPr>
        <w:tc>
          <w:tcPr>
            <w:tcW w:type="dxa" w:w="3240"/>
            <w:tcMar>
              <w:top w:w="60" w:type="dxa"/>
              <w:start w:w="75" w:type="dxa"/>
              <w:bottom w:w="60" w:type="dxa"/>
              <w:end w:w="75" w:type="dxa"/>
            </w:tcMar>
            <w:vAlign w:val="top"/>
          </w:tcPr>
          <w:p>
            <w:pPr>
              <w:spacing w:after="0" w:before="0" w:line="240" w:lineRule="auto"/>
            </w:pPr>
            <w:r>
              <w:rPr>
                <w:rFonts w:ascii="Calibri" w:hAnsi="Calibri"/>
                <w:sz w:val="15"/>
              </w:rPr>
              <w:t>July 14–15 travel time: Ortega 4.0h at $545 ($2,180); Briggs 4.0h at $725 ($2,900) on July 14 and 2.0h at $725 ($1,450) on July 15.</w:t>
            </w:r>
          </w:p>
        </w:tc>
        <w:tc>
          <w:tcPr>
            <w:tcW w:type="dxa" w:w="1944"/>
            <w:tcMar>
              <w:top w:w="60" w:type="dxa"/>
              <w:start w:w="75" w:type="dxa"/>
              <w:bottom w:w="60" w:type="dxa"/>
              <w:end w:w="75" w:type="dxa"/>
            </w:tcMar>
            <w:vAlign w:val="top"/>
          </w:tcPr>
          <w:p>
            <w:pPr>
              <w:spacing w:after="0" w:before="0" w:line="240" w:lineRule="auto"/>
            </w:pPr>
            <w:r>
              <w:rPr>
                <w:rFonts w:ascii="Calibri" w:hAnsi="Calibri"/>
                <w:sz w:val="15"/>
              </w:rPr>
              <w:t>$3,265.00 reduction</w:t>
            </w:r>
          </w:p>
        </w:tc>
        <w:tc>
          <w:tcPr>
            <w:tcW w:type="dxa" w:w="4608"/>
            <w:tcMar>
              <w:top w:w="60" w:type="dxa"/>
              <w:start w:w="75" w:type="dxa"/>
              <w:bottom w:w="60" w:type="dxa"/>
              <w:end w:w="75" w:type="dxa"/>
            </w:tcMar>
            <w:vAlign w:val="top"/>
          </w:tcPr>
          <w:p>
            <w:pPr>
              <w:spacing w:after="0" w:before="0" w:line="240" w:lineRule="auto"/>
            </w:pPr>
            <w:r>
              <w:rPr>
                <w:rFonts w:ascii="Calibri" w:hAnsi="Calibri"/>
                <w:sz w:val="15"/>
              </w:rPr>
              <w:t>§7.1 bills travel at 50%. The descriptions identify the hours as travel but charge 100%. Reduce each by half unless H&amp;L separates and substantiates productive work performed during travel; the July 15 return-travel/notes entry is not allocated.</w:t>
            </w:r>
          </w:p>
        </w:tc>
      </w:tr>
      <w:tr>
        <w:trPr>
          <w:cantSplit/>
        </w:trPr>
        <w:tc>
          <w:tcPr>
            <w:tcW w:type="dxa" w:w="3240"/>
            <w:tcMar>
              <w:top w:w="60" w:type="dxa"/>
              <w:start w:w="75" w:type="dxa"/>
              <w:bottom w:w="60" w:type="dxa"/>
              <w:end w:w="75" w:type="dxa"/>
            </w:tcMar>
            <w:vAlign w:val="top"/>
            <w:shd w:fill="F3F7FA"/>
          </w:tcPr>
          <w:p>
            <w:pPr>
              <w:spacing w:after="0" w:before="0" w:line="240" w:lineRule="auto"/>
            </w:pPr>
            <w:r>
              <w:rPr>
                <w:rFonts w:ascii="Calibri" w:hAnsi="Calibri"/>
                <w:sz w:val="15"/>
              </w:rPr>
              <w:t>July 24 Cascade CEO deposition: Ortega and Briggs each billed 7.0h; Osei also billed 3.0h/$885 attending remotely; Vogel billed as paralegal.</w:t>
            </w:r>
          </w:p>
        </w:tc>
        <w:tc>
          <w:tcPr>
            <w:tcW w:type="dxa" w:w="1944"/>
            <w:tcMar>
              <w:top w:w="60" w:type="dxa"/>
              <w:start w:w="75" w:type="dxa"/>
              <w:bottom w:w="60" w:type="dxa"/>
              <w:end w:w="75" w:type="dxa"/>
            </w:tcMar>
            <w:vAlign w:val="top"/>
            <w:shd w:fill="F3F7FA"/>
          </w:tcPr>
          <w:p>
            <w:pPr>
              <w:spacing w:after="0" w:before="0" w:line="240" w:lineRule="auto"/>
            </w:pPr>
            <w:r>
              <w:rPr>
                <w:rFonts w:ascii="Calibri" w:hAnsi="Calibri"/>
                <w:sz w:val="15"/>
              </w:rPr>
              <w:t>$885.00 disallowance</w:t>
            </w:r>
          </w:p>
        </w:tc>
        <w:tc>
          <w:tcPr>
            <w:tcW w:type="dxa" w:w="4608"/>
            <w:tcMar>
              <w:top w:w="60" w:type="dxa"/>
              <w:start w:w="75" w:type="dxa"/>
              <w:bottom w:w="60" w:type="dxa"/>
              <w:end w:w="75" w:type="dxa"/>
            </w:tcMar>
            <w:vAlign w:val="top"/>
            <w:shd w:fill="F3F7FA"/>
          </w:tcPr>
          <w:p>
            <w:pPr>
              <w:spacing w:after="0" w:before="0" w:line="240" w:lineRule="auto"/>
            </w:pPr>
            <w:r>
              <w:rPr>
                <w:rFonts w:ascii="Calibri" w:hAnsi="Calibri"/>
                <w:sz w:val="15"/>
              </w:rPr>
              <w:t>Three attorneys attended the same deposition; §4.1 permits no more than two without prior written approval. No exception is in the packet. Disallow the additional attorney’s 3.0 hours absent approval.</w:t>
            </w:r>
          </w:p>
        </w:tc>
      </w:tr>
      <w:tr>
        <w:trPr>
          <w:cantSplit/>
        </w:trPr>
        <w:tc>
          <w:tcPr>
            <w:tcW w:type="dxa" w:w="3240"/>
            <w:tcMar>
              <w:top w:w="60" w:type="dxa"/>
              <w:start w:w="75" w:type="dxa"/>
              <w:bottom w:w="60" w:type="dxa"/>
              <w:end w:w="75" w:type="dxa"/>
            </w:tcMar>
            <w:vAlign w:val="top"/>
          </w:tcPr>
          <w:p>
            <w:pPr>
              <w:spacing w:after="0" w:before="0" w:line="240" w:lineRule="auto"/>
            </w:pPr>
            <w:r>
              <w:rPr>
                <w:rFonts w:ascii="Calibri" w:hAnsi="Calibri"/>
                <w:sz w:val="15"/>
              </w:rPr>
              <w:t>Ortega July 10 transcript summary (3.0h/$1,635) and July 25 transcript summary (4.0h/$2,180).</w:t>
            </w:r>
          </w:p>
        </w:tc>
        <w:tc>
          <w:tcPr>
            <w:tcW w:type="dxa" w:w="1944"/>
            <w:tcMar>
              <w:top w:w="60" w:type="dxa"/>
              <w:start w:w="75" w:type="dxa"/>
              <w:bottom w:w="60" w:type="dxa"/>
              <w:end w:w="75" w:type="dxa"/>
            </w:tcMar>
            <w:vAlign w:val="top"/>
          </w:tcPr>
          <w:p>
            <w:pPr>
              <w:spacing w:after="0" w:before="0" w:line="240" w:lineRule="auto"/>
            </w:pPr>
            <w:r>
              <w:rPr>
                <w:rFonts w:ascii="Calibri" w:hAnsi="Calibri"/>
                <w:sz w:val="15"/>
              </w:rPr>
              <w:t>$1,750.00 rate reduction</w:t>
            </w:r>
          </w:p>
        </w:tc>
        <w:tc>
          <w:tcPr>
            <w:tcW w:type="dxa" w:w="4608"/>
            <w:tcMar>
              <w:top w:w="60" w:type="dxa"/>
              <w:start w:w="75" w:type="dxa"/>
              <w:bottom w:w="60" w:type="dxa"/>
              <w:end w:w="75" w:type="dxa"/>
            </w:tcMar>
            <w:vAlign w:val="top"/>
          </w:tcPr>
          <w:p>
            <w:pPr>
              <w:spacing w:after="0" w:before="0" w:line="240" w:lineRule="auto"/>
            </w:pPr>
            <w:r>
              <w:rPr>
                <w:rFonts w:ascii="Calibri" w:hAnsi="Calibri"/>
                <w:sz w:val="15"/>
              </w:rPr>
              <w:t>§8 directs deposition summaries/digests to paralegals or junior associates. Re-rate the 7 hours to the first-year associate rate ($295/hour): reduce by $250/hour. Do not stack a second adjustment for the same summary task.</w:t>
            </w:r>
          </w:p>
        </w:tc>
      </w:tr>
      <w:tr>
        <w:trPr>
          <w:cantSplit/>
        </w:trPr>
        <w:tc>
          <w:tcPr>
            <w:tcW w:type="dxa" w:w="3240"/>
            <w:tcMar>
              <w:top w:w="60" w:type="dxa"/>
              <w:start w:w="75" w:type="dxa"/>
              <w:bottom w:w="60" w:type="dxa"/>
              <w:end w:w="75" w:type="dxa"/>
            </w:tcMar>
            <w:vAlign w:val="top"/>
            <w:shd w:fill="F3F7FA"/>
          </w:tcPr>
          <w:p>
            <w:pPr>
              <w:spacing w:after="0" w:before="0" w:line="240" w:lineRule="auto"/>
            </w:pPr>
            <w:r>
              <w:rPr>
                <w:rFonts w:ascii="Calibri" w:hAnsi="Calibri"/>
                <w:sz w:val="15"/>
              </w:rPr>
              <w:t>Ortega July 17 deposition entry: 5.0h/$2,725 for preparation, attendance, and drafting a deposition summary, with no time allocation.</w:t>
            </w:r>
          </w:p>
        </w:tc>
        <w:tc>
          <w:tcPr>
            <w:tcW w:type="dxa" w:w="1944"/>
            <w:tcMar>
              <w:top w:w="60" w:type="dxa"/>
              <w:start w:w="75" w:type="dxa"/>
              <w:bottom w:w="60" w:type="dxa"/>
              <w:end w:w="75" w:type="dxa"/>
            </w:tcMar>
            <w:vAlign w:val="top"/>
            <w:shd w:fill="F3F7FA"/>
          </w:tcPr>
          <w:p>
            <w:pPr>
              <w:spacing w:after="0" w:before="0" w:line="240" w:lineRule="auto"/>
            </w:pPr>
            <w:r>
              <w:rPr>
                <w:rFonts w:ascii="Calibri" w:hAnsi="Calibri"/>
                <w:sz w:val="15"/>
              </w:rPr>
              <w:t>Up to $817.50</w:t>
            </w:r>
          </w:p>
        </w:tc>
        <w:tc>
          <w:tcPr>
            <w:tcW w:type="dxa" w:w="4608"/>
            <w:tcMar>
              <w:top w:w="60" w:type="dxa"/>
              <w:start w:w="75" w:type="dxa"/>
              <w:bottom w:w="60" w:type="dxa"/>
              <w:end w:w="75" w:type="dxa"/>
            </w:tcMar>
            <w:vAlign w:val="top"/>
            <w:shd w:fill="F3F7FA"/>
          </w:tcPr>
          <w:p>
            <w:pPr>
              <w:spacing w:after="0" w:before="0" w:line="240" w:lineRule="auto"/>
            </w:pPr>
            <w:r>
              <w:rPr>
                <w:rFonts w:ascii="Calibri" w:hAnsi="Calibri"/>
                <w:sz w:val="15"/>
              </w:rPr>
              <w:t>Unallocated multi-task block billing; apply up to 30% under §5.3 if H&amp;L does not separate the tasks. Summary work should also be reassigned/re-rated under §8; do not stack reductions on the same portion once allocated.</w:t>
            </w:r>
          </w:p>
        </w:tc>
      </w:tr>
    </w:tbl>
    <w:p>
      <w:pPr>
        <w:spacing w:after="0"/>
      </w:pPr>
    </w:p>
    <w:p>
      <w:r>
        <w:t>These are distinct from the research-entry credits. The $13,482.50 intra-matter research duplication figure, partner/senior-associate rate adjustments, cap, and block-billing reductions should be recalculated in a single corrected fee schedule to prevent double counting. Other clearly compound entries (including Briggs July 8 review/edit plus conference; July 11 review plus conference; July 29 review of two documents plus a team meeting; and Hargrove July 31 report review plus client conference) should also be split or reduced under §5.3 if H&amp;L cannot allocate the time.</w:t>
      </w:r>
    </w:p>
    <w:p>
      <w:pPr>
        <w:pStyle w:val="Heading1"/>
      </w:pPr>
      <w:r>
        <w:t>4. Disbursements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168"/>
            <w:shd w:fill="17365D"/>
            <w:tcMar>
              <w:top w:w="60" w:type="dxa"/>
              <w:start w:w="75" w:type="dxa"/>
              <w:bottom w:w="60" w:type="dxa"/>
              <w:end w:w="75" w:type="dxa"/>
            </w:tcMar>
            <w:vAlign w:val="center"/>
          </w:tcPr>
          <w:p>
            <w:pPr>
              <w:spacing w:after="0" w:before="0"/>
            </w:pPr>
            <w:r>
              <w:rPr>
                <w:rFonts w:ascii="Calibri" w:hAnsi="Calibri"/>
                <w:b/>
                <w:color w:val="FFFFFF"/>
                <w:sz w:val="15"/>
              </w:rPr>
              <w:t>Disbursement</w:t>
            </w:r>
          </w:p>
        </w:tc>
        <w:tc>
          <w:tcPr>
            <w:tcW w:type="dxa" w:w="1440"/>
            <w:shd w:fill="17365D"/>
            <w:tcMar>
              <w:top w:w="60" w:type="dxa"/>
              <w:start w:w="75" w:type="dxa"/>
              <w:bottom w:w="60" w:type="dxa"/>
              <w:end w:w="75" w:type="dxa"/>
            </w:tcMar>
            <w:vAlign w:val="center"/>
          </w:tcPr>
          <w:p>
            <w:pPr>
              <w:spacing w:after="0" w:before="0"/>
            </w:pPr>
            <w:r>
              <w:rPr>
                <w:rFonts w:ascii="Calibri" w:hAnsi="Calibri"/>
                <w:b/>
                <w:color w:val="FFFFFF"/>
                <w:sz w:val="15"/>
              </w:rPr>
              <w:t>Amount</w:t>
            </w:r>
          </w:p>
        </w:tc>
        <w:tc>
          <w:tcPr>
            <w:tcW w:type="dxa" w:w="5184"/>
            <w:shd w:fill="17365D"/>
            <w:tcMar>
              <w:top w:w="60" w:type="dxa"/>
              <w:start w:w="75" w:type="dxa"/>
              <w:bottom w:w="60" w:type="dxa"/>
              <w:end w:w="75" w:type="dxa"/>
            </w:tcMar>
            <w:vAlign w:val="center"/>
          </w:tcPr>
          <w:p>
            <w:pPr>
              <w:spacing w:after="0" w:before="0"/>
            </w:pPr>
            <w:r>
              <w:rPr>
                <w:rFonts w:ascii="Calibri" w:hAnsi="Calibri"/>
                <w:b/>
                <w:color w:val="FFFFFF"/>
                <w:sz w:val="15"/>
              </w:rPr>
              <w:t>Recommended treatment</w:t>
            </w:r>
          </w:p>
        </w:tc>
      </w:tr>
      <w:tr>
        <w:trPr>
          <w:cantSplit/>
        </w:trPr>
        <w:tc>
          <w:tcPr>
            <w:tcW w:type="dxa" w:w="3168"/>
            <w:tcMar>
              <w:top w:w="60" w:type="dxa"/>
              <w:start w:w="75" w:type="dxa"/>
              <w:bottom w:w="60" w:type="dxa"/>
              <w:end w:w="75" w:type="dxa"/>
            </w:tcMar>
            <w:vAlign w:val="top"/>
          </w:tcPr>
          <w:p>
            <w:pPr>
              <w:spacing w:after="0" w:before="0" w:line="240" w:lineRule="auto"/>
            </w:pPr>
            <w:r>
              <w:rPr>
                <w:rFonts w:ascii="Calibri" w:hAnsi="Calibri"/>
                <w:sz w:val="15"/>
              </w:rPr>
              <w:t>Westlaw online legal research — Cascade D-1</w:t>
            </w:r>
          </w:p>
        </w:tc>
        <w:tc>
          <w:tcPr>
            <w:tcW w:type="dxa" w:w="1440"/>
            <w:tcMar>
              <w:top w:w="60" w:type="dxa"/>
              <w:start w:w="75" w:type="dxa"/>
              <w:bottom w:w="60" w:type="dxa"/>
              <w:end w:w="75" w:type="dxa"/>
            </w:tcMar>
            <w:vAlign w:val="top"/>
          </w:tcPr>
          <w:p>
            <w:pPr>
              <w:spacing w:after="0" w:before="0" w:line="240" w:lineRule="auto"/>
            </w:pPr>
            <w:r>
              <w:rPr>
                <w:rFonts w:ascii="Calibri" w:hAnsi="Calibri"/>
                <w:sz w:val="15"/>
              </w:rPr>
              <w:t>$4,850.00</w:t>
            </w:r>
          </w:p>
        </w:tc>
        <w:tc>
          <w:tcPr>
            <w:tcW w:type="dxa" w:w="5184"/>
            <w:tcMar>
              <w:top w:w="60" w:type="dxa"/>
              <w:start w:w="75" w:type="dxa"/>
              <w:bottom w:w="60" w:type="dxa"/>
              <w:end w:w="75" w:type="dxa"/>
            </w:tcMar>
            <w:vAlign w:val="top"/>
          </w:tcPr>
          <w:p>
            <w:pPr>
              <w:spacing w:after="0" w:before="0" w:line="240" w:lineRule="auto"/>
            </w:pPr>
            <w:r>
              <w:rPr>
                <w:rFonts w:ascii="Calibri" w:hAnsi="Calibri"/>
                <w:sz w:val="15"/>
              </w:rPr>
              <w:t>Disallow in full under §9.3. Legal research database subscriptions are included in hourly rates and cannot be passed through.</w:t>
            </w:r>
          </w:p>
        </w:tc>
      </w:tr>
      <w:tr>
        <w:trPr>
          <w:cantSplit/>
        </w:trPr>
        <w:tc>
          <w:tcPr>
            <w:tcW w:type="dxa" w:w="3168"/>
            <w:tcMar>
              <w:top w:w="60" w:type="dxa"/>
              <w:start w:w="75" w:type="dxa"/>
              <w:bottom w:w="60" w:type="dxa"/>
              <w:end w:w="75" w:type="dxa"/>
            </w:tcMar>
            <w:vAlign w:val="top"/>
            <w:shd w:fill="F3F7FA"/>
          </w:tcPr>
          <w:p>
            <w:pPr>
              <w:spacing w:after="0" w:before="0" w:line="240" w:lineRule="auto"/>
            </w:pPr>
            <w:r>
              <w:rPr>
                <w:rFonts w:ascii="Calibri" w:hAnsi="Calibri"/>
                <w:sz w:val="15"/>
              </w:rPr>
              <w:t>Dr. Evelyn Marsh / Greenfield consultant — Cascade D-6</w:t>
            </w:r>
          </w:p>
        </w:tc>
        <w:tc>
          <w:tcPr>
            <w:tcW w:type="dxa" w:w="1440"/>
            <w:tcMar>
              <w:top w:w="60" w:type="dxa"/>
              <w:start w:w="75" w:type="dxa"/>
              <w:bottom w:w="60" w:type="dxa"/>
              <w:end w:w="75" w:type="dxa"/>
            </w:tcMar>
            <w:vAlign w:val="top"/>
            <w:shd w:fill="F3F7FA"/>
          </w:tcPr>
          <w:p>
            <w:pPr>
              <w:spacing w:after="0" w:before="0" w:line="240" w:lineRule="auto"/>
            </w:pPr>
            <w:r>
              <w:rPr>
                <w:rFonts w:ascii="Calibri" w:hAnsi="Calibri"/>
                <w:sz w:val="15"/>
              </w:rPr>
              <w:t>$18,500.00</w:t>
            </w:r>
          </w:p>
        </w:tc>
        <w:tc>
          <w:tcPr>
            <w:tcW w:type="dxa" w:w="5184"/>
            <w:tcMar>
              <w:top w:w="60" w:type="dxa"/>
              <w:start w:w="75" w:type="dxa"/>
              <w:bottom w:w="60" w:type="dxa"/>
              <w:end w:w="75" w:type="dxa"/>
            </w:tcMar>
            <w:vAlign w:val="top"/>
            <w:shd w:fill="F3F7FA"/>
          </w:tcPr>
          <w:p>
            <w:pPr>
              <w:spacing w:after="0" w:before="0" w:line="240" w:lineRule="auto"/>
            </w:pPr>
            <w:r>
              <w:rPr>
                <w:rFonts w:ascii="Calibri" w:hAnsi="Calibri"/>
                <w:sz w:val="15"/>
              </w:rPr>
              <w:t>Hold/disallow absent proof of prior written approval and a compliant consultant invoice. The engagement letter requires prior approval for expert fees anticipated over $10,000; §9.4 requires written approval for every expert/consultant engagement and itemized dates, hours, rate, and work. The July 26 time entry about a call on additional approval is not prior written approval for the July 8 charge.</w:t>
            </w:r>
          </w:p>
        </w:tc>
      </w:tr>
      <w:tr>
        <w:trPr>
          <w:cantSplit/>
        </w:trPr>
        <w:tc>
          <w:tcPr>
            <w:tcW w:type="dxa" w:w="3168"/>
            <w:tcMar>
              <w:top w:w="60" w:type="dxa"/>
              <w:start w:w="75" w:type="dxa"/>
              <w:bottom w:w="60" w:type="dxa"/>
              <w:end w:w="75" w:type="dxa"/>
            </w:tcMar>
            <w:vAlign w:val="top"/>
          </w:tcPr>
          <w:p>
            <w:pPr>
              <w:spacing w:after="0" w:before="0" w:line="240" w:lineRule="auto"/>
            </w:pPr>
            <w:r>
              <w:rPr>
                <w:rFonts w:ascii="Calibri" w:hAnsi="Calibri"/>
                <w:sz w:val="15"/>
              </w:rPr>
              <w:t>Briggs/Ortega Spokane trip — Cascade D-7</w:t>
            </w:r>
          </w:p>
        </w:tc>
        <w:tc>
          <w:tcPr>
            <w:tcW w:type="dxa" w:w="1440"/>
            <w:tcMar>
              <w:top w:w="60" w:type="dxa"/>
              <w:start w:w="75" w:type="dxa"/>
              <w:bottom w:w="60" w:type="dxa"/>
              <w:end w:w="75" w:type="dxa"/>
            </w:tcMar>
            <w:vAlign w:val="top"/>
          </w:tcPr>
          <w:p>
            <w:pPr>
              <w:spacing w:after="0" w:before="0" w:line="240" w:lineRule="auto"/>
            </w:pPr>
            <w:r>
              <w:rPr>
                <w:rFonts w:ascii="Calibri" w:hAnsi="Calibri"/>
                <w:sz w:val="15"/>
              </w:rPr>
              <w:t>$3,650.00</w:t>
            </w:r>
          </w:p>
        </w:tc>
        <w:tc>
          <w:tcPr>
            <w:tcW w:type="dxa" w:w="5184"/>
            <w:tcMar>
              <w:top w:w="60" w:type="dxa"/>
              <w:start w:w="75" w:type="dxa"/>
              <w:bottom w:w="60" w:type="dxa"/>
              <w:end w:w="75" w:type="dxa"/>
            </w:tcMar>
            <w:vAlign w:val="top"/>
          </w:tcPr>
          <w:p>
            <w:pPr>
              <w:spacing w:after="0" w:before="0" w:line="240" w:lineRule="auto"/>
            </w:pPr>
            <w:r>
              <w:rPr>
                <w:rFonts w:ascii="Calibri" w:hAnsi="Calibri"/>
                <w:sz w:val="15"/>
              </w:rPr>
              <w:t>Hold absent prior written approval: the engagement letter requires it for travel over $1,500 per trip. Require itemized airfare, lodging, meals, ground transport, receipts (over $25), and proof of economy fares / compliance with §7.2 caps.</w:t>
            </w:r>
          </w:p>
        </w:tc>
      </w:tr>
      <w:tr>
        <w:trPr>
          <w:cantSplit/>
        </w:trPr>
        <w:tc>
          <w:tcPr>
            <w:tcW w:type="dxa" w:w="3168"/>
            <w:tcMar>
              <w:top w:w="60" w:type="dxa"/>
              <w:start w:w="75" w:type="dxa"/>
              <w:bottom w:w="60" w:type="dxa"/>
              <w:end w:w="75" w:type="dxa"/>
            </w:tcMar>
            <w:vAlign w:val="top"/>
            <w:shd w:fill="F3F7FA"/>
          </w:tcPr>
          <w:p>
            <w:pPr>
              <w:spacing w:after="0" w:before="0" w:line="240" w:lineRule="auto"/>
            </w:pPr>
            <w:r>
              <w:rPr>
                <w:rFonts w:ascii="Calibri" w:hAnsi="Calibri"/>
                <w:sz w:val="15"/>
              </w:rPr>
              <w:t>In-house photocopying/printing — Cascade D-8</w:t>
            </w:r>
          </w:p>
        </w:tc>
        <w:tc>
          <w:tcPr>
            <w:tcW w:type="dxa" w:w="1440"/>
            <w:tcMar>
              <w:top w:w="60" w:type="dxa"/>
              <w:start w:w="75" w:type="dxa"/>
              <w:bottom w:w="60" w:type="dxa"/>
              <w:end w:w="75" w:type="dxa"/>
            </w:tcMar>
            <w:vAlign w:val="top"/>
            <w:shd w:fill="F3F7FA"/>
          </w:tcPr>
          <w:p>
            <w:pPr>
              <w:spacing w:after="0" w:before="0" w:line="240" w:lineRule="auto"/>
            </w:pPr>
            <w:r>
              <w:rPr>
                <w:rFonts w:ascii="Calibri" w:hAnsi="Calibri"/>
                <w:sz w:val="15"/>
              </w:rPr>
              <w:t>$2,100.00</w:t>
            </w:r>
          </w:p>
        </w:tc>
        <w:tc>
          <w:tcPr>
            <w:tcW w:type="dxa" w:w="5184"/>
            <w:tcMar>
              <w:top w:w="60" w:type="dxa"/>
              <w:start w:w="75" w:type="dxa"/>
              <w:bottom w:w="60" w:type="dxa"/>
              <w:end w:w="75" w:type="dxa"/>
            </w:tcMar>
            <w:vAlign w:val="top"/>
            <w:shd w:fill="F3F7FA"/>
          </w:tcPr>
          <w:p>
            <w:pPr>
              <w:spacing w:after="0" w:before="0" w:line="240" w:lineRule="auto"/>
            </w:pPr>
            <w:r>
              <w:rPr>
                <w:rFonts w:ascii="Calibri" w:hAnsi="Calibri"/>
                <w:sz w:val="15"/>
              </w:rPr>
              <w:t>Require page count and rate; reduce to no more than $0.15/page under §9.5. Amount cannot be validated from the summary.</w:t>
            </w:r>
          </w:p>
        </w:tc>
      </w:tr>
      <w:tr>
        <w:trPr>
          <w:cantSplit/>
        </w:trPr>
        <w:tc>
          <w:tcPr>
            <w:tcW w:type="dxa" w:w="3168"/>
            <w:tcMar>
              <w:top w:w="60" w:type="dxa"/>
              <w:start w:w="75" w:type="dxa"/>
              <w:bottom w:w="60" w:type="dxa"/>
              <w:end w:w="75" w:type="dxa"/>
            </w:tcMar>
            <w:vAlign w:val="top"/>
          </w:tcPr>
          <w:p>
            <w:pPr>
              <w:spacing w:after="0" w:before="0" w:line="240" w:lineRule="auto"/>
            </w:pPr>
            <w:r>
              <w:rPr>
                <w:rFonts w:ascii="Calibri" w:hAnsi="Calibri"/>
                <w:sz w:val="15"/>
              </w:rPr>
              <w:t>Courier and shipping — Cascade D-5 and D-9</w:t>
            </w:r>
          </w:p>
        </w:tc>
        <w:tc>
          <w:tcPr>
            <w:tcW w:type="dxa" w:w="1440"/>
            <w:tcMar>
              <w:top w:w="60" w:type="dxa"/>
              <w:start w:w="75" w:type="dxa"/>
              <w:bottom w:w="60" w:type="dxa"/>
              <w:end w:w="75" w:type="dxa"/>
            </w:tcMar>
            <w:vAlign w:val="top"/>
          </w:tcPr>
          <w:p>
            <w:pPr>
              <w:spacing w:after="0" w:before="0" w:line="240" w:lineRule="auto"/>
            </w:pPr>
            <w:r>
              <w:rPr>
                <w:rFonts w:ascii="Calibri" w:hAnsi="Calibri"/>
                <w:sz w:val="15"/>
              </w:rPr>
              <w:t>$800.00</w:t>
            </w:r>
          </w:p>
        </w:tc>
        <w:tc>
          <w:tcPr>
            <w:tcW w:type="dxa" w:w="5184"/>
            <w:tcMar>
              <w:top w:w="60" w:type="dxa"/>
              <w:start w:w="75" w:type="dxa"/>
              <w:bottom w:w="60" w:type="dxa"/>
              <w:end w:w="75" w:type="dxa"/>
            </w:tcMar>
            <w:vAlign w:val="top"/>
          </w:tcPr>
          <w:p>
            <w:pPr>
              <w:spacing w:after="0" w:before="0" w:line="240" w:lineRule="auto"/>
            </w:pPr>
            <w:r>
              <w:rPr>
                <w:rFonts w:ascii="Calibri" w:hAnsi="Calibri"/>
                <w:sz w:val="15"/>
              </w:rPr>
              <w:t>Require date/vendor/actual-cost itemization and receipts for charges over $25 under §9.5. Disallow unsupported items.</w:t>
            </w:r>
          </w:p>
        </w:tc>
      </w:tr>
      <w:tr>
        <w:trPr>
          <w:cantSplit/>
        </w:trPr>
        <w:tc>
          <w:tcPr>
            <w:tcW w:type="dxa" w:w="3168"/>
            <w:tcMar>
              <w:top w:w="60" w:type="dxa"/>
              <w:start w:w="75" w:type="dxa"/>
              <w:bottom w:w="60" w:type="dxa"/>
              <w:end w:w="75" w:type="dxa"/>
            </w:tcMar>
            <w:vAlign w:val="top"/>
            <w:shd w:fill="F3F7FA"/>
          </w:tcPr>
          <w:p>
            <w:pPr>
              <w:spacing w:after="0" w:before="0" w:line="240" w:lineRule="auto"/>
            </w:pPr>
            <w:r>
              <w:rPr>
                <w:rFonts w:ascii="Calibri" w:hAnsi="Calibri"/>
                <w:sz w:val="15"/>
              </w:rPr>
              <w:t>Evergreen litigation database — Cascade D-10</w:t>
            </w:r>
          </w:p>
        </w:tc>
        <w:tc>
          <w:tcPr>
            <w:tcW w:type="dxa" w:w="1440"/>
            <w:tcMar>
              <w:top w:w="60" w:type="dxa"/>
              <w:start w:w="75" w:type="dxa"/>
              <w:bottom w:w="60" w:type="dxa"/>
              <w:end w:w="75" w:type="dxa"/>
            </w:tcMar>
            <w:vAlign w:val="top"/>
            <w:shd w:fill="F3F7FA"/>
          </w:tcPr>
          <w:p>
            <w:pPr>
              <w:spacing w:after="0" w:before="0" w:line="240" w:lineRule="auto"/>
            </w:pPr>
            <w:r>
              <w:rPr>
                <w:rFonts w:ascii="Calibri" w:hAnsi="Calibri"/>
                <w:sz w:val="15"/>
              </w:rPr>
              <w:t>$3,325.00</w:t>
            </w:r>
          </w:p>
        </w:tc>
        <w:tc>
          <w:tcPr>
            <w:tcW w:type="dxa" w:w="5184"/>
            <w:tcMar>
              <w:top w:w="60" w:type="dxa"/>
              <w:start w:w="75" w:type="dxa"/>
              <w:bottom w:w="60" w:type="dxa"/>
              <w:end w:w="75" w:type="dxa"/>
            </w:tcMar>
            <w:vAlign w:val="top"/>
            <w:shd w:fill="F3F7FA"/>
          </w:tcPr>
          <w:p>
            <w:pPr>
              <w:spacing w:after="0" w:before="0" w:line="240" w:lineRule="auto"/>
            </w:pPr>
            <w:r>
              <w:rPr>
                <w:rFonts w:ascii="Calibri" w:hAnsi="Calibri"/>
                <w:sz w:val="15"/>
              </w:rPr>
              <w:t>Condition payment on proof the vendor was approved by TerraVerde/Legal Operations and that the charge is actual cost with no markup; request vendor invoice under §9.6.</w:t>
            </w:r>
          </w:p>
        </w:tc>
      </w:tr>
      <w:tr>
        <w:trPr>
          <w:cantSplit/>
        </w:trPr>
        <w:tc>
          <w:tcPr>
            <w:tcW w:type="dxa" w:w="3168"/>
            <w:tcMar>
              <w:top w:w="60" w:type="dxa"/>
              <w:start w:w="75" w:type="dxa"/>
              <w:bottom w:w="60" w:type="dxa"/>
              <w:end w:w="75" w:type="dxa"/>
            </w:tcMar>
            <w:vAlign w:val="top"/>
          </w:tcPr>
          <w:p>
            <w:pPr>
              <w:spacing w:after="0" w:before="0" w:line="240" w:lineRule="auto"/>
            </w:pPr>
            <w:r>
              <w:rPr>
                <w:rFonts w:ascii="Calibri" w:hAnsi="Calibri"/>
                <w:sz w:val="15"/>
              </w:rPr>
              <w:t>Court reporters — Cascade D-2 to D-4</w:t>
            </w:r>
          </w:p>
        </w:tc>
        <w:tc>
          <w:tcPr>
            <w:tcW w:type="dxa" w:w="1440"/>
            <w:tcMar>
              <w:top w:w="60" w:type="dxa"/>
              <w:start w:w="75" w:type="dxa"/>
              <w:bottom w:w="60" w:type="dxa"/>
              <w:end w:w="75" w:type="dxa"/>
            </w:tcMar>
            <w:vAlign w:val="top"/>
          </w:tcPr>
          <w:p>
            <w:pPr>
              <w:spacing w:after="0" w:before="0" w:line="240" w:lineRule="auto"/>
            </w:pPr>
            <w:r>
              <w:rPr>
                <w:rFonts w:ascii="Calibri" w:hAnsi="Calibri"/>
                <w:sz w:val="15"/>
              </w:rPr>
              <w:t>$12,375.00</w:t>
            </w:r>
          </w:p>
        </w:tc>
        <w:tc>
          <w:tcPr>
            <w:tcW w:type="dxa" w:w="5184"/>
            <w:tcMar>
              <w:top w:w="60" w:type="dxa"/>
              <w:start w:w="75" w:type="dxa"/>
              <w:bottom w:w="60" w:type="dxa"/>
              <w:end w:w="75" w:type="dxa"/>
            </w:tcMar>
            <w:vAlign w:val="top"/>
          </w:tcPr>
          <w:p>
            <w:pPr>
              <w:spacing w:after="0" w:before="0" w:line="240" w:lineRule="auto"/>
            </w:pPr>
            <w:r>
              <w:rPr>
                <w:rFonts w:ascii="Calibri" w:hAnsi="Calibri"/>
                <w:sz w:val="15"/>
              </w:rPr>
              <w:t>No reduction proposed on this record. Request supporting invoices and disallow any expedited transcript component lacking prior written approval unless required by a court deadline.</w:t>
            </w:r>
          </w:p>
        </w:tc>
      </w:tr>
    </w:tbl>
    <w:p>
      <w:pPr>
        <w:spacing w:after="0"/>
      </w:pPr>
    </w:p>
    <w:p>
      <w:r>
        <w:t>The DOE summary separately includes $1,250.00 in Takahashi travel expenses to Olympia, plus $485.00 photocopying, $175.00 shipping, and $950.00 court reporting. These are not itemized to underlying dates/costs in the summary. Require travel receipts and itemization, confirm any travel time was billed at 50%, and apply the $0.15/page cap to in-house copies. Because the DOE engagement letter is not in the packet, do not assume the Cascade-specific $1,500 travel-approval threshold governs the DOE trip; require the applicable DOE terms and, in all events, the Guidelines’ itemization and receipt support.</w:t>
      </w:r>
    </w:p>
    <w:p>
      <w:pPr>
        <w:pStyle w:val="Heading1"/>
      </w:pPr>
      <w:r>
        <w:t>5. Related DOE invoice and engagement documentation</w:t>
      </w:r>
    </w:p>
    <w:p>
      <w:r>
        <w:t>The DOE July summary reports $48,735.00 professional fees but does not provide complete daily entries for the non-research 60.5 hours or supporting detail for all disbursements. The packet also includes only the Cascade engagement letter, which expressly excludes DOE regulatory proceedings and says that DOE representation requires a separate written engagement. Obtain the executed DOE engagement letter, approved DOE rate/staffing schedule, complete invoice detail, and written approvals before approving the non-research DOE fees or consultant/travel costs. The DOE summary’s separate engagement reference does not itself establish an executed engagement or approval.</w:t>
      </w:r>
    </w:p>
    <w:p>
      <w:pPr>
        <w:pStyle w:val="Heading1"/>
      </w:pPr>
      <w:r>
        <w:t>6. Recommended response to H&amp;L</w:t>
      </w:r>
    </w:p>
    <w:p>
      <w:pPr>
        <w:pStyle w:val="ListBullet"/>
        <w:spacing w:after="40"/>
        <w:ind w:left="317"/>
      </w:pPr>
      <w:r>
        <w:t>Return the Cascade invoice for a complete reconciliation of the $106,472.00 fee difference, 4.7 research-hour discrepancy, and research-discount calculation; require a corrected total before payment approval.</w:t>
      </w:r>
    </w:p>
    <w:p>
      <w:pPr>
        <w:pStyle w:val="ListBullet"/>
        <w:spacing w:after="40"/>
        <w:ind w:left="317"/>
      </w:pPr>
      <w:r>
        <w:t>Apply the 12% research cap separately to each corrected matter/invoice after specific entry credits and discounts; no prior written approval is documented. On the Cascade Summary figures, the standalone overage is $5,354.04; the DOE overage is $24.30. Recompute the Cascade cap using the reconciled fee base and do not double-count specific research reductions.</w:t>
      </w:r>
    </w:p>
    <w:p>
      <w:pPr>
        <w:pStyle w:val="ListBullet"/>
        <w:spacing w:after="40"/>
        <w:ind w:left="317"/>
      </w:pPr>
      <w:r>
        <w:t>Credit duplicative research under §§6.4 and 6.6, including the $13,482.50 gross Cascade within-matter candidates above (subject to a documented distinct-issue showing) and at least $2,550 of clearly shared MTCA/CERCLA research on one of the two matters. Keep only separately identified DOE-specific work.</w:t>
      </w:r>
    </w:p>
    <w:p>
      <w:pPr>
        <w:pStyle w:val="ListBullet"/>
        <w:spacing w:after="40"/>
        <w:ind w:left="317"/>
      </w:pPr>
      <w:r>
        <w:t>Reduce partner research to the permissible rate or disallow it; re-rate Ortega’s routine research and deposition-summary entries; correct travel-time billing; remove the unauthorized third attorney at the CEO deposition; and allocate/reduce identified block-billed entries.</w:t>
      </w:r>
    </w:p>
    <w:p>
      <w:pPr>
        <w:pStyle w:val="ListBullet"/>
        <w:spacing w:after="40"/>
        <w:ind w:left="317"/>
      </w:pPr>
      <w:r>
        <w:t>Disallow the $4,850 Westlaw charge. Hold expert, travel, copying, shipping, courier, and e-discovery charges pending the specific approval, itemization, receipts, and vendor proof listed above; do not treat missing evidence in this packet as proof no approval exists, but require H&amp;L to produce it.</w:t>
      </w:r>
    </w:p>
    <w:p>
      <w:pPr>
        <w:pStyle w:val="ListBullet"/>
        <w:spacing w:after="40"/>
        <w:ind w:left="317"/>
      </w:pPr>
      <w:r>
        <w:t>Request the executed DOE engagement letter, complete DOE July invoice detail, and any contemporaneous written approvals for cap exceptions, shared research, expert work, and travel. Pay only the reconciled, undisputed portion under §11.</w:t>
      </w:r>
    </w:p>
    <w:p>
      <w:pPr>
        <w:spacing w:before="120" w:after="0"/>
      </w:pPr>
      <w:r>
        <w:rPr>
          <w:b/>
          <w:color w:val="17365D"/>
        </w:rPr>
        <w:t xml:space="preserve">Bottom line: </w:t>
      </w:r>
      <w:r>
        <w:t>The evidence supports meaningful reductions, but a final net credit should not be calculated by simply adding every amount in this memo: research discount, duplicate-entry credits, partner-rate reductions, and the 12% cap overlap. H&amp;L should provide a corrected and fully supported invoice, after which TerraVerde can apply the non-overlapping reductions and release the undisputed balance.</w:t>
      </w:r>
    </w:p>
    <w:sectPr w:rsidR="00FC693F" w:rsidRPr="0006063C" w:rsidSect="00034616">
      <w:headerReference w:type="default" r:id="rId9"/>
      <w:footerReference w:type="default" r:id="rId10"/>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TerraVerde Environmental Solutions, Inc.  •  July 2024 billing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17365D"/>
      </w:pBdr>
    </w:pPr>
    <w:r>
      <w:rPr>
        <w:rFonts w:ascii="Calibri" w:hAnsi="Calibri"/>
        <w:b/>
        <w:color w:val="666666"/>
        <w:sz w:val="15"/>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eastAsia="Calibri"/>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Charge Review Memorandum</dc:title>
  <dc:subject>TerraVerde review of Hargrove &amp; Linden July 2024 invoices</dc:subject>
  <dc:creator>TerraVerde Environmental Solutions, Inc.</dc:creator>
  <cp:keywords>Privileged; billing review; MTCA; legal research</cp:keywords>
  <dc:description>generated by python-docx</dc:description>
  <cp:lastModifiedBy/>
  <cp:revision>1</cp:revision>
  <dcterms:created xsi:type="dcterms:W3CDTF">2013-12-23T23:15:00Z</dcterms:created>
  <dcterms:modified xsi:type="dcterms:W3CDTF">2013-12-23T23:15:00Z</dcterms:modified>
  <cp:category/>
</cp:coreProperties>
</file>