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pPr>
        <w:jc w:val="center"/>
      </w:pPr>
      <w:r>
        <w:rPr>
          <w:i/>
          <w:sz w:val="18"/>
        </w:rPr>
        <w:t>PRIVILEGED &amp; CONFIDENTIAL — ATTORNEY-CLIENT COMMUNICATION / ATTORNEY WORK PRODUCT</w:t>
      </w:r>
    </w:p>
    <w:tbl>
      <w:tblPr>
        <w:tblStyle w:val="TableGrid"/>
        <w:tblW w:type="auto" w:w="0"/>
        <w:tblLook w:firstColumn="1" w:firstRow="1" w:lastColumn="0" w:lastRow="0" w:noHBand="0" w:noVBand="1" w:val="04A0"/>
      </w:tblPr>
      <w:tblGrid>
        <w:gridCol w:w="4824"/>
        <w:gridCol w:w="4824"/>
      </w:tblGrid>
      <w:tr>
        <w:tc>
          <w:tcPr>
            <w:tcW w:type="dxa" w:w="1440"/>
            <w:shd w:val="clear" w:fill="D9E2F3"/>
          </w:tcPr>
          <w:p>
            <w:r/>
            <w:r>
              <w:rPr>
                <w:b/>
                <w:sz w:val="18"/>
              </w:rPr>
            </w:r>
          </w:p>
        </w:tc>
        <w:tc>
          <w:tcPr>
            <w:tcW w:type="dxa" w:w="8208"/>
            <w:shd w:val="clear" w:fill="D9E2F3"/>
          </w:tcPr>
          <w:p>
            <w:r/>
            <w:r>
              <w:rPr>
                <w:b/>
                <w:sz w:val="18"/>
              </w:rPr>
            </w:r>
          </w:p>
        </w:tc>
      </w:tr>
      <w:tr>
        <w:tc>
          <w:tcPr>
            <w:tcW w:type="dxa" w:w="1440"/>
          </w:tcPr>
          <w:p>
            <w:r/>
            <w:r>
              <w:rPr>
                <w:sz w:val="18"/>
              </w:rPr>
              <w:t>TO:</w:t>
            </w:r>
          </w:p>
        </w:tc>
        <w:tc>
          <w:tcPr>
            <w:tcW w:type="dxa" w:w="8208"/>
          </w:tcPr>
          <w:p>
            <w:r/>
            <w:r>
              <w:rPr>
                <w:sz w:val="18"/>
              </w:rPr>
              <w:t>Marcus Holt, Deputy General Counsel, TerraVerde Environmental Solutions, Inc.</w:t>
            </w:r>
          </w:p>
        </w:tc>
      </w:tr>
      <w:tr>
        <w:tc>
          <w:tcPr>
            <w:tcW w:type="dxa" w:w="1440"/>
          </w:tcPr>
          <w:p>
            <w:r/>
            <w:r>
              <w:rPr>
                <w:sz w:val="18"/>
              </w:rPr>
              <w:t>CC:</w:t>
            </w:r>
          </w:p>
        </w:tc>
        <w:tc>
          <w:tcPr>
            <w:tcW w:type="dxa" w:w="8208"/>
          </w:tcPr>
          <w:p>
            <w:r/>
            <w:r>
              <w:rPr>
                <w:sz w:val="18"/>
              </w:rPr>
              <w:t>Priya Anand, General Counsel</w:t>
            </w:r>
          </w:p>
        </w:tc>
      </w:tr>
      <w:tr>
        <w:tc>
          <w:tcPr>
            <w:tcW w:type="dxa" w:w="1440"/>
          </w:tcPr>
          <w:p>
            <w:r/>
            <w:r>
              <w:rPr>
                <w:sz w:val="18"/>
              </w:rPr>
              <w:t>FROM:</w:t>
            </w:r>
          </w:p>
        </w:tc>
        <w:tc>
          <w:tcPr>
            <w:tcW w:type="dxa" w:w="8208"/>
          </w:tcPr>
          <w:p>
            <w:r/>
            <w:r>
              <w:rPr>
                <w:sz w:val="18"/>
              </w:rPr>
              <w:t>Legal Department — Outside Counsel Billing Review</w:t>
            </w:r>
          </w:p>
        </w:tc>
      </w:tr>
      <w:tr>
        <w:tc>
          <w:tcPr>
            <w:tcW w:type="dxa" w:w="1440"/>
          </w:tcPr>
          <w:p>
            <w:r/>
            <w:r>
              <w:rPr>
                <w:sz w:val="18"/>
              </w:rPr>
              <w:t>DATE:</w:t>
            </w:r>
          </w:p>
        </w:tc>
        <w:tc>
          <w:tcPr>
            <w:tcW w:type="dxa" w:w="8208"/>
          </w:tcPr>
          <w:p>
            <w:r/>
            <w:r>
              <w:rPr>
                <w:sz w:val="18"/>
              </w:rPr>
              <w:t>[Insert date]</w:t>
            </w:r>
          </w:p>
        </w:tc>
      </w:tr>
      <w:tr>
        <w:tc>
          <w:tcPr>
            <w:tcW w:type="dxa" w:w="1440"/>
          </w:tcPr>
          <w:p>
            <w:r/>
            <w:r>
              <w:rPr>
                <w:sz w:val="18"/>
              </w:rPr>
              <w:t>RE:</w:t>
            </w:r>
          </w:p>
        </w:tc>
        <w:tc>
          <w:tcPr>
            <w:tcW w:type="dxa" w:w="8208"/>
          </w:tcPr>
          <w:p>
            <w:r/>
            <w:r>
              <w:rPr>
                <w:sz w:val="18"/>
              </w:rPr>
              <w:t>Review of Hargrove &amp; Linden LLP July 2024 Invoice No. HL-TV-2024-0731 (Cascade Development Group, LLC v. TerraVerde, No. 2:24-cv-00318-RSL): Research Charges and Other Non-Compliant Items</w:t>
            </w:r>
          </w:p>
        </w:tc>
      </w:tr>
    </w:tbl>
    <w:p/>
    <w:p>
      <w:pPr>
        <w:pStyle w:val="Heading1"/>
      </w:pPr>
      <w:r>
        <w:t>1. Executive Summary</w:t>
      </w:r>
    </w:p>
    <w:p>
      <w:r>
        <w:t>I checked Hargrove &amp; Linden's July 2024 invoice for the Cascade litigation against four sources: TerraVerde's Outside Counsel Billing Guidelines (rev. Nov. 2023), which are incorporated into the January 22, 2024 engagement letter; the engagement letter; your June 28, 2024 email to Diane Hargrove about research billing; and the firm's June 2024 Cascade invoice and July 2024 DOE-matter invoice. The invoice has the problems you warned about in your June 28 email, and some new ones. The main issues are:</w:t>
      </w:r>
    </w:p>
    <w:p>
      <w:pPr>
        <w:pStyle w:val="ListBullet"/>
      </w:pPr>
      <w:r>
        <w:rPr>
          <w:b/>
        </w:rPr>
        <w:t>Unsupported fees.</w:t>
      </w:r>
      <w:r>
        <w:t xml:space="preserve"> The Summary sheet bills $349,552.50 in gross professional fees. The 160 itemized Fee Detail entries add up to only $243,080.50 (565.9 hours). That leaves $106,472.00 with no supporting time entries. The research totals also disagree: 142.3 hours on the Summary versus 137.6 hours on the Discount sheet and in the RES-coded entries.</w:t>
      </w:r>
    </w:p>
    <w:p>
      <w:pPr>
        <w:pStyle w:val="ListBullet"/>
      </w:pPr>
      <w:r>
        <w:rPr>
          <w:b/>
        </w:rPr>
        <w:t>Research cap breach and discount error.</w:t>
      </w:r>
      <w:r>
        <w:t xml:space="preserve"> The "15%" research discount of $7,732.00 is really only 14.29%; 15% would be $8,115.68. Even after that discount, the firm itself reports research at 13.56% of fees, which is over the 12% cap in §6.2. No written approval was requested, although your email specifically asked for it. Measured against the fees that are actually itemized, gross research is 22.3% of fees ($54,989.50 including a reclassified block-billed entry, divided by $243,080.50).</w:t>
      </w:r>
    </w:p>
    <w:p>
      <w:pPr>
        <w:pStyle w:val="ListBullet"/>
      </w:pPr>
      <w:r>
        <w:rPr>
          <w:b/>
        </w:rPr>
        <w:t>Specific research violations:</w:t>
      </w:r>
      <w:r>
        <w:t xml:space="preserve"> Partner research billed at full partner rates (§6.3); the same issues researched by multiple timekeepers in the same month (§6.4); "background"/"get up to speed" research (§§4.3, 6.4); the same MTCA research billed to both the Cascade and DOE matters (§6.6); and Westlaw charges passed through as a disbursement (§9.3).</w:t>
      </w:r>
    </w:p>
    <w:p>
      <w:pPr>
        <w:pStyle w:val="ListBullet"/>
      </w:pPr>
      <w:r>
        <w:rPr>
          <w:b/>
        </w:rPr>
        <w:t>Other violations:</w:t>
      </w:r>
      <w:r>
        <w:t xml:space="preserve"> Travel time billed at 100% instead of 50%; three attorneys at a deposition; a senior associate preparing deposition summaries; firm-internal administrative time; and an $18,500 expert charge, plus travel expenses, with no documented pre-approval.</w:t>
      </w:r>
    </w:p>
    <w:p>
      <w:r>
        <w:t>Recommendation: pay $222,732.10 now. Withhold $106,472.00 in unsupported fees and $24,250.00 in disbursements until the firm provides documentation. Disallow $37,383.50 in specific fee and disbursement charges. The table below shows how these figures add up.</w:t>
      </w:r>
    </w:p>
    <w:tbl>
      <w:tblPr>
        <w:tblStyle w:val="TableGrid"/>
        <w:tblW w:type="auto" w:w="0"/>
        <w:tblLook w:firstColumn="1" w:firstRow="1" w:lastColumn="0" w:lastRow="0" w:noHBand="0" w:noVBand="1" w:val="04A0"/>
      </w:tblPr>
      <w:tblGrid>
        <w:gridCol w:w="4824"/>
        <w:gridCol w:w="4824"/>
      </w:tblGrid>
      <w:tr>
        <w:tc>
          <w:tcPr>
            <w:tcW w:type="dxa" w:w="7488"/>
            <w:shd w:val="clear" w:fill="D9E2F3"/>
          </w:tcPr>
          <w:p>
            <w:r/>
            <w:r>
              <w:rPr>
                <w:b/>
                <w:sz w:val="18"/>
              </w:rPr>
              <w:t>Item</w:t>
            </w:r>
          </w:p>
        </w:tc>
        <w:tc>
          <w:tcPr>
            <w:tcW w:type="dxa" w:w="2160"/>
            <w:shd w:val="clear" w:fill="D9E2F3"/>
          </w:tcPr>
          <w:p>
            <w:r/>
            <w:r>
              <w:rPr>
                <w:b/>
                <w:sz w:val="18"/>
              </w:rPr>
              <w:t>Amount</w:t>
            </w:r>
          </w:p>
        </w:tc>
      </w:tr>
      <w:tr>
        <w:tc>
          <w:tcPr>
            <w:tcW w:type="dxa" w:w="7488"/>
          </w:tcPr>
          <w:p>
            <w:r/>
            <w:r>
              <w:rPr>
                <w:sz w:val="18"/>
              </w:rPr>
              <w:t>Invoice total as billed</w:t>
            </w:r>
          </w:p>
        </w:tc>
        <w:tc>
          <w:tcPr>
            <w:tcW w:type="dxa" w:w="2160"/>
          </w:tcPr>
          <w:p>
            <w:r/>
            <w:r>
              <w:rPr>
                <w:sz w:val="18"/>
              </w:rPr>
              <w:t>$387,420.50</w:t>
            </w:r>
          </w:p>
        </w:tc>
      </w:tr>
      <w:tr>
        <w:tc>
          <w:tcPr>
            <w:tcW w:type="dxa" w:w="7488"/>
          </w:tcPr>
          <w:p>
            <w:r/>
            <w:r>
              <w:rPr>
                <w:sz w:val="18"/>
              </w:rPr>
              <w:t>Less: fees not supported by itemized entries (withhold pending detail)</w:t>
            </w:r>
          </w:p>
        </w:tc>
        <w:tc>
          <w:tcPr>
            <w:tcW w:type="dxa" w:w="2160"/>
          </w:tcPr>
          <w:p>
            <w:r/>
            <w:r>
              <w:rPr>
                <w:sz w:val="18"/>
              </w:rPr>
              <w:t>($106,472.00)</w:t>
            </w:r>
          </w:p>
        </w:tc>
      </w:tr>
      <w:tr>
        <w:tc>
          <w:tcPr>
            <w:tcW w:type="dxa" w:w="7488"/>
          </w:tcPr>
          <w:p>
            <w:r/>
            <w:r>
              <w:rPr>
                <w:sz w:val="18"/>
              </w:rPr>
              <w:t>Less: research-entry disallowances/reductions (Section 3)</w:t>
            </w:r>
          </w:p>
        </w:tc>
        <w:tc>
          <w:tcPr>
            <w:tcW w:type="dxa" w:w="2160"/>
          </w:tcPr>
          <w:p>
            <w:r/>
            <w:r>
              <w:rPr>
                <w:sz w:val="18"/>
              </w:rPr>
              <w:t>($26,223.50)</w:t>
            </w:r>
          </w:p>
        </w:tc>
      </w:tr>
      <w:tr>
        <w:tc>
          <w:tcPr>
            <w:tcW w:type="dxa" w:w="7488"/>
          </w:tcPr>
          <w:p>
            <w:r/>
            <w:r>
              <w:rPr>
                <w:sz w:val="18"/>
              </w:rPr>
              <w:t>Less: non-research fee adjustments (Section 5)</w:t>
            </w:r>
          </w:p>
        </w:tc>
        <w:tc>
          <w:tcPr>
            <w:tcW w:type="dxa" w:w="2160"/>
          </w:tcPr>
          <w:p>
            <w:r/>
            <w:r>
              <w:rPr>
                <w:sz w:val="18"/>
              </w:rPr>
              <w:t>($6,310.00)</w:t>
            </w:r>
          </w:p>
        </w:tc>
      </w:tr>
      <w:tr>
        <w:tc>
          <w:tcPr>
            <w:tcW w:type="dxa" w:w="7488"/>
          </w:tcPr>
          <w:p>
            <w:r/>
            <w:r>
              <w:rPr>
                <w:sz w:val="18"/>
              </w:rPr>
              <w:t>Add back: firm discount as billed ($7,732.00), re-stated at 15% of adjusted research ($4,314.90)</w:t>
            </w:r>
          </w:p>
        </w:tc>
        <w:tc>
          <w:tcPr>
            <w:tcW w:type="dxa" w:w="2160"/>
          </w:tcPr>
          <w:p>
            <w:r/>
            <w:r>
              <w:rPr>
                <w:sz w:val="18"/>
              </w:rPr>
              <w:t>+$3,417.10</w:t>
            </w:r>
          </w:p>
        </w:tc>
      </w:tr>
      <w:tr>
        <w:tc>
          <w:tcPr>
            <w:tcW w:type="dxa" w:w="7488"/>
          </w:tcPr>
          <w:p>
            <w:r/>
            <w:r>
              <w:rPr>
                <w:sz w:val="18"/>
              </w:rPr>
              <w:t>Less: Westlaw pass-through charge (disallowed, §9.3)</w:t>
            </w:r>
          </w:p>
        </w:tc>
        <w:tc>
          <w:tcPr>
            <w:tcW w:type="dxa" w:w="2160"/>
          </w:tcPr>
          <w:p>
            <w:r/>
            <w:r>
              <w:rPr>
                <w:sz w:val="18"/>
              </w:rPr>
              <w:t>($4,850.00)</w:t>
            </w:r>
          </w:p>
        </w:tc>
      </w:tr>
      <w:tr>
        <w:tc>
          <w:tcPr>
            <w:tcW w:type="dxa" w:w="7488"/>
          </w:tcPr>
          <w:p>
            <w:r/>
            <w:r>
              <w:rPr>
                <w:sz w:val="18"/>
              </w:rPr>
              <w:t>Less: disbursements withheld pending approval/support (expert, travel, copying)</w:t>
            </w:r>
          </w:p>
        </w:tc>
        <w:tc>
          <w:tcPr>
            <w:tcW w:type="dxa" w:w="2160"/>
          </w:tcPr>
          <w:p>
            <w:r/>
            <w:r>
              <w:rPr>
                <w:sz w:val="18"/>
              </w:rPr>
              <w:t>($24,250.00)</w:t>
            </w:r>
          </w:p>
        </w:tc>
      </w:tr>
      <w:tr>
        <w:tc>
          <w:tcPr>
            <w:tcW w:type="dxa" w:w="7488"/>
          </w:tcPr>
          <w:p>
            <w:r/>
            <w:r>
              <w:rPr>
                <w:b/>
                <w:sz w:val="18"/>
              </w:rPr>
              <w:t>Recommended amount payable now</w:t>
            </w:r>
          </w:p>
        </w:tc>
        <w:tc>
          <w:tcPr>
            <w:tcW w:type="dxa" w:w="2160"/>
          </w:tcPr>
          <w:p>
            <w:r/>
            <w:r>
              <w:rPr>
                <w:b/>
                <w:sz w:val="18"/>
              </w:rPr>
              <w:t>$222,732.10</w:t>
            </w:r>
          </w:p>
        </w:tc>
      </w:tr>
    </w:tbl>
    <w:p/>
    <w:p>
      <w:pPr>
        <w:pStyle w:val="Heading1"/>
      </w:pPr>
      <w:r>
        <w:t>2. Governing Standards</w:t>
      </w:r>
    </w:p>
    <w:tbl>
      <w:tblPr>
        <w:tblStyle w:val="TableGrid"/>
        <w:tblW w:type="auto" w:w="0"/>
        <w:tblLook w:firstColumn="1" w:firstRow="1" w:lastColumn="0" w:lastRow="0" w:noHBand="0" w:noVBand="1" w:val="04A0"/>
      </w:tblPr>
      <w:tblGrid>
        <w:gridCol w:w="4824"/>
        <w:gridCol w:w="4824"/>
      </w:tblGrid>
      <w:tr>
        <w:tc>
          <w:tcPr>
            <w:tcW w:type="dxa" w:w="2016"/>
            <w:shd w:val="clear" w:fill="D9E2F3"/>
          </w:tcPr>
          <w:p>
            <w:r/>
            <w:r>
              <w:rPr>
                <w:b/>
                <w:sz w:val="18"/>
              </w:rPr>
              <w:t>Provision</w:t>
            </w:r>
          </w:p>
        </w:tc>
        <w:tc>
          <w:tcPr>
            <w:tcW w:type="dxa" w:w="7632"/>
            <w:shd w:val="clear" w:fill="D9E2F3"/>
          </w:tcPr>
          <w:p>
            <w:r/>
            <w:r>
              <w:rPr>
                <w:b/>
                <w:sz w:val="18"/>
              </w:rPr>
              <w:t>Requirement</w:t>
            </w:r>
          </w:p>
        </w:tc>
      </w:tr>
      <w:tr>
        <w:tc>
          <w:tcPr>
            <w:tcW w:type="dxa" w:w="2016"/>
          </w:tcPr>
          <w:p>
            <w:r/>
            <w:r>
              <w:rPr>
                <w:sz w:val="18"/>
              </w:rPr>
              <w:t>Guidelines §6.2</w:t>
            </w:r>
          </w:p>
        </w:tc>
        <w:tc>
          <w:tcPr>
            <w:tcW w:type="dxa" w:w="7632"/>
          </w:tcPr>
          <w:p>
            <w:r/>
            <w:r>
              <w:rPr>
                <w:sz w:val="18"/>
              </w:rPr>
              <w:t>Research ≤ 12% of monthly professional fees (measured after voluntary discounts) unless the DGC gives prior written approval. If there is no approval, TerraVerde may reduce research pro rata or disallow specific entries.</w:t>
            </w:r>
          </w:p>
        </w:tc>
      </w:tr>
      <w:tr>
        <w:tc>
          <w:tcPr>
            <w:tcW w:type="dxa" w:w="2016"/>
          </w:tcPr>
          <w:p>
            <w:r/>
            <w:r>
              <w:rPr>
                <w:sz w:val="18"/>
              </w:rPr>
              <w:t>Guidelines §6.3</w:t>
            </w:r>
          </w:p>
        </w:tc>
        <w:tc>
          <w:tcPr>
            <w:tcW w:type="dxa" w:w="7632"/>
          </w:tcPr>
          <w:p>
            <w:r/>
            <w:r>
              <w:rPr>
                <w:sz w:val="18"/>
              </w:rPr>
              <w:t>Partners may not bill research. Exceptional partner research must be written off or billed at the Senior Associate rate ($545), with a notation explaining why it could not be delegated. Without the notation, the entry is automatically reduced to $545. Routine Senior Associate research may be reduced to the junior associate rate.</w:t>
            </w:r>
          </w:p>
        </w:tc>
      </w:tr>
      <w:tr>
        <w:tc>
          <w:tcPr>
            <w:tcW w:type="dxa" w:w="2016"/>
          </w:tcPr>
          <w:p>
            <w:r/>
            <w:r>
              <w:rPr>
                <w:sz w:val="18"/>
              </w:rPr>
              <w:t>Guidelines §6.4</w:t>
            </w:r>
          </w:p>
        </w:tc>
        <w:tc>
          <w:tcPr>
            <w:tcW w:type="dxa" w:w="7632"/>
          </w:tcPr>
          <w:p>
            <w:r/>
            <w:r>
              <w:rPr>
                <w:sz w:val="18"/>
              </w:rPr>
              <w:t>Only one attorney is paid for research on the same or overlapping legal issue in the same month: the most junior qualified researcher. Overlapping entries by higher-rate timekeepers are disallowed. Researching the elements of a claim and the defenses to it counts as the "same issue." Background or familiarization research is never billable.</w:t>
            </w:r>
          </w:p>
        </w:tc>
      </w:tr>
      <w:tr>
        <w:tc>
          <w:tcPr>
            <w:tcW w:type="dxa" w:w="2016"/>
          </w:tcPr>
          <w:p>
            <w:r/>
            <w:r>
              <w:rPr>
                <w:sz w:val="18"/>
              </w:rPr>
              <w:t>Guidelines §4.1 / §4.3</w:t>
            </w:r>
          </w:p>
        </w:tc>
        <w:tc>
          <w:tcPr>
            <w:tcW w:type="dxa" w:w="7632"/>
          </w:tcPr>
          <w:p>
            <w:r/>
            <w:r>
              <w:rPr>
                <w:sz w:val="18"/>
              </w:rPr>
              <w:t>Research goes to the most junior qualified attorney. Onboarding and "catch-up" research is non-billable.</w:t>
            </w:r>
          </w:p>
        </w:tc>
      </w:tr>
      <w:tr>
        <w:tc>
          <w:tcPr>
            <w:tcW w:type="dxa" w:w="2016"/>
          </w:tcPr>
          <w:p>
            <w:r/>
            <w:r>
              <w:rPr>
                <w:sz w:val="18"/>
              </w:rPr>
              <w:t>Guidelines §6.5 / §5.3</w:t>
            </w:r>
          </w:p>
        </w:tc>
        <w:tc>
          <w:tcPr>
            <w:tcW w:type="dxa" w:w="7632"/>
          </w:tcPr>
          <w:p>
            <w:r/>
            <w:r>
              <w:rPr>
                <w:sz w:val="18"/>
              </w:rPr>
              <w:t>Research entries must identify the specific issue. If a block-billed research/drafting entry does not allocate time, the whole entry counts as research.</w:t>
            </w:r>
          </w:p>
        </w:tc>
      </w:tr>
      <w:tr>
        <w:tc>
          <w:tcPr>
            <w:tcW w:type="dxa" w:w="2016"/>
          </w:tcPr>
          <w:p>
            <w:r/>
            <w:r>
              <w:rPr>
                <w:sz w:val="18"/>
              </w:rPr>
              <w:t>Guidelines §6.6</w:t>
            </w:r>
          </w:p>
        </w:tc>
        <w:tc>
          <w:tcPr>
            <w:tcW w:type="dxa" w:w="7632"/>
          </w:tcPr>
          <w:p>
            <w:r/>
            <w:r>
              <w:rPr>
                <w:sz w:val="18"/>
              </w:rPr>
              <w:t>Research that benefits multiple TerraVerde matters is billed once, to the primary matter, with a cross-reference notation.</w:t>
            </w:r>
          </w:p>
        </w:tc>
      </w:tr>
      <w:tr>
        <w:tc>
          <w:tcPr>
            <w:tcW w:type="dxa" w:w="2016"/>
          </w:tcPr>
          <w:p>
            <w:r/>
            <w:r>
              <w:rPr>
                <w:sz w:val="18"/>
              </w:rPr>
              <w:t>Guidelines §9.3</w:t>
            </w:r>
          </w:p>
        </w:tc>
        <w:tc>
          <w:tcPr>
            <w:tcW w:type="dxa" w:w="7632"/>
          </w:tcPr>
          <w:p>
            <w:r/>
            <w:r>
              <w:rPr>
                <w:sz w:val="18"/>
              </w:rPr>
              <w:t>Westlaw/Lexis charges are included in hourly rates and are disallowed in full.</w:t>
            </w:r>
          </w:p>
        </w:tc>
      </w:tr>
      <w:tr>
        <w:tc>
          <w:tcPr>
            <w:tcW w:type="dxa" w:w="2016"/>
          </w:tcPr>
          <w:p>
            <w:r/>
            <w:r>
              <w:rPr>
                <w:sz w:val="18"/>
              </w:rPr>
              <w:t>Guidelines §7.1; Eng. Ltr. §5</w:t>
            </w:r>
          </w:p>
        </w:tc>
        <w:tc>
          <w:tcPr>
            <w:tcW w:type="dxa" w:w="7632"/>
          </w:tcPr>
          <w:p>
            <w:r/>
            <w:r>
              <w:rPr>
                <w:sz w:val="18"/>
              </w:rPr>
              <w:t>Travel time is billed at 50%. Travel over $1,500 per trip requires prior approval.</w:t>
            </w:r>
          </w:p>
        </w:tc>
      </w:tr>
      <w:tr>
        <w:tc>
          <w:tcPr>
            <w:tcW w:type="dxa" w:w="2016"/>
          </w:tcPr>
          <w:p>
            <w:r/>
            <w:r>
              <w:rPr>
                <w:sz w:val="18"/>
              </w:rPr>
              <w:t>Guidelines §§4.1, 8</w:t>
            </w:r>
          </w:p>
        </w:tc>
        <w:tc>
          <w:tcPr>
            <w:tcW w:type="dxa" w:w="7632"/>
          </w:tcPr>
          <w:p>
            <w:r/>
            <w:r>
              <w:rPr>
                <w:sz w:val="18"/>
              </w:rPr>
              <w:t>No more than two attorneys at a deposition without written approval. Deposition summaries are to be prepared by paralegals or junior associates.</w:t>
            </w:r>
          </w:p>
        </w:tc>
      </w:tr>
      <w:tr>
        <w:tc>
          <w:tcPr>
            <w:tcW w:type="dxa" w:w="2016"/>
          </w:tcPr>
          <w:p>
            <w:r/>
            <w:r>
              <w:rPr>
                <w:sz w:val="18"/>
              </w:rPr>
              <w:t>Guidelines §§9.2, 9.4; Eng. Ltr. §5</w:t>
            </w:r>
          </w:p>
        </w:tc>
        <w:tc>
          <w:tcPr>
            <w:tcW w:type="dxa" w:w="7632"/>
          </w:tcPr>
          <w:p>
            <w:r/>
            <w:r>
              <w:rPr>
                <w:sz w:val="18"/>
              </w:rPr>
              <w:t>Any disbursement over $5,000 and every expert engagement requires prior written DGC approval. Experts over $10,000 require Mr. Holt's approval.</w:t>
            </w:r>
          </w:p>
        </w:tc>
      </w:tr>
    </w:tbl>
    <w:p/>
    <w:p>
      <w:pPr>
        <w:pStyle w:val="Heading1"/>
      </w:pPr>
      <w:r>
        <w:t>3. Research Charges — Entry-Specific Findings</w:t>
      </w:r>
    </w:p>
    <w:p>
      <w:pPr>
        <w:pStyle w:val="Heading2"/>
      </w:pPr>
      <w:r>
        <w:t>3.1 Partner research (§6.3)</w:t>
      </w:r>
    </w:p>
    <w:p>
      <w:r>
        <w:t>Six RES-coded partner entries (12.5 hours, $9,997.50) were billed at full partner rates. None includes the notation §6.3 requires. As a result, each entry must be reduced to at least $545/hour. Four of the entries also duplicate research by associates. Those four are disallowed in full under §6.4 (see 3.2), so the §6.3 reduction applies only to the other two.</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576"/>
            <w:shd w:val="clear" w:fill="D9E2F3"/>
          </w:tcPr>
          <w:p>
            <w:r/>
            <w:r>
              <w:rPr>
                <w:b/>
                <w:sz w:val="18"/>
              </w:rPr>
              <w:t>Line</w:t>
            </w:r>
          </w:p>
        </w:tc>
        <w:tc>
          <w:tcPr>
            <w:tcW w:type="dxa" w:w="648"/>
            <w:shd w:val="clear" w:fill="D9E2F3"/>
          </w:tcPr>
          <w:p>
            <w:r/>
            <w:r>
              <w:rPr>
                <w:b/>
                <w:sz w:val="18"/>
              </w:rPr>
              <w:t>Date</w:t>
            </w:r>
          </w:p>
        </w:tc>
        <w:tc>
          <w:tcPr>
            <w:tcW w:type="dxa" w:w="1080"/>
            <w:shd w:val="clear" w:fill="D9E2F3"/>
          </w:tcPr>
          <w:p>
            <w:r/>
            <w:r>
              <w:rPr>
                <w:b/>
                <w:sz w:val="18"/>
              </w:rPr>
              <w:t>Timekeeper</w:t>
            </w:r>
          </w:p>
        </w:tc>
        <w:tc>
          <w:tcPr>
            <w:tcW w:type="dxa" w:w="576"/>
            <w:shd w:val="clear" w:fill="D9E2F3"/>
          </w:tcPr>
          <w:p>
            <w:r/>
            <w:r>
              <w:rPr>
                <w:b/>
                <w:sz w:val="18"/>
              </w:rPr>
              <w:t>Hrs</w:t>
            </w:r>
          </w:p>
        </w:tc>
        <w:tc>
          <w:tcPr>
            <w:tcW w:type="dxa" w:w="1080"/>
            <w:shd w:val="clear" w:fill="D9E2F3"/>
          </w:tcPr>
          <w:p>
            <w:r/>
            <w:r>
              <w:rPr>
                <w:b/>
                <w:sz w:val="18"/>
              </w:rPr>
              <w:t>Billed</w:t>
            </w:r>
          </w:p>
        </w:tc>
        <w:tc>
          <w:tcPr>
            <w:tcW w:type="dxa" w:w="3528"/>
            <w:shd w:val="clear" w:fill="D9E2F3"/>
          </w:tcPr>
          <w:p>
            <w:r/>
            <w:r>
              <w:rPr>
                <w:b/>
                <w:sz w:val="18"/>
              </w:rPr>
              <w:t>Issue</w:t>
            </w:r>
          </w:p>
        </w:tc>
        <w:tc>
          <w:tcPr>
            <w:tcW w:type="dxa" w:w="2160"/>
            <w:shd w:val="clear" w:fill="D9E2F3"/>
          </w:tcPr>
          <w:p>
            <w:r/>
            <w:r>
              <w:rPr>
                <w:b/>
                <w:sz w:val="18"/>
              </w:rPr>
              <w:t>Recommended</w:t>
            </w:r>
          </w:p>
        </w:tc>
      </w:tr>
      <w:tr>
        <w:tc>
          <w:tcPr>
            <w:tcW w:type="dxa" w:w="576"/>
          </w:tcPr>
          <w:p>
            <w:r/>
            <w:r>
              <w:rPr>
                <w:sz w:val="18"/>
              </w:rPr>
              <w:t>7</w:t>
            </w:r>
          </w:p>
        </w:tc>
        <w:tc>
          <w:tcPr>
            <w:tcW w:type="dxa" w:w="648"/>
          </w:tcPr>
          <w:p>
            <w:r/>
            <w:r>
              <w:rPr>
                <w:sz w:val="18"/>
              </w:rPr>
              <w:t>7/2</w:t>
            </w:r>
          </w:p>
        </w:tc>
        <w:tc>
          <w:tcPr>
            <w:tcW w:type="dxa" w:w="1080"/>
          </w:tcPr>
          <w:p>
            <w:r/>
            <w:r>
              <w:rPr>
                <w:sz w:val="18"/>
              </w:rPr>
              <w:t>Briggs</w:t>
            </w:r>
          </w:p>
        </w:tc>
        <w:tc>
          <w:tcPr>
            <w:tcW w:type="dxa" w:w="576"/>
          </w:tcPr>
          <w:p>
            <w:r/>
            <w:r>
              <w:rPr>
                <w:sz w:val="18"/>
              </w:rPr>
              <w:t>2.5</w:t>
            </w:r>
          </w:p>
        </w:tc>
        <w:tc>
          <w:tcPr>
            <w:tcW w:type="dxa" w:w="1080"/>
          </w:tcPr>
          <w:p>
            <w:r/>
            <w:r>
              <w:rPr>
                <w:sz w:val="18"/>
              </w:rPr>
              <w:t>$1,812.50</w:t>
            </w:r>
          </w:p>
        </w:tc>
        <w:tc>
          <w:tcPr>
            <w:tcW w:type="dxa" w:w="3528"/>
          </w:tcPr>
          <w:p>
            <w:r/>
            <w:r>
              <w:rPr>
                <w:sz w:val="18"/>
              </w:rPr>
              <w:t>Spoliation/adverse inference; duplicates Takahashi L86 (and his June 25 research)</w:t>
            </w:r>
          </w:p>
        </w:tc>
        <w:tc>
          <w:tcPr>
            <w:tcW w:type="dxa" w:w="2160"/>
          </w:tcPr>
          <w:p>
            <w:r/>
            <w:r>
              <w:rPr>
                <w:sz w:val="18"/>
              </w:rPr>
              <w:t>Disallow ($1,812.50) — §§6.3, 6.4</w:t>
            </w:r>
          </w:p>
        </w:tc>
      </w:tr>
      <w:tr>
        <w:tc>
          <w:tcPr>
            <w:tcW w:type="dxa" w:w="576"/>
          </w:tcPr>
          <w:p>
            <w:r/>
            <w:r>
              <w:rPr>
                <w:sz w:val="18"/>
              </w:rPr>
              <w:t>24</w:t>
            </w:r>
          </w:p>
        </w:tc>
        <w:tc>
          <w:tcPr>
            <w:tcW w:type="dxa" w:w="648"/>
          </w:tcPr>
          <w:p>
            <w:r/>
            <w:r>
              <w:rPr>
                <w:sz w:val="18"/>
              </w:rPr>
              <w:t>7/9</w:t>
            </w:r>
          </w:p>
        </w:tc>
        <w:tc>
          <w:tcPr>
            <w:tcW w:type="dxa" w:w="1080"/>
          </w:tcPr>
          <w:p>
            <w:r/>
            <w:r>
              <w:rPr>
                <w:sz w:val="18"/>
              </w:rPr>
              <w:t>Hargrove</w:t>
            </w:r>
          </w:p>
        </w:tc>
        <w:tc>
          <w:tcPr>
            <w:tcW w:type="dxa" w:w="576"/>
          </w:tcPr>
          <w:p>
            <w:r/>
            <w:r>
              <w:rPr>
                <w:sz w:val="18"/>
              </w:rPr>
              <w:t>1.8</w:t>
            </w:r>
          </w:p>
        </w:tc>
        <w:tc>
          <w:tcPr>
            <w:tcW w:type="dxa" w:w="1080"/>
          </w:tcPr>
          <w:p>
            <w:r/>
            <w:r>
              <w:rPr>
                <w:sz w:val="18"/>
              </w:rPr>
              <w:t>$1,611.00</w:t>
            </w:r>
          </w:p>
        </w:tc>
        <w:tc>
          <w:tcPr>
            <w:tcW w:type="dxa" w:w="3528"/>
          </w:tcPr>
          <w:p>
            <w:r/>
            <w:r>
              <w:rPr>
                <w:sz w:val="18"/>
              </w:rPr>
              <w:t>MTCA preemption/contractor defense; overlaps with MTCA research by Takahashi</w:t>
            </w:r>
          </w:p>
        </w:tc>
        <w:tc>
          <w:tcPr>
            <w:tcW w:type="dxa" w:w="2160"/>
          </w:tcPr>
          <w:p>
            <w:r/>
            <w:r>
              <w:rPr>
                <w:sz w:val="18"/>
              </w:rPr>
              <w:t>Disallow ($1,611.00) — §§6.3, 6.4</w:t>
            </w:r>
          </w:p>
        </w:tc>
      </w:tr>
      <w:tr>
        <w:tc>
          <w:tcPr>
            <w:tcW w:type="dxa" w:w="576"/>
          </w:tcPr>
          <w:p>
            <w:r/>
            <w:r>
              <w:rPr>
                <w:sz w:val="18"/>
              </w:rPr>
              <w:t>41</w:t>
            </w:r>
          </w:p>
        </w:tc>
        <w:tc>
          <w:tcPr>
            <w:tcW w:type="dxa" w:w="648"/>
          </w:tcPr>
          <w:p>
            <w:r/>
            <w:r>
              <w:rPr>
                <w:sz w:val="18"/>
              </w:rPr>
              <w:t>7/15</w:t>
            </w:r>
          </w:p>
        </w:tc>
        <w:tc>
          <w:tcPr>
            <w:tcW w:type="dxa" w:w="1080"/>
          </w:tcPr>
          <w:p>
            <w:r/>
            <w:r>
              <w:rPr>
                <w:sz w:val="18"/>
              </w:rPr>
              <w:t>Briggs</w:t>
            </w:r>
          </w:p>
        </w:tc>
        <w:tc>
          <w:tcPr>
            <w:tcW w:type="dxa" w:w="576"/>
          </w:tcPr>
          <w:p>
            <w:r/>
            <w:r>
              <w:rPr>
                <w:sz w:val="18"/>
              </w:rPr>
              <w:t>3.0</w:t>
            </w:r>
          </w:p>
        </w:tc>
        <w:tc>
          <w:tcPr>
            <w:tcW w:type="dxa" w:w="1080"/>
          </w:tcPr>
          <w:p>
            <w:r/>
            <w:r>
              <w:rPr>
                <w:sz w:val="18"/>
              </w:rPr>
              <w:t>$2,175.00</w:t>
            </w:r>
          </w:p>
        </w:tc>
        <w:tc>
          <w:tcPr>
            <w:tcW w:type="dxa" w:w="3528"/>
          </w:tcPr>
          <w:p>
            <w:r/>
            <w:r>
              <w:rPr>
                <w:sz w:val="18"/>
              </w:rPr>
              <w:t>Rule 56 / CERCLA SJ standards for reply brief. The reply was filed on 7/11 per L36 (and again on 7/19 per L63), so the research came after the filing</w:t>
            </w:r>
          </w:p>
        </w:tc>
        <w:tc>
          <w:tcPr>
            <w:tcW w:type="dxa" w:w="2160"/>
          </w:tcPr>
          <w:p>
            <w:r/>
            <w:r>
              <w:rPr>
                <w:sz w:val="18"/>
              </w:rPr>
              <w:t>Disallow ($2,175.00) — §§6.3, 6.4</w:t>
            </w:r>
          </w:p>
        </w:tc>
      </w:tr>
      <w:tr>
        <w:tc>
          <w:tcPr>
            <w:tcW w:type="dxa" w:w="576"/>
          </w:tcPr>
          <w:p>
            <w:r/>
            <w:r>
              <w:rPr>
                <w:sz w:val="18"/>
              </w:rPr>
              <w:t>51</w:t>
            </w:r>
          </w:p>
        </w:tc>
        <w:tc>
          <w:tcPr>
            <w:tcW w:type="dxa" w:w="648"/>
          </w:tcPr>
          <w:p>
            <w:r/>
            <w:r>
              <w:rPr>
                <w:sz w:val="18"/>
              </w:rPr>
              <w:t>7/17</w:t>
            </w:r>
          </w:p>
        </w:tc>
        <w:tc>
          <w:tcPr>
            <w:tcW w:type="dxa" w:w="1080"/>
          </w:tcPr>
          <w:p>
            <w:r/>
            <w:r>
              <w:rPr>
                <w:sz w:val="18"/>
              </w:rPr>
              <w:t>Hargrove</w:t>
            </w:r>
          </w:p>
        </w:tc>
        <w:tc>
          <w:tcPr>
            <w:tcW w:type="dxa" w:w="576"/>
          </w:tcPr>
          <w:p>
            <w:r/>
            <w:r>
              <w:rPr>
                <w:sz w:val="18"/>
              </w:rPr>
              <w:t>2.2</w:t>
            </w:r>
          </w:p>
        </w:tc>
        <w:tc>
          <w:tcPr>
            <w:tcW w:type="dxa" w:w="1080"/>
          </w:tcPr>
          <w:p>
            <w:r/>
            <w:r>
              <w:rPr>
                <w:sz w:val="18"/>
              </w:rPr>
              <w:t>$1,969.00</w:t>
            </w:r>
          </w:p>
        </w:tc>
        <w:tc>
          <w:tcPr>
            <w:tcW w:type="dxa" w:w="3528"/>
          </w:tcPr>
          <w:p>
            <w:r/>
            <w:r>
              <w:rPr>
                <w:sz w:val="18"/>
              </w:rPr>
              <w:t>Thompson v. Pacific Envtl. Corp. standard of care; no notation</w:t>
            </w:r>
          </w:p>
        </w:tc>
        <w:tc>
          <w:tcPr>
            <w:tcW w:type="dxa" w:w="2160"/>
          </w:tcPr>
          <w:p>
            <w:r/>
            <w:r>
              <w:rPr>
                <w:sz w:val="18"/>
              </w:rPr>
              <w:t>Reduce to $545/hr: ($770.00)</w:t>
            </w:r>
          </w:p>
        </w:tc>
      </w:tr>
      <w:tr>
        <w:tc>
          <w:tcPr>
            <w:tcW w:type="dxa" w:w="576"/>
          </w:tcPr>
          <w:p>
            <w:r/>
            <w:r>
              <w:rPr>
                <w:sz w:val="18"/>
              </w:rPr>
              <w:t>74</w:t>
            </w:r>
          </w:p>
        </w:tc>
        <w:tc>
          <w:tcPr>
            <w:tcW w:type="dxa" w:w="648"/>
          </w:tcPr>
          <w:p>
            <w:r/>
            <w:r>
              <w:rPr>
                <w:sz w:val="18"/>
              </w:rPr>
              <w:t>7/24</w:t>
            </w:r>
          </w:p>
        </w:tc>
        <w:tc>
          <w:tcPr>
            <w:tcW w:type="dxa" w:w="1080"/>
          </w:tcPr>
          <w:p>
            <w:r/>
            <w:r>
              <w:rPr>
                <w:sz w:val="18"/>
              </w:rPr>
              <w:t>Briggs</w:t>
            </w:r>
          </w:p>
        </w:tc>
        <w:tc>
          <w:tcPr>
            <w:tcW w:type="dxa" w:w="576"/>
          </w:tcPr>
          <w:p>
            <w:r/>
            <w:r>
              <w:rPr>
                <w:sz w:val="18"/>
              </w:rPr>
              <w:t>1.5</w:t>
            </w:r>
          </w:p>
        </w:tc>
        <w:tc>
          <w:tcPr>
            <w:tcW w:type="dxa" w:w="1080"/>
          </w:tcPr>
          <w:p>
            <w:r/>
            <w:r>
              <w:rPr>
                <w:sz w:val="18"/>
              </w:rPr>
              <w:t>$1,087.50</w:t>
            </w:r>
          </w:p>
        </w:tc>
        <w:tc>
          <w:tcPr>
            <w:tcW w:type="dxa" w:w="3528"/>
          </w:tcPr>
          <w:p>
            <w:r/>
            <w:r>
              <w:rPr>
                <w:sz w:val="18"/>
              </w:rPr>
              <w:t>FRCP 37(e) ESI sanctions; duplicates L86/L87</w:t>
            </w:r>
          </w:p>
        </w:tc>
        <w:tc>
          <w:tcPr>
            <w:tcW w:type="dxa" w:w="2160"/>
          </w:tcPr>
          <w:p>
            <w:r/>
            <w:r>
              <w:rPr>
                <w:sz w:val="18"/>
              </w:rPr>
              <w:t>Disallow ($1,087.50) — §§6.3, 6.4</w:t>
            </w:r>
          </w:p>
        </w:tc>
      </w:tr>
      <w:tr>
        <w:tc>
          <w:tcPr>
            <w:tcW w:type="dxa" w:w="576"/>
          </w:tcPr>
          <w:p>
            <w:r/>
            <w:r>
              <w:rPr>
                <w:sz w:val="18"/>
              </w:rPr>
              <w:t>92</w:t>
            </w:r>
          </w:p>
        </w:tc>
        <w:tc>
          <w:tcPr>
            <w:tcW w:type="dxa" w:w="648"/>
          </w:tcPr>
          <w:p>
            <w:r/>
            <w:r>
              <w:rPr>
                <w:sz w:val="18"/>
              </w:rPr>
              <w:t>7/30</w:t>
            </w:r>
          </w:p>
        </w:tc>
        <w:tc>
          <w:tcPr>
            <w:tcW w:type="dxa" w:w="1080"/>
          </w:tcPr>
          <w:p>
            <w:r/>
            <w:r>
              <w:rPr>
                <w:sz w:val="18"/>
              </w:rPr>
              <w:t>Hargrove</w:t>
            </w:r>
          </w:p>
        </w:tc>
        <w:tc>
          <w:tcPr>
            <w:tcW w:type="dxa" w:w="576"/>
          </w:tcPr>
          <w:p>
            <w:r/>
            <w:r>
              <w:rPr>
                <w:sz w:val="18"/>
              </w:rPr>
              <w:t>1.5</w:t>
            </w:r>
          </w:p>
        </w:tc>
        <w:tc>
          <w:tcPr>
            <w:tcW w:type="dxa" w:w="1080"/>
          </w:tcPr>
          <w:p>
            <w:r/>
            <w:r>
              <w:rPr>
                <w:sz w:val="18"/>
              </w:rPr>
              <w:t>$1,342.50</w:t>
            </w:r>
          </w:p>
        </w:tc>
        <w:tc>
          <w:tcPr>
            <w:tcW w:type="dxa" w:w="3528"/>
          </w:tcPr>
          <w:p>
            <w:r/>
            <w:r>
              <w:rPr>
                <w:sz w:val="18"/>
              </w:rPr>
              <w:t>"Trial strategy considerations" / jury verdict trends; weak fit with the definition of legal research; no notation</w:t>
            </w:r>
          </w:p>
        </w:tc>
        <w:tc>
          <w:tcPr>
            <w:tcW w:type="dxa" w:w="2160"/>
          </w:tcPr>
          <w:p>
            <w:r/>
            <w:r>
              <w:rPr>
                <w:sz w:val="18"/>
              </w:rPr>
              <w:t>Reduce to $545/hr: ($525.00); consider full write-off</w:t>
            </w:r>
          </w:p>
        </w:tc>
      </w:tr>
    </w:tbl>
    <w:p/>
    <w:p>
      <w:pPr>
        <w:pStyle w:val="Heading2"/>
      </w:pPr>
      <w:r>
        <w:t>3.2 Duplicative research by multiple timekeepers (§6.4)</w:t>
      </w:r>
    </w:p>
    <w:p>
      <w:r>
        <w:t>Following §6.4, I allowed the most junior qualified researcher on each issue and disallowed the overlapping entries by higher-rate timekeepers.</w:t>
      </w:r>
    </w:p>
    <w:tbl>
      <w:tblPr>
        <w:tblStyle w:val="TableGrid"/>
        <w:tblW w:type="auto" w:w="0"/>
        <w:tblLook w:firstColumn="1" w:firstRow="1" w:lastColumn="0" w:lastRow="0" w:noHBand="0" w:noVBand="1" w:val="04A0"/>
      </w:tblPr>
      <w:tblGrid>
        <w:gridCol w:w="2412"/>
        <w:gridCol w:w="2412"/>
        <w:gridCol w:w="2412"/>
        <w:gridCol w:w="2412"/>
      </w:tblGrid>
      <w:tr>
        <w:tc>
          <w:tcPr>
            <w:tcW w:type="dxa" w:w="2736"/>
            <w:shd w:val="clear" w:fill="D9E2F3"/>
          </w:tcPr>
          <w:p>
            <w:r/>
            <w:r>
              <w:rPr>
                <w:b/>
                <w:sz w:val="18"/>
              </w:rPr>
              <w:t>Legal issue</w:t>
            </w:r>
          </w:p>
        </w:tc>
        <w:tc>
          <w:tcPr>
            <w:tcW w:type="dxa" w:w="2304"/>
            <w:shd w:val="clear" w:fill="D9E2F3"/>
          </w:tcPr>
          <w:p>
            <w:r/>
            <w:r>
              <w:rPr>
                <w:b/>
                <w:sz w:val="18"/>
              </w:rPr>
              <w:t>Allowed (most junior)</w:t>
            </w:r>
          </w:p>
        </w:tc>
        <w:tc>
          <w:tcPr>
            <w:tcW w:type="dxa" w:w="3168"/>
            <w:shd w:val="clear" w:fill="D9E2F3"/>
          </w:tcPr>
          <w:p>
            <w:r/>
            <w:r>
              <w:rPr>
                <w:b/>
                <w:sz w:val="18"/>
              </w:rPr>
              <w:t>Disallowed entries</w:t>
            </w:r>
          </w:p>
        </w:tc>
        <w:tc>
          <w:tcPr>
            <w:tcW w:type="dxa" w:w="1440"/>
            <w:shd w:val="clear" w:fill="D9E2F3"/>
          </w:tcPr>
          <w:p>
            <w:r/>
            <w:r>
              <w:rPr>
                <w:b/>
                <w:sz w:val="18"/>
              </w:rPr>
              <w:t>Reduction</w:t>
            </w:r>
          </w:p>
        </w:tc>
      </w:tr>
      <w:tr>
        <w:tc>
          <w:tcPr>
            <w:tcW w:type="dxa" w:w="2736"/>
          </w:tcPr>
          <w:p>
            <w:r/>
            <w:r>
              <w:rPr>
                <w:sz w:val="18"/>
              </w:rPr>
              <w:t>MTCA contractor liability / SJ standards (reply brief)</w:t>
            </w:r>
          </w:p>
        </w:tc>
        <w:tc>
          <w:tcPr>
            <w:tcW w:type="dxa" w:w="2304"/>
          </w:tcPr>
          <w:p>
            <w:r/>
            <w:r>
              <w:rPr>
                <w:sz w:val="18"/>
              </w:rPr>
              <w:t>Takahashi L1, L6 ($3,230.00)</w:t>
            </w:r>
          </w:p>
        </w:tc>
        <w:tc>
          <w:tcPr>
            <w:tcW w:type="dxa" w:w="3168"/>
          </w:tcPr>
          <w:p>
            <w:r/>
            <w:r>
              <w:rPr>
                <w:sz w:val="18"/>
              </w:rPr>
              <w:t>Wendt L2 ($1,360.00), L15 ($1,700.00); Briggs L41 and Hargrove L24 (listed in 3.1)</w:t>
            </w:r>
          </w:p>
        </w:tc>
        <w:tc>
          <w:tcPr>
            <w:tcW w:type="dxa" w:w="1440"/>
          </w:tcPr>
          <w:p>
            <w:r/>
            <w:r>
              <w:rPr>
                <w:sz w:val="18"/>
              </w:rPr>
              <w:t>($3,060.00)</w:t>
            </w:r>
          </w:p>
        </w:tc>
      </w:tr>
      <w:tr>
        <w:tc>
          <w:tcPr>
            <w:tcW w:type="dxa" w:w="2736"/>
          </w:tcPr>
          <w:p>
            <w:r/>
            <w:r>
              <w:rPr>
                <w:sz w:val="18"/>
              </w:rPr>
              <w:t>Spoliation / ESI sanctions</w:t>
            </w:r>
          </w:p>
        </w:tc>
        <w:tc>
          <w:tcPr>
            <w:tcW w:type="dxa" w:w="2304"/>
          </w:tcPr>
          <w:p>
            <w:r/>
            <w:r>
              <w:rPr>
                <w:sz w:val="18"/>
              </w:rPr>
              <w:t>Takahashi L86 ($1,462.00)</w:t>
            </w:r>
          </w:p>
        </w:tc>
        <w:tc>
          <w:tcPr>
            <w:tcW w:type="dxa" w:w="3168"/>
          </w:tcPr>
          <w:p>
            <w:r/>
            <w:r>
              <w:rPr>
                <w:sz w:val="18"/>
              </w:rPr>
              <w:t>Wendt L87 ($1,190.00); Briggs L7, L74 (listed in 3.1)</w:t>
            </w:r>
          </w:p>
        </w:tc>
        <w:tc>
          <w:tcPr>
            <w:tcW w:type="dxa" w:w="1440"/>
          </w:tcPr>
          <w:p>
            <w:r/>
            <w:r>
              <w:rPr>
                <w:sz w:val="18"/>
              </w:rPr>
              <w:t>($1,190.00)</w:t>
            </w:r>
          </w:p>
        </w:tc>
      </w:tr>
      <w:tr>
        <w:tc>
          <w:tcPr>
            <w:tcW w:type="dxa" w:w="2736"/>
          </w:tcPr>
          <w:p>
            <w:r/>
            <w:r>
              <w:rPr>
                <w:sz w:val="18"/>
              </w:rPr>
              <w:t>ESI proportionality (FRCP 26(b)(1))</w:t>
            </w:r>
          </w:p>
        </w:tc>
        <w:tc>
          <w:tcPr>
            <w:tcW w:type="dxa" w:w="2304"/>
          </w:tcPr>
          <w:p>
            <w:r/>
            <w:r>
              <w:rPr>
                <w:sz w:val="18"/>
              </w:rPr>
              <w:t>Osei L10 ($1,770.00)</w:t>
            </w:r>
          </w:p>
        </w:tc>
        <w:tc>
          <w:tcPr>
            <w:tcW w:type="dxa" w:w="3168"/>
          </w:tcPr>
          <w:p>
            <w:r/>
            <w:r>
              <w:rPr>
                <w:sz w:val="18"/>
              </w:rPr>
              <w:t>Takahashi L25</w:t>
            </w:r>
          </w:p>
        </w:tc>
        <w:tc>
          <w:tcPr>
            <w:tcW w:type="dxa" w:w="1440"/>
          </w:tcPr>
          <w:p>
            <w:r/>
            <w:r>
              <w:rPr>
                <w:sz w:val="18"/>
              </w:rPr>
              <w:t>($1,360.00)</w:t>
            </w:r>
          </w:p>
        </w:tc>
      </w:tr>
      <w:tr>
        <w:tc>
          <w:tcPr>
            <w:tcW w:type="dxa" w:w="2736"/>
          </w:tcPr>
          <w:p>
            <w:r/>
            <w:r>
              <w:rPr>
                <w:sz w:val="18"/>
              </w:rPr>
              <w:t>Consequential damages (WA)</w:t>
            </w:r>
          </w:p>
        </w:tc>
        <w:tc>
          <w:tcPr>
            <w:tcW w:type="dxa" w:w="2304"/>
          </w:tcPr>
          <w:p>
            <w:r/>
            <w:r>
              <w:rPr>
                <w:sz w:val="18"/>
              </w:rPr>
              <w:t>Osei L20 ($2,212.50)</w:t>
            </w:r>
          </w:p>
        </w:tc>
        <w:tc>
          <w:tcPr>
            <w:tcW w:type="dxa" w:w="3168"/>
          </w:tcPr>
          <w:p>
            <w:r/>
            <w:r>
              <w:rPr>
                <w:sz w:val="18"/>
              </w:rPr>
              <w:t>Takahashi L11</w:t>
            </w:r>
          </w:p>
        </w:tc>
        <w:tc>
          <w:tcPr>
            <w:tcW w:type="dxa" w:w="1440"/>
          </w:tcPr>
          <w:p>
            <w:r/>
            <w:r>
              <w:rPr>
                <w:sz w:val="18"/>
              </w:rPr>
              <w:t>($1,190.00)</w:t>
            </w:r>
          </w:p>
        </w:tc>
      </w:tr>
      <w:tr>
        <w:tc>
          <w:tcPr>
            <w:tcW w:type="dxa" w:w="2736"/>
          </w:tcPr>
          <w:p>
            <w:r/>
            <w:r>
              <w:rPr>
                <w:sz w:val="18"/>
              </w:rPr>
              <w:t>Economic loss rule (WA remediation contracts)</w:t>
            </w:r>
          </w:p>
        </w:tc>
        <w:tc>
          <w:tcPr>
            <w:tcW w:type="dxa" w:w="2304"/>
          </w:tcPr>
          <w:p>
            <w:r/>
            <w:r>
              <w:rPr>
                <w:sz w:val="18"/>
              </w:rPr>
              <w:t>Osei L29, L38 ($2,950.00)</w:t>
            </w:r>
          </w:p>
        </w:tc>
        <w:tc>
          <w:tcPr>
            <w:tcW w:type="dxa" w:w="3168"/>
          </w:tcPr>
          <w:p>
            <w:r/>
            <w:r>
              <w:rPr>
                <w:sz w:val="18"/>
              </w:rPr>
              <w:t>Takahashi L37</w:t>
            </w:r>
          </w:p>
        </w:tc>
        <w:tc>
          <w:tcPr>
            <w:tcW w:type="dxa" w:w="1440"/>
          </w:tcPr>
          <w:p>
            <w:r/>
            <w:r>
              <w:rPr>
                <w:sz w:val="18"/>
              </w:rPr>
              <w:t>($2,040.00)</w:t>
            </w:r>
          </w:p>
        </w:tc>
      </w:tr>
      <w:tr>
        <w:tc>
          <w:tcPr>
            <w:tcW w:type="dxa" w:w="2736"/>
          </w:tcPr>
          <w:p>
            <w:r/>
            <w:r>
              <w:rPr>
                <w:sz w:val="18"/>
              </w:rPr>
              <w:t>Privilege log / consultant privilege</w:t>
            </w:r>
          </w:p>
        </w:tc>
        <w:tc>
          <w:tcPr>
            <w:tcW w:type="dxa" w:w="2304"/>
          </w:tcPr>
          <w:p>
            <w:r/>
            <w:r>
              <w:rPr>
                <w:sz w:val="18"/>
              </w:rPr>
              <w:t>Osei L47 ($1,032.50)</w:t>
            </w:r>
          </w:p>
        </w:tc>
        <w:tc>
          <w:tcPr>
            <w:tcW w:type="dxa" w:w="3168"/>
          </w:tcPr>
          <w:p>
            <w:r/>
            <w:r>
              <w:rPr>
                <w:sz w:val="18"/>
              </w:rPr>
              <w:t>Takahashi L46</w:t>
            </w:r>
          </w:p>
        </w:tc>
        <w:tc>
          <w:tcPr>
            <w:tcW w:type="dxa" w:w="1440"/>
          </w:tcPr>
          <w:p>
            <w:r/>
            <w:r>
              <w:rPr>
                <w:sz w:val="18"/>
              </w:rPr>
              <w:t>($1,020.00)</w:t>
            </w:r>
          </w:p>
        </w:tc>
      </w:tr>
      <w:tr>
        <w:tc>
          <w:tcPr>
            <w:tcW w:type="dxa" w:w="2736"/>
          </w:tcPr>
          <w:p>
            <w:r/>
            <w:r>
              <w:rPr>
                <w:sz w:val="18"/>
              </w:rPr>
              <w:t>Lost profits damages (WA)</w:t>
            </w:r>
          </w:p>
        </w:tc>
        <w:tc>
          <w:tcPr>
            <w:tcW w:type="dxa" w:w="2304"/>
          </w:tcPr>
          <w:p>
            <w:r/>
            <w:r>
              <w:rPr>
                <w:sz w:val="18"/>
              </w:rPr>
              <w:t>Takahashi L56 ($1,190.00)</w:t>
            </w:r>
          </w:p>
        </w:tc>
        <w:tc>
          <w:tcPr>
            <w:tcW w:type="dxa" w:w="3168"/>
          </w:tcPr>
          <w:p>
            <w:r/>
            <w:r>
              <w:rPr>
                <w:sz w:val="18"/>
              </w:rPr>
              <w:t>Wendt L55</w:t>
            </w:r>
          </w:p>
        </w:tc>
        <w:tc>
          <w:tcPr>
            <w:tcW w:type="dxa" w:w="1440"/>
          </w:tcPr>
          <w:p>
            <w:r/>
            <w:r>
              <w:rPr>
                <w:sz w:val="18"/>
              </w:rPr>
              <w:t>($1,912.50)</w:t>
            </w:r>
          </w:p>
        </w:tc>
      </w:tr>
      <w:tr>
        <w:tc>
          <w:tcPr>
            <w:tcW w:type="dxa" w:w="2736"/>
          </w:tcPr>
          <w:p>
            <w:r/>
            <w:r>
              <w:rPr>
                <w:sz w:val="18"/>
              </w:rPr>
              <w:t>Unjust enrichment elements and defenses (§6.4 treats elements + defenses as the same issue)</w:t>
            </w:r>
          </w:p>
        </w:tc>
        <w:tc>
          <w:tcPr>
            <w:tcW w:type="dxa" w:w="2304"/>
          </w:tcPr>
          <w:p>
            <w:r/>
            <w:r>
              <w:rPr>
                <w:sz w:val="18"/>
              </w:rPr>
              <w:t>Osei L70 ($1,180.00)</w:t>
            </w:r>
          </w:p>
        </w:tc>
        <w:tc>
          <w:tcPr>
            <w:tcW w:type="dxa" w:w="3168"/>
          </w:tcPr>
          <w:p>
            <w:r/>
            <w:r>
              <w:rPr>
                <w:sz w:val="18"/>
              </w:rPr>
              <w:t>Takahashi L73</w:t>
            </w:r>
          </w:p>
        </w:tc>
        <w:tc>
          <w:tcPr>
            <w:tcW w:type="dxa" w:w="1440"/>
          </w:tcPr>
          <w:p>
            <w:r/>
            <w:r>
              <w:rPr>
                <w:sz w:val="18"/>
              </w:rPr>
              <w:t>($1,190.00)</w:t>
            </w:r>
          </w:p>
        </w:tc>
      </w:tr>
      <w:tr>
        <w:tc>
          <w:tcPr>
            <w:tcW w:type="dxa" w:w="2736"/>
          </w:tcPr>
          <w:p>
            <w:r/>
            <w:r>
              <w:rPr>
                <w:b/>
                <w:sz w:val="18"/>
              </w:rPr>
              <w:t>Subtotal (excluding partner lines counted in 3.1)</w:t>
            </w:r>
          </w:p>
        </w:tc>
        <w:tc>
          <w:tcPr>
            <w:tcW w:type="dxa" w:w="2304"/>
          </w:tcPr>
          <w:p>
            <w:r/>
            <w:r>
              <w:rPr>
                <w:b/>
                <w:sz w:val="18"/>
              </w:rPr>
            </w:r>
          </w:p>
        </w:tc>
        <w:tc>
          <w:tcPr>
            <w:tcW w:type="dxa" w:w="3168"/>
          </w:tcPr>
          <w:p>
            <w:r/>
            <w:r>
              <w:rPr>
                <w:b/>
                <w:sz w:val="18"/>
              </w:rPr>
            </w:r>
          </w:p>
        </w:tc>
        <w:tc>
          <w:tcPr>
            <w:tcW w:type="dxa" w:w="1440"/>
          </w:tcPr>
          <w:p>
            <w:r/>
            <w:r>
              <w:rPr>
                <w:b/>
                <w:sz w:val="18"/>
              </w:rPr>
              <w:t>($12,962.50)</w:t>
            </w:r>
          </w:p>
        </w:tc>
      </w:tr>
    </w:tbl>
    <w:p/>
    <w:p>
      <w:r>
        <w:t>The firm has not delineated distinct sub-issues for any of these pairs, even though your June 28 email asked it to. Under §6.4, the firm bears the burden of showing that the work was not duplicative. Several July topics also repeat research billed in June: spoliation (Takahashi, 6/25), unjust enrichment (Osei, 6/20), and MTCA contractor liability (Wendt/Takahashi, 6/3–6/11). This supports the reductions.</w:t>
      </w:r>
    </w:p>
    <w:p>
      <w:pPr>
        <w:pStyle w:val="Heading2"/>
      </w:pPr>
      <w:r>
        <w:t>3.3 Background / familiarization research (§§4.3, 6.4)</w:t>
      </w:r>
    </w:p>
    <w:tbl>
      <w:tblPr>
        <w:tblStyle w:val="TableGrid"/>
        <w:tblW w:type="auto" w:w="0"/>
        <w:tblLook w:firstColumn="1" w:firstRow="1" w:lastColumn="0" w:lastRow="0" w:noHBand="0" w:noVBand="1" w:val="04A0"/>
      </w:tblPr>
      <w:tblGrid>
        <w:gridCol w:w="2412"/>
        <w:gridCol w:w="2412"/>
        <w:gridCol w:w="2412"/>
        <w:gridCol w:w="2412"/>
      </w:tblGrid>
      <w:tr>
        <w:tc>
          <w:tcPr>
            <w:tcW w:type="dxa" w:w="720"/>
            <w:shd w:val="clear" w:fill="D9E2F3"/>
          </w:tcPr>
          <w:p>
            <w:r/>
            <w:r>
              <w:rPr>
                <w:b/>
                <w:sz w:val="18"/>
              </w:rPr>
              <w:t>Line</w:t>
            </w:r>
          </w:p>
        </w:tc>
        <w:tc>
          <w:tcPr>
            <w:tcW w:type="dxa" w:w="1584"/>
            <w:shd w:val="clear" w:fill="D9E2F3"/>
          </w:tcPr>
          <w:p>
            <w:r/>
            <w:r>
              <w:rPr>
                <w:b/>
                <w:sz w:val="18"/>
              </w:rPr>
              <w:t>Timekeeper</w:t>
            </w:r>
          </w:p>
        </w:tc>
        <w:tc>
          <w:tcPr>
            <w:tcW w:type="dxa" w:w="5616"/>
            <w:shd w:val="clear" w:fill="D9E2F3"/>
          </w:tcPr>
          <w:p>
            <w:r/>
            <w:r>
              <w:rPr>
                <w:b/>
                <w:sz w:val="18"/>
              </w:rPr>
              <w:t>Description (excerpt)</w:t>
            </w:r>
          </w:p>
        </w:tc>
        <w:tc>
          <w:tcPr>
            <w:tcW w:type="dxa" w:w="1728"/>
            <w:shd w:val="clear" w:fill="D9E2F3"/>
          </w:tcPr>
          <w:p>
            <w:r/>
            <w:r>
              <w:rPr>
                <w:b/>
                <w:sz w:val="18"/>
              </w:rPr>
              <w:t>Reduction</w:t>
            </w:r>
          </w:p>
        </w:tc>
      </w:tr>
      <w:tr>
        <w:tc>
          <w:tcPr>
            <w:tcW w:type="dxa" w:w="720"/>
          </w:tcPr>
          <w:p>
            <w:r/>
            <w:r>
              <w:rPr>
                <w:sz w:val="18"/>
              </w:rPr>
              <w:t>42</w:t>
            </w:r>
          </w:p>
        </w:tc>
        <w:tc>
          <w:tcPr>
            <w:tcW w:type="dxa" w:w="1584"/>
          </w:tcPr>
          <w:p>
            <w:r/>
            <w:r>
              <w:rPr>
                <w:sz w:val="18"/>
              </w:rPr>
              <w:t>Wendt (2.5 h)</w:t>
            </w:r>
          </w:p>
        </w:tc>
        <w:tc>
          <w:tcPr>
            <w:tcW w:type="dxa" w:w="5616"/>
          </w:tcPr>
          <w:p>
            <w:r/>
            <w:r>
              <w:rPr>
                <w:sz w:val="18"/>
              </w:rPr>
              <w:t>"Research background on Washington environmental regulatory framework; familiarize with MTCA amendments"</w:t>
            </w:r>
          </w:p>
        </w:tc>
        <w:tc>
          <w:tcPr>
            <w:tcW w:type="dxa" w:w="1728"/>
          </w:tcPr>
          <w:p>
            <w:r/>
            <w:r>
              <w:rPr>
                <w:sz w:val="18"/>
              </w:rPr>
              <w:t>($1,062.50)</w:t>
            </w:r>
          </w:p>
        </w:tc>
      </w:tr>
      <w:tr>
        <w:tc>
          <w:tcPr>
            <w:tcW w:type="dxa" w:w="720"/>
          </w:tcPr>
          <w:p>
            <w:r/>
            <w:r>
              <w:rPr>
                <w:sz w:val="18"/>
              </w:rPr>
              <w:t>60</w:t>
            </w:r>
          </w:p>
        </w:tc>
        <w:tc>
          <w:tcPr>
            <w:tcW w:type="dxa" w:w="1584"/>
          </w:tcPr>
          <w:p>
            <w:r/>
            <w:r>
              <w:rPr>
                <w:sz w:val="18"/>
              </w:rPr>
              <w:t>Osei (5.0 h)</w:t>
            </w:r>
          </w:p>
        </w:tc>
        <w:tc>
          <w:tcPr>
            <w:tcW w:type="dxa" w:w="5616"/>
          </w:tcPr>
          <w:p>
            <w:r/>
            <w:r>
              <w:rPr>
                <w:sz w:val="18"/>
              </w:rPr>
              <w:t>"Background research on environmental remediation industry standards… to understand technical aspects of case"</w:t>
            </w:r>
          </w:p>
        </w:tc>
        <w:tc>
          <w:tcPr>
            <w:tcW w:type="dxa" w:w="1728"/>
          </w:tcPr>
          <w:p>
            <w:r/>
            <w:r>
              <w:rPr>
                <w:sz w:val="18"/>
              </w:rPr>
              <w:t>($1,475.00)</w:t>
            </w:r>
          </w:p>
        </w:tc>
      </w:tr>
      <w:tr>
        <w:tc>
          <w:tcPr>
            <w:tcW w:type="dxa" w:w="720"/>
          </w:tcPr>
          <w:p>
            <w:r/>
            <w:r>
              <w:rPr>
                <w:sz w:val="18"/>
              </w:rPr>
              <w:t>78</w:t>
            </w:r>
          </w:p>
        </w:tc>
        <w:tc>
          <w:tcPr>
            <w:tcW w:type="dxa" w:w="1584"/>
          </w:tcPr>
          <w:p>
            <w:r/>
            <w:r>
              <w:rPr>
                <w:sz w:val="18"/>
              </w:rPr>
              <w:t>Wendt (3.8 h)</w:t>
            </w:r>
          </w:p>
        </w:tc>
        <w:tc>
          <w:tcPr>
            <w:tcW w:type="dxa" w:w="5616"/>
          </w:tcPr>
          <w:p>
            <w:r/>
            <w:r>
              <w:rPr>
                <w:sz w:val="18"/>
              </w:rPr>
              <w:t>"Review file materials and research background… get up to speed on technical remediation issues"</w:t>
            </w:r>
          </w:p>
        </w:tc>
        <w:tc>
          <w:tcPr>
            <w:tcW w:type="dxa" w:w="1728"/>
          </w:tcPr>
          <w:p>
            <w:r/>
            <w:r>
              <w:rPr>
                <w:sz w:val="18"/>
              </w:rPr>
              <w:t>($1,615.00)</w:t>
            </w:r>
          </w:p>
        </w:tc>
      </w:tr>
      <w:tr>
        <w:tc>
          <w:tcPr>
            <w:tcW w:type="dxa" w:w="720"/>
          </w:tcPr>
          <w:p>
            <w:r/>
            <w:r>
              <w:rPr>
                <w:b/>
                <w:sz w:val="18"/>
              </w:rPr>
            </w:r>
          </w:p>
        </w:tc>
        <w:tc>
          <w:tcPr>
            <w:tcW w:type="dxa" w:w="1584"/>
          </w:tcPr>
          <w:p>
            <w:r/>
            <w:r>
              <w:rPr>
                <w:b/>
                <w:sz w:val="18"/>
              </w:rPr>
            </w:r>
          </w:p>
        </w:tc>
        <w:tc>
          <w:tcPr>
            <w:tcW w:type="dxa" w:w="5616"/>
          </w:tcPr>
          <w:p>
            <w:r/>
            <w:r>
              <w:rPr>
                <w:b/>
                <w:sz w:val="18"/>
              </w:rPr>
              <w:t>Subtotal</w:t>
            </w:r>
          </w:p>
        </w:tc>
        <w:tc>
          <w:tcPr>
            <w:tcW w:type="dxa" w:w="1728"/>
          </w:tcPr>
          <w:p>
            <w:r/>
            <w:r>
              <w:rPr>
                <w:b/>
                <w:sz w:val="18"/>
              </w:rPr>
              <w:t>($4,152.50)</w:t>
            </w:r>
          </w:p>
        </w:tc>
      </w:tr>
    </w:tbl>
    <w:p/>
    <w:p>
      <w:r>
        <w:t>Wendt has been on the matter since January, so there is no onboarding justification. Under §6.4, this kind of research is "not billable under any circumstances." The June invoice's $2,105 discount for "junior associate orientation" suggests that onboarding time is being billed routinely and then partially credited. The firm should be told to stop recording it.</w:t>
      </w:r>
    </w:p>
    <w:p>
      <w:pPr>
        <w:pStyle w:val="Heading2"/>
      </w:pPr>
      <w:r>
        <w:t>3.4 Senior Associate routine research (§§4.1, 6.3)</w:t>
      </w:r>
    </w:p>
    <w:p>
      <w:r>
        <w:t>Ortega L19 (FRCP 30(b)(6) procedures, 3.5 h) and L64 (deponent-preparation ethics under the WA RPC, 2.0 h) are routine procedural questions that a junior associate could handle. Recommend reducing both to the 2nd-year associate rate of $340/hour: ($717.50) and ($410.00), for a total of ($1,127.50).</w:t>
      </w:r>
    </w:p>
    <w:p>
      <w:pPr>
        <w:pStyle w:val="Heading2"/>
      </w:pPr>
      <w:r>
        <w:t>3.5 Block-billed and non-specific entries (§6.5)</w:t>
      </w:r>
    </w:p>
    <w:p>
      <w:pPr>
        <w:pStyle w:val="ListBullet"/>
      </w:pPr>
      <w:r>
        <w:rPr>
          <w:b/>
        </w:rPr>
        <w:t>Osei L10, L20, L47; Takahashi L37; Wendt L33.</w:t>
      </w:r>
      <w:r>
        <w:t xml:space="preserve"> These entries combine research with memo or brief preparation and do not allocate time. As §6.5(ii) requires, they are counted in full as research. They are otherwise allowed.</w:t>
      </w:r>
    </w:p>
    <w:p>
      <w:pPr>
        <w:pStyle w:val="ListBullet"/>
      </w:pPr>
      <w:r>
        <w:rPr>
          <w:b/>
        </w:rPr>
        <w:t>Osei L121 ("Assist with drafting meet-and-confer letter; research local rules").</w:t>
      </w:r>
      <w:r>
        <w:t xml:space="preserve"> This entry is coded DRF but combines drafting with research on local rules and does not allocate time. It has been reclassified as research ($885.00) for cap purposes.</w:t>
      </w:r>
    </w:p>
    <w:p>
      <w:pPr>
        <w:pStyle w:val="ListBullet"/>
      </w:pPr>
      <w:r>
        <w:rPr>
          <w:b/>
        </w:rPr>
        <w:t>Purpose statements.</w:t>
      </w:r>
      <w:r>
        <w:t xml:space="preserve"> Descriptions generally identify an issue but often leave out the purpose, e.g., L91 (insurance coverage / additional insured obligations, which has no clear connection to the pleaded claims) and L82 (comparative fault). Recommend asking the firm to state the purpose of L91. If it cannot, disallow the entry ($1,032.50). That amount is not included in the totals above.</w:t>
      </w:r>
    </w:p>
    <w:p>
      <w:pPr>
        <w:pStyle w:val="Heading2"/>
      </w:pPr>
      <w:r>
        <w:t>3.6 Inter-matter duplication with the DOE Matter (§6.6)</w:t>
      </w:r>
    </w:p>
    <w:p>
      <w:r>
        <w:t>On its July DOE-matter invoice (HL-TV-2024-REG-0731), the firm billed Takahashi MTCA research that nearly repeats, word for word, the research billed on this invoice on the same days:</w:t>
      </w:r>
    </w:p>
    <w:tbl>
      <w:tblPr>
        <w:tblStyle w:val="TableGrid"/>
        <w:tblW w:type="auto" w:w="0"/>
        <w:tblLook w:firstColumn="1" w:firstRow="1" w:lastColumn="0" w:lastRow="0" w:noHBand="0" w:noVBand="1" w:val="04A0"/>
      </w:tblPr>
      <w:tblGrid>
        <w:gridCol w:w="3216"/>
        <w:gridCol w:w="3216"/>
        <w:gridCol w:w="3216"/>
      </w:tblGrid>
      <w:tr>
        <w:tc>
          <w:tcPr>
            <w:tcW w:type="dxa" w:w="1008"/>
            <w:shd w:val="clear" w:fill="D9E2F3"/>
          </w:tcPr>
          <w:p>
            <w:r/>
            <w:r>
              <w:rPr>
                <w:b/>
                <w:sz w:val="18"/>
              </w:rPr>
              <w:t>Date</w:t>
            </w:r>
          </w:p>
        </w:tc>
        <w:tc>
          <w:tcPr>
            <w:tcW w:type="dxa" w:w="4320"/>
            <w:shd w:val="clear" w:fill="D9E2F3"/>
          </w:tcPr>
          <w:p>
            <w:r/>
            <w:r>
              <w:rPr>
                <w:b/>
                <w:sz w:val="18"/>
              </w:rPr>
              <w:t>Cascade invoice</w:t>
            </w:r>
          </w:p>
        </w:tc>
        <w:tc>
          <w:tcPr>
            <w:tcW w:type="dxa" w:w="4320"/>
            <w:shd w:val="clear" w:fill="D9E2F3"/>
          </w:tcPr>
          <w:p>
            <w:r/>
            <w:r>
              <w:rPr>
                <w:b/>
                <w:sz w:val="18"/>
              </w:rPr>
              <w:t>DOE invoice</w:t>
            </w:r>
          </w:p>
        </w:tc>
      </w:tr>
      <w:tr>
        <w:tc>
          <w:tcPr>
            <w:tcW w:type="dxa" w:w="1008"/>
          </w:tcPr>
          <w:p>
            <w:r/>
            <w:r>
              <w:rPr>
                <w:sz w:val="18"/>
              </w:rPr>
              <w:t>7/1</w:t>
            </w:r>
          </w:p>
        </w:tc>
        <w:tc>
          <w:tcPr>
            <w:tcW w:type="dxa" w:w="4320"/>
          </w:tcPr>
          <w:p>
            <w:r/>
            <w:r>
              <w:rPr>
                <w:sz w:val="18"/>
              </w:rPr>
              <w:t>L1 — 4.5 h, $1,530: "Research Washington MTCA liability standards for property owners vs. contractors; analyze applicability of Section 70.105D.040 to remediation contractors"</w:t>
            </w:r>
          </w:p>
        </w:tc>
        <w:tc>
          <w:tcPr>
            <w:tcW w:type="dxa" w:w="4320"/>
          </w:tcPr>
          <w:p>
            <w:r/>
            <w:r>
              <w:rPr>
                <w:sz w:val="18"/>
              </w:rPr>
              <w:t>3.0 h, $1,020: "Research MTCA liability framework for remediation contractors; analyze scope of strict liability under RCW 70.105D.040…"</w:t>
            </w:r>
          </w:p>
        </w:tc>
      </w:tr>
      <w:tr>
        <w:tc>
          <w:tcPr>
            <w:tcW w:type="dxa" w:w="1008"/>
          </w:tcPr>
          <w:p>
            <w:r/>
            <w:r>
              <w:rPr>
                <w:sz w:val="18"/>
              </w:rPr>
              <w:t>7/2</w:t>
            </w:r>
          </w:p>
        </w:tc>
        <w:tc>
          <w:tcPr>
            <w:tcW w:type="dxa" w:w="4320"/>
          </w:tcPr>
          <w:p>
            <w:r/>
            <w:r>
              <w:rPr>
                <w:sz w:val="18"/>
              </w:rPr>
              <w:t>L6 — 5.0 h, $1,700: "Continue MTCA contractor liability research; Westlaw research on federal CERCLA analogs…"</w:t>
            </w:r>
          </w:p>
        </w:tc>
        <w:tc>
          <w:tcPr>
            <w:tcW w:type="dxa" w:w="4320"/>
          </w:tcPr>
          <w:p>
            <w:r/>
            <w:r>
              <w:rPr>
                <w:sz w:val="18"/>
              </w:rPr>
              <w:t>2.5 h, $850: "Research MTCA strict liability standards as applied to… remediation contractors"</w:t>
            </w:r>
          </w:p>
        </w:tc>
      </w:tr>
      <w:tr>
        <w:tc>
          <w:tcPr>
            <w:tcW w:type="dxa" w:w="1008"/>
          </w:tcPr>
          <w:p>
            <w:r/>
            <w:r>
              <w:rPr>
                <w:sz w:val="18"/>
              </w:rPr>
              <w:t>7/8, 7/15</w:t>
            </w:r>
          </w:p>
        </w:tc>
        <w:tc>
          <w:tcPr>
            <w:tcW w:type="dxa" w:w="4320"/>
          </w:tcPr>
          <w:p>
            <w:r/>
            <w:r>
              <w:rPr>
                <w:sz w:val="18"/>
              </w:rPr>
              <w:t>—</w:t>
            </w:r>
          </w:p>
        </w:tc>
        <w:tc>
          <w:tcPr>
            <w:tcW w:type="dxa" w:w="4320"/>
          </w:tcPr>
          <w:p>
            <w:r/>
            <w:r>
              <w:rPr>
                <w:sz w:val="18"/>
              </w:rPr>
              <w:t>2.0 h, $680 (CERCLA analogs; overlaps L6) and 2.5 h, $850 ("Continue research on MTCA liability framework for remediation contractors")</w:t>
            </w:r>
          </w:p>
        </w:tc>
      </w:tr>
    </w:tbl>
    <w:p/>
    <w:p>
      <w:r>
        <w:t>Neither invoice includes the cross-reference notation §6.6 requires, and no written approval for separate research was obtained. The Cascade reply brief was the work driving the research, so Cascade is the primary matter. I therefore allowed Takahashi L1 and L6 on this invoice and recommend disallowing the four overlapping DOE entries ($3,400.00) on the DOE invoice. Separately, DOE-matter research is 12.05% of that matter's fees, which is over the §6.2 cap before this adjustment. Scope note: the engagement letter (§2) excludes DOE regulatory work from the Cascade engagement. The firm should confirm that a separate DOE engagement letter has been signed.</w:t>
      </w:r>
    </w:p>
    <w:p>
      <w:pPr>
        <w:pStyle w:val="Heading2"/>
      </w:pPr>
      <w:r>
        <w:t>3.7 Research cap recalculation (§6.2)</w:t>
      </w:r>
    </w:p>
    <w:tbl>
      <w:tblPr>
        <w:tblStyle w:val="TableGrid"/>
        <w:tblW w:type="auto" w:w="0"/>
        <w:tblLook w:firstColumn="1" w:firstRow="1" w:lastColumn="0" w:lastRow="0" w:noHBand="0" w:noVBand="1" w:val="04A0"/>
      </w:tblPr>
      <w:tblGrid>
        <w:gridCol w:w="4824"/>
        <w:gridCol w:w="4824"/>
      </w:tblGrid>
      <w:tr>
        <w:tc>
          <w:tcPr>
            <w:tcW w:type="dxa" w:w="6912"/>
            <w:shd w:val="clear" w:fill="D9E2F3"/>
          </w:tcPr>
          <w:p>
            <w:r/>
            <w:r>
              <w:rPr>
                <w:b/>
                <w:sz w:val="18"/>
              </w:rPr>
              <w:t>Measure</w:t>
            </w:r>
          </w:p>
        </w:tc>
        <w:tc>
          <w:tcPr>
            <w:tcW w:type="dxa" w:w="2736"/>
            <w:shd w:val="clear" w:fill="D9E2F3"/>
          </w:tcPr>
          <w:p>
            <w:r/>
            <w:r>
              <w:rPr>
                <w:b/>
                <w:sz w:val="18"/>
              </w:rPr>
              <w:t>Amount</w:t>
            </w:r>
          </w:p>
        </w:tc>
      </w:tr>
      <w:tr>
        <w:tc>
          <w:tcPr>
            <w:tcW w:type="dxa" w:w="6912"/>
          </w:tcPr>
          <w:p>
            <w:r/>
            <w:r>
              <w:rPr>
                <w:sz w:val="18"/>
              </w:rPr>
              <w:t>Itemized professional fees (Fee Detail)</w:t>
            </w:r>
          </w:p>
        </w:tc>
        <w:tc>
          <w:tcPr>
            <w:tcW w:type="dxa" w:w="2736"/>
          </w:tcPr>
          <w:p>
            <w:r/>
            <w:r>
              <w:rPr>
                <w:sz w:val="18"/>
              </w:rPr>
              <w:t>$243,080.50</w:t>
            </w:r>
          </w:p>
        </w:tc>
      </w:tr>
      <w:tr>
        <w:tc>
          <w:tcPr>
            <w:tcW w:type="dxa" w:w="6912"/>
          </w:tcPr>
          <w:p>
            <w:r/>
            <w:r>
              <w:rPr>
                <w:sz w:val="18"/>
              </w:rPr>
              <w:t>RES-coded charges (137.6 h) + reclassified L121</w:t>
            </w:r>
          </w:p>
        </w:tc>
        <w:tc>
          <w:tcPr>
            <w:tcW w:type="dxa" w:w="2736"/>
          </w:tcPr>
          <w:p>
            <w:r/>
            <w:r>
              <w:rPr>
                <w:sz w:val="18"/>
              </w:rPr>
              <w:t>$54,989.50</w:t>
            </w:r>
          </w:p>
        </w:tc>
      </w:tr>
      <w:tr>
        <w:tc>
          <w:tcPr>
            <w:tcW w:type="dxa" w:w="6912"/>
          </w:tcPr>
          <w:p>
            <w:r/>
            <w:r>
              <w:rPr>
                <w:sz w:val="18"/>
              </w:rPr>
              <w:t>Less research adjustments (3.1–3.4)</w:t>
            </w:r>
          </w:p>
        </w:tc>
        <w:tc>
          <w:tcPr>
            <w:tcW w:type="dxa" w:w="2736"/>
          </w:tcPr>
          <w:p>
            <w:r/>
            <w:r>
              <w:rPr>
                <w:sz w:val="18"/>
              </w:rPr>
              <w:t>($26,223.50)</w:t>
            </w:r>
          </w:p>
        </w:tc>
      </w:tr>
      <w:tr>
        <w:tc>
          <w:tcPr>
            <w:tcW w:type="dxa" w:w="6912"/>
          </w:tcPr>
          <w:p>
            <w:r/>
            <w:r>
              <w:rPr>
                <w:sz w:val="18"/>
              </w:rPr>
              <w:t>Adjusted research charges</w:t>
            </w:r>
          </w:p>
        </w:tc>
        <w:tc>
          <w:tcPr>
            <w:tcW w:type="dxa" w:w="2736"/>
          </w:tcPr>
          <w:p>
            <w:r/>
            <w:r>
              <w:rPr>
                <w:sz w:val="18"/>
              </w:rPr>
              <w:t>$28,766.00</w:t>
            </w:r>
          </w:p>
        </w:tc>
      </w:tr>
      <w:tr>
        <w:tc>
          <w:tcPr>
            <w:tcW w:type="dxa" w:w="6912"/>
          </w:tcPr>
          <w:p>
            <w:r/>
            <w:r>
              <w:rPr>
                <w:sz w:val="18"/>
              </w:rPr>
              <w:t>Less firm's voluntary 15% research discount, applied to the adjusted base</w:t>
            </w:r>
          </w:p>
        </w:tc>
        <w:tc>
          <w:tcPr>
            <w:tcW w:type="dxa" w:w="2736"/>
          </w:tcPr>
          <w:p>
            <w:r/>
            <w:r>
              <w:rPr>
                <w:sz w:val="18"/>
              </w:rPr>
              <w:t>($4,314.90)</w:t>
            </w:r>
          </w:p>
        </w:tc>
      </w:tr>
      <w:tr>
        <w:tc>
          <w:tcPr>
            <w:tcW w:type="dxa" w:w="6912"/>
          </w:tcPr>
          <w:p>
            <w:r/>
            <w:r>
              <w:rPr>
                <w:sz w:val="18"/>
              </w:rPr>
              <w:t>Net research charges</w:t>
            </w:r>
          </w:p>
        </w:tc>
        <w:tc>
          <w:tcPr>
            <w:tcW w:type="dxa" w:w="2736"/>
          </w:tcPr>
          <w:p>
            <w:r/>
            <w:r>
              <w:rPr>
                <w:sz w:val="18"/>
              </w:rPr>
              <w:t>$24,451.10</w:t>
            </w:r>
          </w:p>
        </w:tc>
      </w:tr>
      <w:tr>
        <w:tc>
          <w:tcPr>
            <w:tcW w:type="dxa" w:w="6912"/>
          </w:tcPr>
          <w:p>
            <w:r/>
            <w:r>
              <w:rPr>
                <w:sz w:val="18"/>
              </w:rPr>
              <w:t>Adjusted net professional fees (after all fee adjustments and discount)</w:t>
            </w:r>
          </w:p>
        </w:tc>
        <w:tc>
          <w:tcPr>
            <w:tcW w:type="dxa" w:w="2736"/>
          </w:tcPr>
          <w:p>
            <w:r/>
            <w:r>
              <w:rPr>
                <w:sz w:val="18"/>
              </w:rPr>
              <w:t>$206,232.10</w:t>
            </w:r>
          </w:p>
        </w:tc>
      </w:tr>
      <w:tr>
        <w:tc>
          <w:tcPr>
            <w:tcW w:type="dxa" w:w="6912"/>
          </w:tcPr>
          <w:p>
            <w:r/>
            <w:r>
              <w:rPr>
                <w:sz w:val="18"/>
              </w:rPr>
              <w:t>12% cap</w:t>
            </w:r>
          </w:p>
        </w:tc>
        <w:tc>
          <w:tcPr>
            <w:tcW w:type="dxa" w:w="2736"/>
          </w:tcPr>
          <w:p>
            <w:r/>
            <w:r>
              <w:rPr>
                <w:sz w:val="18"/>
              </w:rPr>
              <w:t>$24,747.85</w:t>
            </w:r>
          </w:p>
        </w:tc>
      </w:tr>
      <w:tr>
        <w:tc>
          <w:tcPr>
            <w:tcW w:type="dxa" w:w="6912"/>
          </w:tcPr>
          <w:p>
            <w:r/>
            <w:r>
              <w:rPr>
                <w:sz w:val="18"/>
              </w:rPr>
              <w:t>Research as % of fees</w:t>
            </w:r>
          </w:p>
        </w:tc>
        <w:tc>
          <w:tcPr>
            <w:tcW w:type="dxa" w:w="2736"/>
          </w:tcPr>
          <w:p>
            <w:r/>
            <w:r>
              <w:rPr>
                <w:sz w:val="18"/>
              </w:rPr>
              <w:t>11.86% — within cap</w:t>
            </w:r>
          </w:p>
        </w:tc>
      </w:tr>
    </w:tbl>
    <w:p/>
    <w:p>
      <w:r>
        <w:t>Once the entry-level adjustments and the firm's own 15% discount are applied, research is within the cap, so no further pro rata reduction is needed. If the firm withdraws its discount, TerraVerde should reduce research pro rata to the cap under §6.2, which would bring net research to about $24,788. If the firm later produces detail supporting the $106,472 of unitemized fees, the cap must be recalculated using any additional research entries it contains.</w:t>
      </w:r>
    </w:p>
    <w:p>
      <w:pPr>
        <w:pStyle w:val="Heading1"/>
      </w:pPr>
      <w:r>
        <w:t>4. Research-Related Disbursement: Westlaw (§9.3)</w:t>
      </w:r>
    </w:p>
    <w:p>
      <w:r>
        <w:t>D-1 bills "Westlaw research charges — July 2024" at $4,850.00. Section 9.3 and Engagement Letter §5 prohibit this charge outright. Disallow in full. The June invoice also included $3,675.00 in Westlaw charges. Recommend asking for a credit against the next invoice. Line 6 also refers to "Westlaw research"; that database use is covered by the hourly rate.</w:t>
      </w:r>
    </w:p>
    <w:p>
      <w:pPr>
        <w:pStyle w:val="Heading1"/>
      </w:pPr>
      <w:r>
        <w:t>5. Other Non-Compliant or Excessive Charges</w:t>
      </w:r>
    </w:p>
    <w:tbl>
      <w:tblPr>
        <w:tblStyle w:val="TableGrid"/>
        <w:tblW w:type="auto" w:w="0"/>
        <w:tblLook w:firstColumn="1" w:firstRow="1" w:lastColumn="0" w:lastRow="0" w:noHBand="0" w:noVBand="1" w:val="04A0"/>
      </w:tblPr>
      <w:tblGrid>
        <w:gridCol w:w="2412"/>
        <w:gridCol w:w="2412"/>
        <w:gridCol w:w="2412"/>
        <w:gridCol w:w="2412"/>
      </w:tblGrid>
      <w:tr>
        <w:tc>
          <w:tcPr>
            <w:tcW w:type="dxa" w:w="1008"/>
            <w:shd w:val="clear" w:fill="D9E2F3"/>
          </w:tcPr>
          <w:p>
            <w:r/>
            <w:r>
              <w:rPr>
                <w:b/>
                <w:sz w:val="18"/>
              </w:rPr>
              <w:t>Line(s)</w:t>
            </w:r>
          </w:p>
        </w:tc>
        <w:tc>
          <w:tcPr>
            <w:tcW w:type="dxa" w:w="4608"/>
            <w:shd w:val="clear" w:fill="D9E2F3"/>
          </w:tcPr>
          <w:p>
            <w:r/>
            <w:r>
              <w:rPr>
                <w:b/>
                <w:sz w:val="18"/>
              </w:rPr>
              <w:t>Issue</w:t>
            </w:r>
          </w:p>
        </w:tc>
        <w:tc>
          <w:tcPr>
            <w:tcW w:type="dxa" w:w="1728"/>
            <w:shd w:val="clear" w:fill="D9E2F3"/>
          </w:tcPr>
          <w:p>
            <w:r/>
            <w:r>
              <w:rPr>
                <w:b/>
                <w:sz w:val="18"/>
              </w:rPr>
              <w:t>Provision</w:t>
            </w:r>
          </w:p>
        </w:tc>
        <w:tc>
          <w:tcPr>
            <w:tcW w:type="dxa" w:w="2304"/>
            <w:shd w:val="clear" w:fill="D9E2F3"/>
          </w:tcPr>
          <w:p>
            <w:r/>
            <w:r>
              <w:rPr>
                <w:b/>
                <w:sz w:val="18"/>
              </w:rPr>
              <w:t>Adjustment</w:t>
            </w:r>
          </w:p>
        </w:tc>
      </w:tr>
      <w:tr>
        <w:tc>
          <w:tcPr>
            <w:tcW w:type="dxa" w:w="1008"/>
          </w:tcPr>
          <w:p>
            <w:r/>
            <w:r>
              <w:rPr>
                <w:sz w:val="18"/>
              </w:rPr>
              <w:t>158, 159</w:t>
            </w:r>
          </w:p>
        </w:tc>
        <w:tc>
          <w:tcPr>
            <w:tcW w:type="dxa" w:w="4608"/>
          </w:tcPr>
          <w:p>
            <w:r/>
            <w:r>
              <w:rPr>
                <w:sz w:val="18"/>
              </w:rPr>
              <w:t>Ortega and Briggs travel to Spokane billed at 100% ($2,180; $2,900)</w:t>
            </w:r>
          </w:p>
        </w:tc>
        <w:tc>
          <w:tcPr>
            <w:tcW w:type="dxa" w:w="1728"/>
          </w:tcPr>
          <w:p>
            <w:r/>
            <w:r>
              <w:rPr>
                <w:sz w:val="18"/>
              </w:rPr>
              <w:t>Guidelines §7.1; EL §5</w:t>
            </w:r>
          </w:p>
        </w:tc>
        <w:tc>
          <w:tcPr>
            <w:tcW w:type="dxa" w:w="2304"/>
          </w:tcPr>
          <w:p>
            <w:r/>
            <w:r>
              <w:rPr>
                <w:sz w:val="18"/>
              </w:rPr>
              <w:t>Reduce to 50%: ($1,090.00), ($1,450.00)</w:t>
            </w:r>
          </w:p>
        </w:tc>
      </w:tr>
      <w:tr>
        <w:tc>
          <w:tcPr>
            <w:tcW w:type="dxa" w:w="1008"/>
          </w:tcPr>
          <w:p>
            <w:r/>
            <w:r>
              <w:rPr>
                <w:sz w:val="18"/>
              </w:rPr>
              <w:t>160</w:t>
            </w:r>
          </w:p>
        </w:tc>
        <w:tc>
          <w:tcPr>
            <w:tcW w:type="dxa" w:w="4608"/>
          </w:tcPr>
          <w:p>
            <w:r/>
            <w:r>
              <w:rPr>
                <w:sz w:val="18"/>
              </w:rPr>
              <w:t>Briggs return travel block-billed with memo preparation at 100%, no allocation</w:t>
            </w:r>
          </w:p>
        </w:tc>
        <w:tc>
          <w:tcPr>
            <w:tcW w:type="dxa" w:w="1728"/>
          </w:tcPr>
          <w:p>
            <w:r/>
            <w:r>
              <w:rPr>
                <w:sz w:val="18"/>
              </w:rPr>
              <w:t>§§7.1, 5.3</w:t>
            </w:r>
          </w:p>
        </w:tc>
        <w:tc>
          <w:tcPr>
            <w:tcW w:type="dxa" w:w="2304"/>
          </w:tcPr>
          <w:p>
            <w:r/>
            <w:r>
              <w:rPr>
                <w:sz w:val="18"/>
              </w:rPr>
              <w:t>Treat as travel at 50%: ($725.00)</w:t>
            </w:r>
          </w:p>
        </w:tc>
      </w:tr>
      <w:tr>
        <w:tc>
          <w:tcPr>
            <w:tcW w:type="dxa" w:w="1008"/>
          </w:tcPr>
          <w:p>
            <w:r/>
            <w:r>
              <w:rPr>
                <w:sz w:val="18"/>
              </w:rPr>
              <w:t>142</w:t>
            </w:r>
          </w:p>
        </w:tc>
        <w:tc>
          <w:tcPr>
            <w:tcW w:type="dxa" w:w="4608"/>
          </w:tcPr>
          <w:p>
            <w:r/>
            <w:r>
              <w:rPr>
                <w:sz w:val="18"/>
              </w:rPr>
              <w:t>Osei attended the CEO deposition remotely as a third attorney (with Ortega and Briggs) without approval</w:t>
            </w:r>
          </w:p>
        </w:tc>
        <w:tc>
          <w:tcPr>
            <w:tcW w:type="dxa" w:w="1728"/>
          </w:tcPr>
          <w:p>
            <w:r/>
            <w:r>
              <w:rPr>
                <w:sz w:val="18"/>
              </w:rPr>
              <w:t>§§4.1, 8</w:t>
            </w:r>
          </w:p>
        </w:tc>
        <w:tc>
          <w:tcPr>
            <w:tcW w:type="dxa" w:w="2304"/>
          </w:tcPr>
          <w:p>
            <w:r/>
            <w:r>
              <w:rPr>
                <w:sz w:val="18"/>
              </w:rPr>
              <w:t>Disallow ($885.00)</w:t>
            </w:r>
          </w:p>
        </w:tc>
      </w:tr>
      <w:tr>
        <w:tc>
          <w:tcPr>
            <w:tcW w:type="dxa" w:w="1008"/>
          </w:tcPr>
          <w:p>
            <w:r/>
            <w:r>
              <w:rPr>
                <w:sz w:val="18"/>
              </w:rPr>
              <w:t>155</w:t>
            </w:r>
          </w:p>
        </w:tc>
        <w:tc>
          <w:tcPr>
            <w:tcW w:type="dxa" w:w="4608"/>
          </w:tcPr>
          <w:p>
            <w:r/>
            <w:r>
              <w:rPr>
                <w:sz w:val="18"/>
              </w:rPr>
              <w:t>Briggs: "prepare internal matter management update for firm management committee." This is firm-internal administration, block-billed with review of the status report (which Hargrove also reviewed, L99)</w:t>
            </w:r>
          </w:p>
        </w:tc>
        <w:tc>
          <w:tcPr>
            <w:tcW w:type="dxa" w:w="1728"/>
          </w:tcPr>
          <w:p>
            <w:r/>
            <w:r>
              <w:rPr>
                <w:sz w:val="18"/>
              </w:rPr>
              <w:t>§§9.1, 5.3</w:t>
            </w:r>
          </w:p>
        </w:tc>
        <w:tc>
          <w:tcPr>
            <w:tcW w:type="dxa" w:w="2304"/>
          </w:tcPr>
          <w:p>
            <w:r/>
            <w:r>
              <w:rPr>
                <w:sz w:val="18"/>
              </w:rPr>
              <w:t>Reduce 50%: ($725.00)</w:t>
            </w:r>
          </w:p>
        </w:tc>
      </w:tr>
      <w:tr>
        <w:tc>
          <w:tcPr>
            <w:tcW w:type="dxa" w:w="1008"/>
          </w:tcPr>
          <w:p>
            <w:r/>
            <w:r>
              <w:rPr>
                <w:sz w:val="18"/>
              </w:rPr>
              <w:t>31, 79</w:t>
            </w:r>
          </w:p>
        </w:tc>
        <w:tc>
          <w:tcPr>
            <w:tcW w:type="dxa" w:w="4608"/>
          </w:tcPr>
          <w:p>
            <w:r/>
            <w:r>
              <w:rPr>
                <w:sz w:val="18"/>
              </w:rPr>
              <w:t>Senior Associate prepared deposition summaries (3.0 h; 4.0 h)</w:t>
            </w:r>
          </w:p>
        </w:tc>
        <w:tc>
          <w:tcPr>
            <w:tcW w:type="dxa" w:w="1728"/>
          </w:tcPr>
          <w:p>
            <w:r/>
            <w:r>
              <w:rPr>
                <w:sz w:val="18"/>
              </w:rPr>
              <w:t>§8</w:t>
            </w:r>
          </w:p>
        </w:tc>
        <w:tc>
          <w:tcPr>
            <w:tcW w:type="dxa" w:w="2304"/>
          </w:tcPr>
          <w:p>
            <w:r/>
            <w:r>
              <w:rPr>
                <w:sz w:val="18"/>
              </w:rPr>
              <w:t>Reduce to $340/hr: ($615.00), ($820.00)</w:t>
            </w:r>
          </w:p>
        </w:tc>
      </w:tr>
      <w:tr>
        <w:tc>
          <w:tcPr>
            <w:tcW w:type="dxa" w:w="1008"/>
          </w:tcPr>
          <w:p>
            <w:r/>
            <w:r>
              <w:rPr>
                <w:b/>
                <w:sz w:val="18"/>
              </w:rPr>
            </w:r>
          </w:p>
        </w:tc>
        <w:tc>
          <w:tcPr>
            <w:tcW w:type="dxa" w:w="4608"/>
          </w:tcPr>
          <w:p>
            <w:r/>
            <w:r>
              <w:rPr>
                <w:b/>
                <w:sz w:val="18"/>
              </w:rPr>
              <w:t>Subtotal</w:t>
            </w:r>
          </w:p>
        </w:tc>
        <w:tc>
          <w:tcPr>
            <w:tcW w:type="dxa" w:w="1728"/>
          </w:tcPr>
          <w:p>
            <w:r/>
            <w:r>
              <w:rPr>
                <w:b/>
                <w:sz w:val="18"/>
              </w:rPr>
            </w:r>
          </w:p>
        </w:tc>
        <w:tc>
          <w:tcPr>
            <w:tcW w:type="dxa" w:w="2304"/>
          </w:tcPr>
          <w:p>
            <w:r/>
            <w:r>
              <w:rPr>
                <w:b/>
                <w:sz w:val="18"/>
              </w:rPr>
              <w:t>($6,310.00)</w:t>
            </w:r>
          </w:p>
        </w:tc>
      </w:tr>
    </w:tbl>
    <w:p/>
    <w:p>
      <w:r>
        <w:t>Items to flag but not adjust at this time: L27 and L76 (Briggs as second chair at depositions Ortega was defending, 13.5 hours at the partner rate). Two attorneys is within the limit, but ask the firm to justify why a second chair was needed. L100 (paralegal, 4.5 h, to "prepare and distribute" a status report prepared by Ortega). Inconsistent deponent names: "Robert Chen" (L3) versus Robert Dietrich (June invoice).</w:t>
      </w:r>
    </w:p>
    <w:p>
      <w:pPr>
        <w:pStyle w:val="Heading2"/>
      </w:pPr>
      <w:r>
        <w:t>5.1 Disbursements requiring support or approval</w:t>
      </w:r>
    </w:p>
    <w:tbl>
      <w:tblPr>
        <w:tblStyle w:val="TableGrid"/>
        <w:tblW w:type="auto" w:w="0"/>
        <w:tblLook w:firstColumn="1" w:firstRow="1" w:lastColumn="0" w:lastRow="0" w:noHBand="0" w:noVBand="1" w:val="04A0"/>
      </w:tblPr>
      <w:tblGrid>
        <w:gridCol w:w="2412"/>
        <w:gridCol w:w="2412"/>
        <w:gridCol w:w="2412"/>
        <w:gridCol w:w="2412"/>
      </w:tblGrid>
      <w:tr>
        <w:tc>
          <w:tcPr>
            <w:tcW w:type="dxa" w:w="720"/>
            <w:shd w:val="clear" w:fill="D9E2F3"/>
          </w:tcPr>
          <w:p>
            <w:r/>
            <w:r>
              <w:rPr>
                <w:b/>
                <w:sz w:val="18"/>
              </w:rPr>
              <w:t>Line</w:t>
            </w:r>
          </w:p>
        </w:tc>
        <w:tc>
          <w:tcPr>
            <w:tcW w:type="dxa" w:w="2160"/>
            <w:shd w:val="clear" w:fill="D9E2F3"/>
          </w:tcPr>
          <w:p>
            <w:r/>
            <w:r>
              <w:rPr>
                <w:b/>
                <w:sz w:val="18"/>
              </w:rPr>
              <w:t>Item</w:t>
            </w:r>
          </w:p>
        </w:tc>
        <w:tc>
          <w:tcPr>
            <w:tcW w:type="dxa" w:w="4608"/>
            <w:shd w:val="clear" w:fill="D9E2F3"/>
          </w:tcPr>
          <w:p>
            <w:r/>
            <w:r>
              <w:rPr>
                <w:b/>
                <w:sz w:val="18"/>
              </w:rPr>
              <w:t>Issue</w:t>
            </w:r>
          </w:p>
        </w:tc>
        <w:tc>
          <w:tcPr>
            <w:tcW w:type="dxa" w:w="2160"/>
            <w:shd w:val="clear" w:fill="D9E2F3"/>
          </w:tcPr>
          <w:p>
            <w:r/>
            <w:r>
              <w:rPr>
                <w:b/>
                <w:sz w:val="18"/>
              </w:rPr>
              <w:t>Recommendation</w:t>
            </w:r>
          </w:p>
        </w:tc>
      </w:tr>
      <w:tr>
        <w:tc>
          <w:tcPr>
            <w:tcW w:type="dxa" w:w="720"/>
          </w:tcPr>
          <w:p>
            <w:r/>
            <w:r>
              <w:rPr>
                <w:sz w:val="18"/>
              </w:rPr>
              <w:t>D-6</w:t>
            </w:r>
          </w:p>
        </w:tc>
        <w:tc>
          <w:tcPr>
            <w:tcW w:type="dxa" w:w="2160"/>
          </w:tcPr>
          <w:p>
            <w:r/>
            <w:r>
              <w:rPr>
                <w:sz w:val="18"/>
              </w:rPr>
              <w:t>Dr. Evelyn Marsh expert review — $18,500</w:t>
            </w:r>
          </w:p>
        </w:tc>
        <w:tc>
          <w:tcPr>
            <w:tcW w:type="dxa" w:w="4608"/>
          </w:tcPr>
          <w:p>
            <w:r/>
            <w:r>
              <w:rPr>
                <w:sz w:val="18"/>
              </w:rPr>
              <w:t>Over $5,000 and over $10,000. Expert fees require prior written DGC approval (§§9.2, 9.4; EL §5). No approval is documented; L148 (7/26) suggests approval for "additional expert work" was still being discussed after the 7/8 charge. No itemization of hours, rates, or dates as §9.4 requires. The June $12,500 charge raises the same question.</w:t>
            </w:r>
          </w:p>
        </w:tc>
        <w:tc>
          <w:tcPr>
            <w:tcW w:type="dxa" w:w="2160"/>
          </w:tcPr>
          <w:p>
            <w:r/>
            <w:r>
              <w:rPr>
                <w:sz w:val="18"/>
              </w:rPr>
              <w:t>Withhold $18,500 pending the approval record and the expert's itemized invoice</w:t>
            </w:r>
          </w:p>
        </w:tc>
      </w:tr>
      <w:tr>
        <w:tc>
          <w:tcPr>
            <w:tcW w:type="dxa" w:w="720"/>
          </w:tcPr>
          <w:p>
            <w:r/>
            <w:r>
              <w:rPr>
                <w:sz w:val="18"/>
              </w:rPr>
              <w:t>D-7</w:t>
            </w:r>
          </w:p>
        </w:tc>
        <w:tc>
          <w:tcPr>
            <w:tcW w:type="dxa" w:w="2160"/>
          </w:tcPr>
          <w:p>
            <w:r/>
            <w:r>
              <w:rPr>
                <w:sz w:val="18"/>
              </w:rPr>
              <w:t>Briggs/Ortega Spokane travel — $3,650</w:t>
            </w:r>
          </w:p>
        </w:tc>
        <w:tc>
          <w:tcPr>
            <w:tcW w:type="dxa" w:w="4608"/>
          </w:tcPr>
          <w:p>
            <w:r/>
            <w:r>
              <w:rPr>
                <w:sz w:val="18"/>
              </w:rPr>
              <w:t>Over $1,500 per trip. Prior approval required (EL §5). Not itemized by date or category as §7.2 requires; receipts needed.</w:t>
            </w:r>
          </w:p>
        </w:tc>
        <w:tc>
          <w:tcPr>
            <w:tcW w:type="dxa" w:w="2160"/>
          </w:tcPr>
          <w:p>
            <w:r/>
            <w:r>
              <w:rPr>
                <w:sz w:val="18"/>
              </w:rPr>
              <w:t>Withhold $3,650 pending approval and receipts</w:t>
            </w:r>
          </w:p>
        </w:tc>
      </w:tr>
      <w:tr>
        <w:tc>
          <w:tcPr>
            <w:tcW w:type="dxa" w:w="720"/>
          </w:tcPr>
          <w:p>
            <w:r/>
            <w:r>
              <w:rPr>
                <w:sz w:val="18"/>
              </w:rPr>
              <w:t>D-8</w:t>
            </w:r>
          </w:p>
        </w:tc>
        <w:tc>
          <w:tcPr>
            <w:tcW w:type="dxa" w:w="2160"/>
          </w:tcPr>
          <w:p>
            <w:r/>
            <w:r>
              <w:rPr>
                <w:sz w:val="18"/>
              </w:rPr>
              <w:t>In-house copying — $2,100</w:t>
            </w:r>
          </w:p>
        </w:tc>
        <w:tc>
          <w:tcPr>
            <w:tcW w:type="dxa" w:w="4608"/>
          </w:tcPr>
          <w:p>
            <w:r/>
            <w:r>
              <w:rPr>
                <w:sz w:val="18"/>
              </w:rPr>
              <w:t>Capped at $0.15/page (§9.5). This amount implies at least 14,000 pages; no page count provided.</w:t>
            </w:r>
          </w:p>
        </w:tc>
        <w:tc>
          <w:tcPr>
            <w:tcW w:type="dxa" w:w="2160"/>
          </w:tcPr>
          <w:p>
            <w:r/>
            <w:r>
              <w:rPr>
                <w:sz w:val="18"/>
              </w:rPr>
              <w:t>Withhold $2,100 pending page counts</w:t>
            </w:r>
          </w:p>
        </w:tc>
      </w:tr>
    </w:tbl>
    <w:p/>
    <w:p>
      <w:pPr>
        <w:pStyle w:val="Heading1"/>
      </w:pPr>
      <w:r>
        <w:t>6. Invoice Integrity Issues</w:t>
      </w:r>
    </w:p>
    <w:p>
      <w:pPr>
        <w:pStyle w:val="ListBullet"/>
      </w:pPr>
      <w:r>
        <w:rPr>
          <w:b/>
        </w:rPr>
        <w:t>Unitemized fees.</w:t>
      </w:r>
      <w:r>
        <w:t xml:space="preserve"> Gross fees of $349,552.50 versus $243,080.50 itemized. The $106,472.00 difference is not supported by any time entry, which does not meet §5.1(e). Withhold it and require complete entries before any payment of this amount.</w:t>
      </w:r>
    </w:p>
    <w:p>
      <w:pPr>
        <w:pStyle w:val="ListBullet"/>
      </w:pPr>
      <w:r>
        <w:rPr>
          <w:b/>
        </w:rPr>
        <w:t>Hour mismatch.</w:t>
      </w:r>
      <w:r>
        <w:t xml:space="preserve"> 142.3 research hours (Summary) versus 137.6 hours (Discount sheet and entries).</w:t>
      </w:r>
    </w:p>
    <w:p>
      <w:pPr>
        <w:pStyle w:val="ListBullet"/>
      </w:pPr>
      <w:r>
        <w:rPr>
          <w:b/>
        </w:rPr>
        <w:t>Discount arithmetic.</w:t>
      </w:r>
      <w:r>
        <w:t xml:space="preserve"> $7,732.00 is presented as 15% of $54,104.50, which is actually $8,115.68.</w:t>
      </w:r>
    </w:p>
    <w:p>
      <w:pPr>
        <w:pStyle w:val="ListBullet"/>
      </w:pPr>
      <w:r>
        <w:rPr>
          <w:b/>
        </w:rPr>
        <w:t>Cap denominator.</w:t>
      </w:r>
      <w:r>
        <w:t xml:space="preserve"> The Summary calculates research as a percentage of $341,820.50 in net fees. That inflates the denominator with unsupported fees and understates the cap problem.</w:t>
      </w:r>
    </w:p>
    <w:p>
      <w:pPr>
        <w:pStyle w:val="ListBullet"/>
      </w:pPr>
      <w:r>
        <w:rPr>
          <w:b/>
        </w:rPr>
        <w:t>Reply brief duplication.</w:t>
      </w:r>
      <w:r>
        <w:t xml:space="preserve"> The reply brief appears to have been filed twice (L34–36 on 7/11: "approve for filing… file with court"; L61–63 on 7/19: "final review… E-file"). Duplicate final reviews by Hargrove (L34, L62) and Briggs (L35) should be explained. They are flagged, not adjusted, pending the firm's explanation.</w:t>
      </w:r>
    </w:p>
    <w:p>
      <w:pPr>
        <w:pStyle w:val="Heading1"/>
      </w:pPr>
      <w:r>
        <w:t>7. Summary of Recommended Adjustments</w:t>
      </w:r>
    </w:p>
    <w:tbl>
      <w:tblPr>
        <w:tblStyle w:val="TableGrid"/>
        <w:tblW w:type="auto" w:w="0"/>
        <w:tblLook w:firstColumn="1" w:firstRow="1" w:lastColumn="0" w:lastRow="0" w:noHBand="0" w:noVBand="1" w:val="04A0"/>
      </w:tblPr>
      <w:tblGrid>
        <w:gridCol w:w="4824"/>
        <w:gridCol w:w="4824"/>
      </w:tblGrid>
      <w:tr>
        <w:tc>
          <w:tcPr>
            <w:tcW w:type="dxa" w:w="7488"/>
            <w:shd w:val="clear" w:fill="D9E2F3"/>
          </w:tcPr>
          <w:p>
            <w:r/>
            <w:r>
              <w:rPr>
                <w:b/>
                <w:sz w:val="18"/>
              </w:rPr>
              <w:t>Category</w:t>
            </w:r>
          </w:p>
        </w:tc>
        <w:tc>
          <w:tcPr>
            <w:tcW w:type="dxa" w:w="2160"/>
            <w:shd w:val="clear" w:fill="D9E2F3"/>
          </w:tcPr>
          <w:p>
            <w:r/>
            <w:r>
              <w:rPr>
                <w:b/>
                <w:sz w:val="18"/>
              </w:rPr>
              <w:t>Reduction</w:t>
            </w:r>
          </w:p>
        </w:tc>
      </w:tr>
      <w:tr>
        <w:tc>
          <w:tcPr>
            <w:tcW w:type="dxa" w:w="7488"/>
          </w:tcPr>
          <w:p>
            <w:r/>
            <w:r>
              <w:rPr>
                <w:sz w:val="18"/>
              </w:rPr>
              <w:t>Partner research (§6.3/§6.4) — L7, L24, L41, L74 disallowed; L51, L92 reduced</w:t>
            </w:r>
          </w:p>
        </w:tc>
        <w:tc>
          <w:tcPr>
            <w:tcW w:type="dxa" w:w="2160"/>
          </w:tcPr>
          <w:p>
            <w:r/>
            <w:r>
              <w:rPr>
                <w:sz w:val="18"/>
              </w:rPr>
              <w:t>($7,981.00)</w:t>
            </w:r>
          </w:p>
        </w:tc>
      </w:tr>
      <w:tr>
        <w:tc>
          <w:tcPr>
            <w:tcW w:type="dxa" w:w="7488"/>
          </w:tcPr>
          <w:p>
            <w:r/>
            <w:r>
              <w:rPr>
                <w:sz w:val="18"/>
              </w:rPr>
              <w:t>Duplicative associate research (§6.4)</w:t>
            </w:r>
          </w:p>
        </w:tc>
        <w:tc>
          <w:tcPr>
            <w:tcW w:type="dxa" w:w="2160"/>
          </w:tcPr>
          <w:p>
            <w:r/>
            <w:r>
              <w:rPr>
                <w:sz w:val="18"/>
              </w:rPr>
              <w:t>($12,962.50)</w:t>
            </w:r>
          </w:p>
        </w:tc>
      </w:tr>
      <w:tr>
        <w:tc>
          <w:tcPr>
            <w:tcW w:type="dxa" w:w="7488"/>
          </w:tcPr>
          <w:p>
            <w:r/>
            <w:r>
              <w:rPr>
                <w:sz w:val="18"/>
              </w:rPr>
              <w:t>Background / familiarization research (§§4.3, 6.4)</w:t>
            </w:r>
          </w:p>
        </w:tc>
        <w:tc>
          <w:tcPr>
            <w:tcW w:type="dxa" w:w="2160"/>
          </w:tcPr>
          <w:p>
            <w:r/>
            <w:r>
              <w:rPr>
                <w:sz w:val="18"/>
              </w:rPr>
              <w:t>($4,152.50)</w:t>
            </w:r>
          </w:p>
        </w:tc>
      </w:tr>
      <w:tr>
        <w:tc>
          <w:tcPr>
            <w:tcW w:type="dxa" w:w="7488"/>
          </w:tcPr>
          <w:p>
            <w:r/>
            <w:r>
              <w:rPr>
                <w:sz w:val="18"/>
              </w:rPr>
              <w:t>Senior Associate routine research (§6.3)</w:t>
            </w:r>
          </w:p>
        </w:tc>
        <w:tc>
          <w:tcPr>
            <w:tcW w:type="dxa" w:w="2160"/>
          </w:tcPr>
          <w:p>
            <w:r/>
            <w:r>
              <w:rPr>
                <w:sz w:val="18"/>
              </w:rPr>
              <w:t>($1,127.50)</w:t>
            </w:r>
          </w:p>
        </w:tc>
      </w:tr>
      <w:tr>
        <w:tc>
          <w:tcPr>
            <w:tcW w:type="dxa" w:w="7488"/>
          </w:tcPr>
          <w:p>
            <w:r/>
            <w:r>
              <w:rPr>
                <w:sz w:val="18"/>
              </w:rPr>
              <w:t>Research fee adjustments — subtotal</w:t>
            </w:r>
          </w:p>
        </w:tc>
        <w:tc>
          <w:tcPr>
            <w:tcW w:type="dxa" w:w="2160"/>
          </w:tcPr>
          <w:p>
            <w:r/>
            <w:r>
              <w:rPr>
                <w:sz w:val="18"/>
              </w:rPr>
              <w:t>($26,223.50)</w:t>
            </w:r>
          </w:p>
        </w:tc>
      </w:tr>
      <w:tr>
        <w:tc>
          <w:tcPr>
            <w:tcW w:type="dxa" w:w="7488"/>
          </w:tcPr>
          <w:p>
            <w:r/>
            <w:r>
              <w:rPr>
                <w:sz w:val="18"/>
              </w:rPr>
              <w:t>Non-research fee adjustments (Section 5)</w:t>
            </w:r>
          </w:p>
        </w:tc>
        <w:tc>
          <w:tcPr>
            <w:tcW w:type="dxa" w:w="2160"/>
          </w:tcPr>
          <w:p>
            <w:r/>
            <w:r>
              <w:rPr>
                <w:sz w:val="18"/>
              </w:rPr>
              <w:t>($6,310.00)</w:t>
            </w:r>
          </w:p>
        </w:tc>
      </w:tr>
      <w:tr>
        <w:tc>
          <w:tcPr>
            <w:tcW w:type="dxa" w:w="7488"/>
          </w:tcPr>
          <w:p>
            <w:r/>
            <w:r>
              <w:rPr>
                <w:sz w:val="18"/>
              </w:rPr>
              <w:t>Westlaw disbursement (§9.3)</w:t>
            </w:r>
          </w:p>
        </w:tc>
        <w:tc>
          <w:tcPr>
            <w:tcW w:type="dxa" w:w="2160"/>
          </w:tcPr>
          <w:p>
            <w:r/>
            <w:r>
              <w:rPr>
                <w:sz w:val="18"/>
              </w:rPr>
              <w:t>($4,850.00)</w:t>
            </w:r>
          </w:p>
        </w:tc>
      </w:tr>
      <w:tr>
        <w:tc>
          <w:tcPr>
            <w:tcW w:type="dxa" w:w="7488"/>
          </w:tcPr>
          <w:p>
            <w:r/>
            <w:r>
              <w:rPr>
                <w:sz w:val="18"/>
              </w:rPr>
              <w:t>Total disallowed / reduced</w:t>
            </w:r>
          </w:p>
        </w:tc>
        <w:tc>
          <w:tcPr>
            <w:tcW w:type="dxa" w:w="2160"/>
          </w:tcPr>
          <w:p>
            <w:r/>
            <w:r>
              <w:rPr>
                <w:sz w:val="18"/>
              </w:rPr>
              <w:t>($37,383.50)</w:t>
            </w:r>
          </w:p>
        </w:tc>
      </w:tr>
      <w:tr>
        <w:tc>
          <w:tcPr>
            <w:tcW w:type="dxa" w:w="7488"/>
          </w:tcPr>
          <w:p>
            <w:r/>
            <w:r>
              <w:rPr>
                <w:sz w:val="18"/>
              </w:rPr>
              <w:t>Withheld pending support: unitemized fees</w:t>
            </w:r>
          </w:p>
        </w:tc>
        <w:tc>
          <w:tcPr>
            <w:tcW w:type="dxa" w:w="2160"/>
          </w:tcPr>
          <w:p>
            <w:r/>
            <w:r>
              <w:rPr>
                <w:sz w:val="18"/>
              </w:rPr>
              <w:t>($106,472.00)</w:t>
            </w:r>
          </w:p>
        </w:tc>
      </w:tr>
      <w:tr>
        <w:tc>
          <w:tcPr>
            <w:tcW w:type="dxa" w:w="7488"/>
          </w:tcPr>
          <w:p>
            <w:r/>
            <w:r>
              <w:rPr>
                <w:sz w:val="18"/>
              </w:rPr>
              <w:t>Withheld pending support: disbursements D-6, D-7, D-8</w:t>
            </w:r>
          </w:p>
        </w:tc>
        <w:tc>
          <w:tcPr>
            <w:tcW w:type="dxa" w:w="2160"/>
          </w:tcPr>
          <w:p>
            <w:r/>
            <w:r>
              <w:rPr>
                <w:sz w:val="18"/>
              </w:rPr>
              <w:t>($24,250.00)</w:t>
            </w:r>
          </w:p>
        </w:tc>
      </w:tr>
      <w:tr>
        <w:tc>
          <w:tcPr>
            <w:tcW w:type="dxa" w:w="7488"/>
          </w:tcPr>
          <w:p>
            <w:r/>
            <w:r>
              <w:rPr>
                <w:sz w:val="18"/>
              </w:rPr>
              <w:t>Recommended DOE-invoice disallowance (§6.6) — separate invoice</w:t>
            </w:r>
          </w:p>
        </w:tc>
        <w:tc>
          <w:tcPr>
            <w:tcW w:type="dxa" w:w="2160"/>
          </w:tcPr>
          <w:p>
            <w:r/>
            <w:r>
              <w:rPr>
                <w:sz w:val="18"/>
              </w:rPr>
              <w:t>($3,400.00)</w:t>
            </w:r>
          </w:p>
        </w:tc>
      </w:tr>
      <w:tr>
        <w:tc>
          <w:tcPr>
            <w:tcW w:type="dxa" w:w="7488"/>
          </w:tcPr>
          <w:p>
            <w:r/>
            <w:r>
              <w:rPr>
                <w:sz w:val="18"/>
              </w:rPr>
              <w:t>Prior-period credit to request: June Westlaw (§9.3)</w:t>
            </w:r>
          </w:p>
        </w:tc>
        <w:tc>
          <w:tcPr>
            <w:tcW w:type="dxa" w:w="2160"/>
          </w:tcPr>
          <w:p>
            <w:r/>
            <w:r>
              <w:rPr>
                <w:sz w:val="18"/>
              </w:rPr>
              <w:t>($3,675.00)</w:t>
            </w:r>
          </w:p>
        </w:tc>
      </w:tr>
    </w:tbl>
    <w:p/>
    <w:p>
      <w:pPr>
        <w:pStyle w:val="Heading1"/>
      </w:pPr>
      <w:r>
        <w:t>8. Recommended Next Steps</w:t>
      </w:r>
    </w:p>
    <w:p>
      <w:pPr>
        <w:pStyle w:val="ListNumber"/>
      </w:pPr>
      <w:r>
        <w:t>Pay the undisputed amount of $222,732.10 within the payment cycle (§11; EL §7).</w:t>
      </w:r>
    </w:p>
    <w:p>
      <w:pPr>
        <w:pStyle w:val="ListNumber"/>
      </w:pPr>
      <w:r>
        <w:t>Send a written dispute notice to Diane Hargrove citing each entry and provision above. Under §11, the firm has 15 business days to respond.</w:t>
      </w:r>
    </w:p>
    <w:p>
      <w:pPr>
        <w:pStyle w:val="ListNumber"/>
      </w:pPr>
      <w:r>
        <w:t>Require a complete, reconciled Fee Detail supporting the $106,472.00 gap, a corrected discount calculation, and a corrected research-hour total.</w:t>
      </w:r>
    </w:p>
    <w:p>
      <w:pPr>
        <w:pStyle w:val="ListNumber"/>
      </w:pPr>
      <w:r>
        <w:t>Request the written approvals (if any) and supporting documents for the Marsh expert fees (July and June), the Spokane travel, and the copying page counts.</w:t>
      </w:r>
    </w:p>
    <w:p>
      <w:pPr>
        <w:pStyle w:val="ListNumber"/>
      </w:pPr>
      <w:r>
        <w:t>Apply the §6.6 disallowance on the DOE invoice and require cross-matter notations going forward. Confirm that a separate DOE engagement letter is in place.</w:t>
      </w:r>
    </w:p>
    <w:p>
      <w:pPr>
        <w:pStyle w:val="ListNumber"/>
      </w:pPr>
      <w:r>
        <w:t>Request a $3,675.00 credit for the June Westlaw charges.</w:t>
      </w:r>
    </w:p>
    <w:p>
      <w:pPr>
        <w:pStyle w:val="ListNumber"/>
      </w:pPr>
      <w:r>
        <w:t>Because the firm did not comply after the June 28 warning, consider remedies under §12: pre-approval of research assignments over a set number of hours, a designated lead researcher for each issue (§6.4), and, if non-compliance continues, an automatic percentage reduction.</w:t>
      </w:r>
    </w:p>
    <w:p>
      <w:r>
        <w:rPr>
          <w:i/>
        </w:rPr>
        <w:t>Note: Line references are to the "Line" column of the Fee Detail and Disbursements sheets of the July 2024 invoice workbook. Where a charge has more than one ground for adjustment, it is counted only once, under the largest applicable adjustment.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