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color w:val="9C0006"/>
          <w:sz w:val="18"/>
        </w:rPr>
        <w:t>ATTORNEY–CLIENT PRIVILEGED / ATTORNEY WORK PRODUCT</w:t>
      </w:r>
    </w:p>
    <w:p>
      <w:pPr>
        <w:spacing w:after="160"/>
      </w:pPr>
      <w:r>
        <w:rPr>
          <w:b/>
          <w:color w:val="666666"/>
          <w:sz w:val="17"/>
        </w:rPr>
        <w:t>DRAFT FOR LEGAL ADVICE — NOT FOR EXTERNAL CIRCULATION</w:t>
      </w:r>
    </w:p>
    <w:p>
      <w:pPr>
        <w:pStyle w:val="Title"/>
      </w:pPr>
      <w:r>
        <w:t>ISSUES MEMORANDUM</w:t>
      </w:r>
    </w:p>
    <w:p>
      <w:pPr>
        <w:spacing w:after="140"/>
      </w:pPr>
      <w:r>
        <w:rPr>
          <w:b/>
          <w:color w:val="24527A"/>
          <w:sz w:val="24"/>
        </w:rPr>
        <w:t>Grand Jury Subpoena No. 24-GJ-1187 | Grayfield Capital Partners, LLC</w:t>
      </w:r>
    </w:p>
    <w:tbl>
      <w:tblPr>
        <w:tblStyle w:val="TableGrid"/>
        <w:tblW w:type="auto" w:w="0"/>
        <w:jc w:val="center"/>
        <w:tblLayout w:type="fixed"/>
        <w:tblLook w:firstColumn="1" w:firstRow="1" w:lastColumn="0" w:lastRow="0" w:noHBand="0" w:noVBand="1" w:val="04A0"/>
      </w:tblPr>
      <w:tblGrid>
        <w:gridCol w:w="1037"/>
        <w:gridCol w:w="1656"/>
        <w:gridCol w:w="1440"/>
        <w:gridCol w:w="6552"/>
      </w:tblGrid>
      <w:tr>
        <w:trPr>
          <w:tblHeader w:val="true"/>
        </w:trPr>
        <w:tc>
          <w:tcPr>
            <w:tcW w:type="dxa" w:w="2498"/>
            <w:shd w:fill="5B7895"/>
            <w:tcMar>
              <w:top w:w="70" w:type="dxa"/>
              <w:start w:w="80" w:type="dxa"/>
              <w:bottom w:w="70" w:type="dxa"/>
              <w:end w:w="80" w:type="dxa"/>
            </w:tcMar>
            <w:vAlign w:val="center"/>
          </w:tcPr>
          <w:p>
            <w:pPr>
              <w:widowControl/>
              <w:spacing w:after="0"/>
            </w:pPr>
            <w:r>
              <w:rPr>
                <w:rFonts w:ascii="Aptos" w:hAnsi="Aptos"/>
                <w:b/>
                <w:color w:val="FFFFFF"/>
                <w:sz w:val="17"/>
              </w:rPr>
              <w:t>TO</w:t>
            </w:r>
          </w:p>
        </w:tc>
        <w:tc>
          <w:tcPr>
            <w:tcW w:type="dxa" w:w="2498"/>
            <w:shd w:fill="5B7895"/>
            <w:tcMar>
              <w:top w:w="70" w:type="dxa"/>
              <w:start w:w="80" w:type="dxa"/>
              <w:bottom w:w="70" w:type="dxa"/>
              <w:end w:w="80" w:type="dxa"/>
            </w:tcMar>
            <w:vAlign w:val="center"/>
          </w:tcPr>
          <w:p>
            <w:pPr>
              <w:widowControl/>
              <w:spacing w:after="0"/>
            </w:pPr>
            <w:r>
              <w:rPr>
                <w:rFonts w:ascii="Aptos" w:hAnsi="Aptos"/>
                <w:b/>
                <w:color w:val="FFFFFF"/>
                <w:sz w:val="17"/>
              </w:rPr>
              <w:t>FROM</w:t>
            </w:r>
          </w:p>
        </w:tc>
        <w:tc>
          <w:tcPr>
            <w:tcW w:type="dxa" w:w="2498"/>
            <w:shd w:fill="5B7895"/>
            <w:tcMar>
              <w:top w:w="70" w:type="dxa"/>
              <w:start w:w="80" w:type="dxa"/>
              <w:bottom w:w="70" w:type="dxa"/>
              <w:end w:w="80" w:type="dxa"/>
            </w:tcMar>
            <w:vAlign w:val="center"/>
          </w:tcPr>
          <w:p>
            <w:pPr>
              <w:widowControl/>
              <w:spacing w:after="0"/>
            </w:pPr>
            <w:r>
              <w:rPr>
                <w:rFonts w:ascii="Aptos" w:hAnsi="Aptos"/>
                <w:b/>
                <w:color w:val="FFFFFF"/>
                <w:sz w:val="17"/>
              </w:rPr>
              <w:t>DATE</w:t>
            </w:r>
          </w:p>
        </w:tc>
        <w:tc>
          <w:tcPr>
            <w:tcW w:type="dxa" w:w="2498"/>
            <w:shd w:fill="5B7895"/>
            <w:tcMar>
              <w:top w:w="70" w:type="dxa"/>
              <w:start w:w="80" w:type="dxa"/>
              <w:bottom w:w="70" w:type="dxa"/>
              <w:end w:w="80" w:type="dxa"/>
            </w:tcMar>
            <w:vAlign w:val="center"/>
          </w:tcPr>
          <w:p>
            <w:pPr>
              <w:widowControl/>
              <w:spacing w:after="0"/>
            </w:pPr>
            <w:r>
              <w:rPr>
                <w:rFonts w:ascii="Aptos" w:hAnsi="Aptos"/>
                <w:b/>
                <w:color w:val="FFFFFF"/>
                <w:sz w:val="17"/>
              </w:rPr>
              <w:t>RE</w:t>
            </w:r>
          </w:p>
        </w:tc>
      </w:tr>
      <w:tr>
        <w:tc>
          <w:tcPr>
            <w:tcW w:type="dxa" w:w="1037"/>
            <w:vAlign w:val="top"/>
            <w:tcMar>
              <w:top w:w="70" w:type="dxa"/>
              <w:start w:w="80" w:type="dxa"/>
              <w:bottom w:w="70" w:type="dxa"/>
              <w:end w:w="80" w:type="dxa"/>
            </w:tcMar>
          </w:tcPr>
          <w:p>
            <w:pPr>
              <w:widowControl/>
              <w:spacing w:after="0" w:line="240" w:lineRule="auto"/>
            </w:pPr>
            <w:r>
              <w:rPr>
                <w:rFonts w:ascii="Aptos" w:hAnsi="Aptos"/>
                <w:b/>
                <w:sz w:val="17"/>
              </w:rPr>
              <w:t>Lead Partner</w:t>
            </w:r>
          </w:p>
        </w:tc>
        <w:tc>
          <w:tcPr>
            <w:tcW w:type="dxa" w:w="1656"/>
            <w:vAlign w:val="top"/>
            <w:tcMar>
              <w:top w:w="70" w:type="dxa"/>
              <w:start w:w="80" w:type="dxa"/>
              <w:bottom w:w="70" w:type="dxa"/>
              <w:end w:w="80" w:type="dxa"/>
            </w:tcMar>
          </w:tcPr>
          <w:p>
            <w:pPr>
              <w:widowControl/>
              <w:spacing w:after="0" w:line="240" w:lineRule="auto"/>
            </w:pPr>
            <w:r>
              <w:rPr>
                <w:rFonts w:ascii="Aptos" w:hAnsi="Aptos"/>
                <w:sz w:val="17"/>
              </w:rPr>
              <w:t>Defense Team</w:t>
            </w:r>
          </w:p>
        </w:tc>
        <w:tc>
          <w:tcPr>
            <w:tcW w:type="dxa" w:w="1440"/>
            <w:vAlign w:val="top"/>
            <w:tcMar>
              <w:top w:w="70" w:type="dxa"/>
              <w:start w:w="80" w:type="dxa"/>
              <w:bottom w:w="70" w:type="dxa"/>
              <w:end w:w="80" w:type="dxa"/>
            </w:tcMar>
          </w:tcPr>
          <w:p>
            <w:pPr>
              <w:widowControl/>
              <w:spacing w:after="0" w:line="240" w:lineRule="auto"/>
            </w:pPr>
            <w:r>
              <w:rPr>
                <w:rFonts w:ascii="Aptos" w:hAnsi="Aptos"/>
                <w:sz w:val="17"/>
              </w:rPr>
              <w:t>June 11, 2024</w:t>
            </w:r>
          </w:p>
        </w:tc>
        <w:tc>
          <w:tcPr>
            <w:tcW w:type="dxa" w:w="6552"/>
            <w:vAlign w:val="top"/>
            <w:tcMar>
              <w:top w:w="70" w:type="dxa"/>
              <w:start w:w="80" w:type="dxa"/>
              <w:bottom w:w="70" w:type="dxa"/>
              <w:end w:w="80" w:type="dxa"/>
            </w:tcMar>
          </w:tcPr>
          <w:p>
            <w:pPr>
              <w:widowControl/>
              <w:spacing w:after="0" w:line="240" w:lineRule="auto"/>
            </w:pPr>
            <w:r>
              <w:rPr>
                <w:rFonts w:ascii="Aptos" w:hAnsi="Aptos"/>
                <w:sz w:val="17"/>
              </w:rPr>
              <w:t>SDNY grand jury subpoena; Veridian BioSciences / VRDN investigation</w:t>
            </w:r>
          </w:p>
        </w:tc>
      </w:tr>
    </w:tbl>
    <w:p>
      <w:pPr>
        <w:spacing w:after="0"/>
      </w:pPr>
    </w:p>
    <w:p>
      <w:pPr>
        <w:spacing w:before="20" w:after="160"/>
      </w:pPr>
      <w:r>
        <w:rPr>
          <w:b/>
        </w:rPr>
        <w:t xml:space="preserve">Scope / use. </w:t>
      </w:r>
      <w:r>
        <w:t>This preliminary assessment is based only on the subpoena and client materials supplied (including the June 10 forensic blotter extract). It is not a finding that anyone received or traded on MNPI. Confirm all underlying records, subpoena originals, dates, and applicable law before advising on a final response. A privilege legend does not itself create a privilege; this memo is prepared for counsel’s legal advice and should remain within the privileged team.</w:t>
      </w:r>
    </w:p>
    <w:p>
      <w:pPr>
        <w:pStyle w:val="Heading1"/>
      </w:pPr>
      <w:r>
        <w:t>I. Executive assessment</w:t>
      </w:r>
    </w:p>
    <w:p>
      <w:r>
        <w:rPr>
          <w:i w:val="0"/>
        </w:rPr>
        <w:t>The record presents substantial and unusually concentrated risk around the source and timing of VRDN trading—not merely a broad compliance inquiry. Dr. Neil Ashford, a Veridian Scientific Advisory Board member bound by an NDA, reportedly received confidential 89% response-rate data at a March 3, 2024 meeting. The Opportunity Fund began buying the next day; Marcus Grayfield personally bought the day after that. Grayfield and Ashford had a 22-minute call on March 12, the same date as a fund purchase described in the OMS extract as an “increased order size” day. Grayfield later directed Zheng to “size up,” and the fund accumulated 550,000 shares before approval. These facts support an urgent, evidence-first investigation. They do not establish that Ashford disclosed the data, that Grayfield received it, or that Zheng knew it.</w:t>
      </w:r>
    </w:p>
    <w:p>
      <w:r>
        <w:rPr>
          <w:i w:val="0"/>
        </w:rPr>
        <w:t>The strongest immediate concerns are: (1) potential insider-trading/tipping exposure and a direct personal-trading-policy/blackout issue for Grayfield; (2) a serious preservation problem involving Grayfield’s traded-in phone after the CCO says he was notified of the SEC investigation, plus Zheng’s known Signal auto-delete setting; (3) conflicts between the entity’s interests and Grayfield’s personal interests; (4) a subpoena that is facially anomalous, very broad, and appears to demand a corporate “representative” without the usual 30(b)(6) framework; and (5) material arithmetic and chronology inconsistencies in the transaction package that make its current P&amp;L and certification unsafe.</w:t>
      </w:r>
    </w:p>
    <w:p>
      <w:r>
        <w:rPr>
          <w:i w:val="0"/>
        </w:rPr>
        <w:t>Recommendation: authenticate the served instrument immediately, continue preserving everything while doing so, and seek a written extension and a narrowed production/testimony protocol from independently verified government contacts. Do not ignore the July 8 return date. Do not sign a completeness certification, characterize the audit as privileged without further review, or produce an unreviewed personal-device image. Grayfield should have independent personal counsel; Zheng should be offered separate counsel before any substantive interview or personal testimony.</w:t>
      </w:r>
    </w:p>
    <w:p>
      <w:pPr>
        <w:pStyle w:val="Heading2"/>
      </w:pPr>
      <w:r>
        <w:t>Priority actions (next 24–48 hours)</w:t>
      </w:r>
    </w:p>
    <w:p>
      <w:pPr>
        <w:pStyle w:val="ListBullet"/>
      </w:pPr>
      <w:r>
        <w:rPr>
          <w:b/>
        </w:rPr>
        <w:t>Authenticate the physical subpoena and service record.</w:t>
      </w:r>
      <w:r>
        <w:t xml:space="preserve"> On the face of the text extract, the clerk signature and AUSA signature are blank, the purported issuing AUSA is “Jonathan Cromdale Consulting” but the contact email is jonathan.mercer@usdoj.gov, and the proof-of-service name/title are blank. Verify through independently sourced SDNY/USAO contacts—not the instrument’s email or phone—and preserve the original envelope, copy, and all forwarding records. Continue the hold pending verification.</w:t>
      </w:r>
    </w:p>
    <w:p>
      <w:pPr>
        <w:pStyle w:val="ListBullet"/>
      </w:pPr>
      <w:r>
        <w:rPr>
          <w:b/>
        </w:rPr>
        <w:t>Through verified counsel channels,</w:t>
      </w:r>
      <w:r>
        <w:t xml:space="preserve"> request a 30–45 day extension, staged/rolling production by agreement, and deferral of testimony until after a meet-and-confer. Obtain written confirmation; if no agreement, evaluate a Rule 17(c)(2) motion to quash/modify before July 8.</w:t>
      </w:r>
    </w:p>
    <w:p>
      <w:pPr>
        <w:pStyle w:val="ListBullet"/>
      </w:pPr>
      <w:r>
        <w:rPr>
          <w:b/>
        </w:rPr>
        <w:t>Issue/refresh a counsel-directed hold</w:t>
      </w:r>
      <w:r>
        <w:t xml:space="preserve"> to all relevant custodians and IT, covering all funds/entities, business and personal devices/accounts used for business, Signal/WhatsApp/Telegram, cloud and linked devices, OMS/trade and compliance records, call logs, drafts, and data held by agents. Suspend deletion and backup rotation; document acknowledgments, exceptions, and preservation steps.</w:t>
      </w:r>
    </w:p>
    <w:p>
      <w:pPr>
        <w:pStyle w:val="ListBullet"/>
      </w:pPr>
      <w:r>
        <w:rPr>
          <w:b/>
        </w:rPr>
        <w:t>Immediately preserve and forensically assess Grayfield’s current iPhone</w:t>
      </w:r>
      <w:r>
        <w:t xml:space="preserve"> and any Apple ID, iCloud, computer, wearable, linked-device, carrier, and app data. Obtain the exact traded-in device model/serial/IMEI, receipt and transaction details; ask Apple and any downstream custodian to preserve the old device/data if feasible. Do not reset, trade, remotely wipe, or alter either phone.</w:t>
      </w:r>
    </w:p>
    <w:p>
      <w:pPr>
        <w:pStyle w:val="ListBullet"/>
      </w:pPr>
      <w:r>
        <w:rPr>
          <w:b/>
        </w:rPr>
        <w:t>Preserve Zheng’s current device</w:t>
      </w:r>
      <w:r>
        <w:t xml:space="preserve"> and all Signal data before 24-hour deletion continues. Have a forensic examiner capture the device and linked desktops/recipients, then disable disappearing-message functionality under a documented protocol that avoids overwriting evidence. Preserve existing backups and app/account settings.</w:t>
      </w:r>
    </w:p>
    <w:p>
      <w:pPr>
        <w:pStyle w:val="ListBullet"/>
      </w:pPr>
      <w:r>
        <w:rPr>
          <w:b/>
        </w:rPr>
        <w:t>Collect and reconcile native trade data</w:t>
      </w:r>
      <w:r>
        <w:t>, personal brokerage records, phone records, IC approvals, restricted/watch lists, pre-clearance and relationship disclosures, and the exact May 16 notice to Grayfield. Preserve originals and audit trails; do not “correct” the existing workbook or memo.</w:t>
      </w:r>
    </w:p>
    <w:p>
      <w:pPr>
        <w:pStyle w:val="ListBullet"/>
      </w:pPr>
      <w:r>
        <w:rPr>
          <w:b/>
        </w:rPr>
        <w:t>Separate counsel:</w:t>
      </w:r>
      <w:r>
        <w:t xml:space="preserve"> advise Grayfield to retain independent counsel now; offer Zheng independent counsel. Give all employee interviewees an entity-client/Upjohn explanation and do not promise individual representation or confidentiality.</w:t>
      </w:r>
    </w:p>
    <w:p>
      <w:pPr>
        <w:pStyle w:val="ListBullet"/>
      </w:pPr>
      <w:r>
        <w:rPr>
          <w:b/>
        </w:rPr>
        <w:t>Set a controlled production process:</w:t>
      </w:r>
      <w:r>
        <w:t xml:space="preserve"> custodian map, collection logs, privilege/work-product review, agreed ESI protocol, and a response matrix. Withhold only materials supported by a specific privilege or work-product basis; log disputed material. Do not certify completeness until the search is actually complete and defensible.</w:t>
      </w:r>
    </w:p>
    <w:p>
      <w:pPr>
        <w:pStyle w:val="Heading1"/>
      </w:pPr>
      <w:r>
        <w:t>II. Risk snapshot</w:t>
      </w:r>
    </w:p>
    <w:tbl>
      <w:tblPr>
        <w:tblStyle w:val="TableGrid"/>
        <w:tblW w:type="auto" w:w="0"/>
        <w:jc w:val="center"/>
        <w:tblLayout w:type="fixed"/>
        <w:tblLook w:firstColumn="1" w:firstRow="1" w:lastColumn="0" w:lastRow="0" w:noHBand="0" w:noVBand="1" w:val="04A0"/>
      </w:tblPr>
      <w:tblGrid>
        <w:gridCol w:w="1901"/>
        <w:gridCol w:w="4536"/>
        <w:gridCol w:w="4248"/>
      </w:tblGrid>
      <w:tr>
        <w:trPr>
          <w:tblHeader w:val="true"/>
        </w:trPr>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Issue</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Assessment from present record</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Near-term response</w:t>
            </w:r>
          </w:p>
        </w:tc>
      </w:tr>
      <w:tr>
        <w:tc>
          <w:tcPr>
            <w:tcW w:type="dxa" w:w="1901"/>
            <w:vAlign w:val="top"/>
            <w:tcMar>
              <w:top w:w="70" w:type="dxa"/>
              <w:start w:w="80" w:type="dxa"/>
              <w:bottom w:w="70" w:type="dxa"/>
              <w:end w:w="80" w:type="dxa"/>
            </w:tcMar>
          </w:tcPr>
          <w:p>
            <w:pPr>
              <w:widowControl/>
              <w:spacing w:after="0" w:line="240" w:lineRule="auto"/>
            </w:pPr>
            <w:r>
              <w:rPr>
                <w:rFonts w:ascii="Aptos" w:hAnsi="Aptos"/>
                <w:b/>
                <w:sz w:val="16"/>
              </w:rPr>
              <w:t>Potential MNPI / tippee trading</w:t>
            </w:r>
          </w:p>
        </w:tc>
        <w:tc>
          <w:tcPr>
            <w:tcW w:type="dxa" w:w="4536"/>
            <w:vAlign w:val="top"/>
            <w:tcMar>
              <w:top w:w="70" w:type="dxa"/>
              <w:start w:w="80" w:type="dxa"/>
              <w:bottom w:w="70" w:type="dxa"/>
              <w:end w:w="80" w:type="dxa"/>
            </w:tcMar>
          </w:tcPr>
          <w:p>
            <w:pPr>
              <w:widowControl/>
              <w:spacing w:after="0" w:line="240" w:lineRule="auto"/>
            </w:pPr>
            <w:r>
              <w:rPr>
                <w:rFonts w:ascii="Aptos" w:hAnsi="Aptos"/>
                <w:sz w:val="16"/>
              </w:rPr>
              <w:t>High investigative risk; no direct proof yet of disclosure or receipt. March 3 NDA meeting, March 4 first fund purchase, March 5 Grayfield personal purchase, March 12 call/purchase, and later rapid accumulation create a compelling chronology for investigators.</w:t>
            </w:r>
          </w:p>
        </w:tc>
        <w:tc>
          <w:tcPr>
            <w:tcW w:type="dxa" w:w="4248"/>
            <w:vAlign w:val="top"/>
            <w:tcMar>
              <w:top w:w="70" w:type="dxa"/>
              <w:start w:w="80" w:type="dxa"/>
              <w:bottom w:w="70" w:type="dxa"/>
              <w:end w:w="80" w:type="dxa"/>
            </w:tcMar>
          </w:tcPr>
          <w:p>
            <w:pPr>
              <w:widowControl/>
              <w:spacing w:after="0" w:line="240" w:lineRule="auto"/>
            </w:pPr>
            <w:r>
              <w:rPr>
                <w:rFonts w:ascii="Aptos" w:hAnsi="Aptos"/>
                <w:sz w:val="16"/>
              </w:rPr>
              <w:t>Preserve and reconstruct communication/source timeline; obtain order and call timestamps; separate witnesses; investigate public availability and exact 89% dataset.</w:t>
            </w:r>
          </w:p>
        </w:tc>
      </w:tr>
      <w:tr>
        <w:tc>
          <w:tcPr>
            <w:tcW w:type="dxa" w:w="1901"/>
            <w:vAlign w:val="top"/>
            <w:tcMar>
              <w:top w:w="70" w:type="dxa"/>
              <w:start w:w="80" w:type="dxa"/>
              <w:bottom w:w="70" w:type="dxa"/>
              <w:end w:w="80" w:type="dxa"/>
            </w:tcMar>
            <w:shd w:fill="F7F9FB"/>
          </w:tcPr>
          <w:p>
            <w:pPr>
              <w:widowControl/>
              <w:spacing w:after="0" w:line="240" w:lineRule="auto"/>
            </w:pPr>
            <w:r>
              <w:rPr>
                <w:rFonts w:ascii="Aptos" w:hAnsi="Aptos"/>
                <w:b/>
                <w:sz w:val="16"/>
              </w:rPr>
              <w:t>Grayfield personal trading</w:t>
            </w:r>
          </w:p>
        </w:tc>
        <w:tc>
          <w:tcPr>
            <w:tcW w:type="dxa" w:w="4536"/>
            <w:vAlign w:val="top"/>
            <w:tcMar>
              <w:top w:w="70" w:type="dxa"/>
              <w:start w:w="80" w:type="dxa"/>
              <w:bottom w:w="70" w:type="dxa"/>
              <w:end w:w="80" w:type="dxa"/>
            </w:tcMar>
            <w:shd w:fill="F7F9FB"/>
          </w:tcPr>
          <w:p>
            <w:pPr>
              <w:widowControl/>
              <w:spacing w:after="0" w:line="240" w:lineRule="auto"/>
            </w:pPr>
            <w:r>
              <w:rPr>
                <w:rFonts w:ascii="Aptos" w:hAnsi="Aptos"/>
                <w:sz w:val="16"/>
              </w:rPr>
              <w:t>High policy risk. The Code requires written pre-clearance and prohibits personal trades during the client trading blackout. His March 5 buy and April 9 sale both occurred while the fund was trading VRDN; intake reports no pre-clearance.</w:t>
            </w:r>
          </w:p>
        </w:tc>
        <w:tc>
          <w:tcPr>
            <w:tcW w:type="dxa" w:w="4248"/>
            <w:vAlign w:val="top"/>
            <w:tcMar>
              <w:top w:w="70" w:type="dxa"/>
              <w:start w:w="80" w:type="dxa"/>
              <w:bottom w:w="70" w:type="dxa"/>
              <w:end w:w="80" w:type="dxa"/>
            </w:tcMar>
            <w:shd w:fill="F7F9FB"/>
          </w:tcPr>
          <w:p>
            <w:pPr>
              <w:widowControl/>
              <w:spacing w:after="0" w:line="240" w:lineRule="auto"/>
            </w:pPr>
            <w:r>
              <w:rPr>
                <w:rFonts w:ascii="Aptos" w:hAnsi="Aptos"/>
                <w:sz w:val="16"/>
              </w:rPr>
              <w:t>Obtain complete beneficial-ownership accounts and approvals; verify restricted/watch status and relationship disclosures; assess independent counsel.</w:t>
            </w:r>
          </w:p>
        </w:tc>
      </w:tr>
      <w:tr>
        <w:tc>
          <w:tcPr>
            <w:tcW w:type="dxa" w:w="1901"/>
            <w:vAlign w:val="top"/>
            <w:tcMar>
              <w:top w:w="70" w:type="dxa"/>
              <w:start w:w="80" w:type="dxa"/>
              <w:bottom w:w="70" w:type="dxa"/>
              <w:end w:w="80" w:type="dxa"/>
            </w:tcMar>
          </w:tcPr>
          <w:p>
            <w:pPr>
              <w:widowControl/>
              <w:spacing w:after="0" w:line="240" w:lineRule="auto"/>
            </w:pPr>
            <w:r>
              <w:rPr>
                <w:rFonts w:ascii="Aptos" w:hAnsi="Aptos"/>
                <w:b/>
                <w:sz w:val="16"/>
              </w:rPr>
              <w:t>Preservation / obstruction optics</w:t>
            </w:r>
          </w:p>
        </w:tc>
        <w:tc>
          <w:tcPr>
            <w:tcW w:type="dxa" w:w="4536"/>
            <w:vAlign w:val="top"/>
            <w:tcMar>
              <w:top w:w="70" w:type="dxa"/>
              <w:start w:w="80" w:type="dxa"/>
              <w:bottom w:w="70" w:type="dxa"/>
              <w:end w:w="80" w:type="dxa"/>
            </w:tcMar>
          </w:tcPr>
          <w:p>
            <w:pPr>
              <w:widowControl/>
              <w:spacing w:after="0" w:line="240" w:lineRule="auto"/>
            </w:pPr>
            <w:r>
              <w:rPr>
                <w:rFonts w:ascii="Aptos" w:hAnsi="Aptos"/>
                <w:sz w:val="16"/>
              </w:rPr>
              <w:t>High and time-sensitive. The old phone was traded May 20, after the May 15 SEC order and (per Tsao) her May 16 notice to Grayfield, before the June 6 hold. Zheng’s Signal auto-delete was known and not archived. Intent is unproven.</w:t>
            </w:r>
          </w:p>
        </w:tc>
        <w:tc>
          <w:tcPr>
            <w:tcW w:type="dxa" w:w="4248"/>
            <w:vAlign w:val="top"/>
            <w:tcMar>
              <w:top w:w="70" w:type="dxa"/>
              <w:start w:w="80" w:type="dxa"/>
              <w:bottom w:w="70" w:type="dxa"/>
              <w:end w:w="80" w:type="dxa"/>
            </w:tcMar>
          </w:tcPr>
          <w:p>
            <w:pPr>
              <w:widowControl/>
              <w:spacing w:after="0" w:line="240" w:lineRule="auto"/>
            </w:pPr>
            <w:r>
              <w:rPr>
                <w:rFonts w:ascii="Aptos" w:hAnsi="Aptos"/>
                <w:sz w:val="16"/>
              </w:rPr>
              <w:t>Forensic preservation and recovery; verify notice knowledge, device history, and data actually lost; make a prompt, accurate counsel-to-government disclosure after authentication and initial recovery steps.</w:t>
            </w:r>
          </w:p>
        </w:tc>
      </w:tr>
      <w:tr>
        <w:tc>
          <w:tcPr>
            <w:tcW w:type="dxa" w:w="1901"/>
            <w:vAlign w:val="top"/>
            <w:tcMar>
              <w:top w:w="70" w:type="dxa"/>
              <w:start w:w="80" w:type="dxa"/>
              <w:bottom w:w="70" w:type="dxa"/>
              <w:end w:w="80" w:type="dxa"/>
            </w:tcMar>
            <w:shd w:fill="F7F9FB"/>
          </w:tcPr>
          <w:p>
            <w:pPr>
              <w:widowControl/>
              <w:spacing w:after="0" w:line="240" w:lineRule="auto"/>
            </w:pPr>
            <w:r>
              <w:rPr>
                <w:rFonts w:ascii="Aptos" w:hAnsi="Aptos"/>
                <w:b/>
                <w:sz w:val="16"/>
              </w:rPr>
              <w:t>Subpoena validity / breadth</w:t>
            </w:r>
          </w:p>
        </w:tc>
        <w:tc>
          <w:tcPr>
            <w:tcW w:type="dxa" w:w="4536"/>
            <w:vAlign w:val="top"/>
            <w:tcMar>
              <w:top w:w="70" w:type="dxa"/>
              <w:start w:w="80" w:type="dxa"/>
              <w:bottom w:w="70" w:type="dxa"/>
              <w:end w:w="80" w:type="dxa"/>
            </w:tcMar>
            <w:shd w:fill="F7F9FB"/>
          </w:tcPr>
          <w:p>
            <w:pPr>
              <w:widowControl/>
              <w:spacing w:after="0" w:line="240" w:lineRule="auto"/>
            </w:pPr>
            <w:r>
              <w:rPr>
                <w:rFonts w:ascii="Aptos" w:hAnsi="Aptos"/>
                <w:sz w:val="16"/>
              </w:rPr>
              <w:t>Facial defects require authentication; Requests 8–18 and the 11 testimony topics reach far beyond VRDN and include all affiliates, investor information, tax returns, personal accounts, and future/rolling duties.</w:t>
            </w:r>
          </w:p>
        </w:tc>
        <w:tc>
          <w:tcPr>
            <w:tcW w:type="dxa" w:w="4248"/>
            <w:vAlign w:val="top"/>
            <w:tcMar>
              <w:top w:w="70" w:type="dxa"/>
              <w:start w:w="80" w:type="dxa"/>
              <w:bottom w:w="70" w:type="dxa"/>
              <w:end w:w="80" w:type="dxa"/>
            </w:tcMar>
            <w:shd w:fill="F7F9FB"/>
          </w:tcPr>
          <w:p>
            <w:pPr>
              <w:widowControl/>
              <w:spacing w:after="0" w:line="240" w:lineRule="auto"/>
            </w:pPr>
            <w:r>
              <w:rPr>
                <w:rFonts w:ascii="Aptos" w:hAnsi="Aptos"/>
                <w:sz w:val="16"/>
              </w:rPr>
              <w:t>Preserve; verify signature/authority/service; seek extension and narrowed scope; move to quash/modify if negotiations fail.</w:t>
            </w:r>
          </w:p>
        </w:tc>
      </w:tr>
      <w:tr>
        <w:tc>
          <w:tcPr>
            <w:tcW w:type="dxa" w:w="1901"/>
            <w:vAlign w:val="top"/>
            <w:tcMar>
              <w:top w:w="70" w:type="dxa"/>
              <w:start w:w="80" w:type="dxa"/>
              <w:bottom w:w="70" w:type="dxa"/>
              <w:end w:w="80" w:type="dxa"/>
            </w:tcMar>
          </w:tcPr>
          <w:p>
            <w:pPr>
              <w:widowControl/>
              <w:spacing w:after="0" w:line="240" w:lineRule="auto"/>
            </w:pPr>
            <w:r>
              <w:rPr>
                <w:rFonts w:ascii="Aptos" w:hAnsi="Aptos"/>
                <w:b/>
                <w:sz w:val="16"/>
              </w:rPr>
              <w:t>Conflicts / representation</w:t>
            </w:r>
          </w:p>
        </w:tc>
        <w:tc>
          <w:tcPr>
            <w:tcW w:type="dxa" w:w="4536"/>
            <w:vAlign w:val="top"/>
            <w:tcMar>
              <w:top w:w="70" w:type="dxa"/>
              <w:start w:w="80" w:type="dxa"/>
              <w:bottom w:w="70" w:type="dxa"/>
              <w:end w:w="80" w:type="dxa"/>
            </w:tcMar>
          </w:tcPr>
          <w:p>
            <w:pPr>
              <w:widowControl/>
              <w:spacing w:after="0" w:line="240" w:lineRule="auto"/>
            </w:pPr>
            <w:r>
              <w:rPr>
                <w:rFonts w:ascii="Aptos" w:hAnsi="Aptos"/>
                <w:sz w:val="16"/>
              </w:rPr>
              <w:t>Entity’s defense may differ from Grayfield’s defense; personal trading, the call, device trade-in, and senior-personnel control are individual issues. Zheng may also face a separate subpoena.</w:t>
            </w:r>
          </w:p>
        </w:tc>
        <w:tc>
          <w:tcPr>
            <w:tcW w:type="dxa" w:w="4248"/>
            <w:vAlign w:val="top"/>
            <w:tcMar>
              <w:top w:w="70" w:type="dxa"/>
              <w:start w:w="80" w:type="dxa"/>
              <w:bottom w:w="70" w:type="dxa"/>
              <w:end w:w="80" w:type="dxa"/>
            </w:tcMar>
          </w:tcPr>
          <w:p>
            <w:pPr>
              <w:widowControl/>
              <w:spacing w:after="0" w:line="240" w:lineRule="auto"/>
            </w:pPr>
            <w:r>
              <w:rPr>
                <w:rFonts w:ascii="Aptos" w:hAnsi="Aptos"/>
                <w:sz w:val="16"/>
              </w:rPr>
              <w:t>No joint entity/Grayfield representation on this record. Separate individual counsel and Upjohn warnings.</w:t>
            </w:r>
          </w:p>
        </w:tc>
      </w:tr>
      <w:tr>
        <w:tc>
          <w:tcPr>
            <w:tcW w:type="dxa" w:w="1901"/>
            <w:vAlign w:val="top"/>
            <w:tcMar>
              <w:top w:w="70" w:type="dxa"/>
              <w:start w:w="80" w:type="dxa"/>
              <w:bottom w:w="70" w:type="dxa"/>
              <w:end w:w="80" w:type="dxa"/>
            </w:tcMar>
            <w:shd w:fill="F7F9FB"/>
          </w:tcPr>
          <w:p>
            <w:pPr>
              <w:widowControl/>
              <w:spacing w:after="0" w:line="240" w:lineRule="auto"/>
            </w:pPr>
            <w:r>
              <w:rPr>
                <w:rFonts w:ascii="Aptos" w:hAnsi="Aptos"/>
                <w:b/>
                <w:sz w:val="16"/>
              </w:rPr>
              <w:t>Record reliability / P&amp;L</w:t>
            </w:r>
          </w:p>
        </w:tc>
        <w:tc>
          <w:tcPr>
            <w:tcW w:type="dxa" w:w="4536"/>
            <w:vAlign w:val="top"/>
            <w:tcMar>
              <w:top w:w="70" w:type="dxa"/>
              <w:start w:w="80" w:type="dxa"/>
              <w:bottom w:w="70" w:type="dxa"/>
              <w:end w:w="80" w:type="dxa"/>
            </w:tcMar>
            <w:shd w:fill="F7F9FB"/>
          </w:tcPr>
          <w:p>
            <w:pPr>
              <w:widowControl/>
              <w:spacing w:after="0" w:line="240" w:lineRule="auto"/>
            </w:pPr>
            <w:r>
              <w:rPr>
                <w:rFonts w:ascii="Aptos" w:hAnsi="Aptos"/>
                <w:sz w:val="16"/>
              </w:rPr>
              <w:t>Material mismatch between raw-row sums and summaries; purchase, sale, FIFO, P&amp;L, trade date, and share-count narratives do not reconcile.</w:t>
            </w:r>
          </w:p>
        </w:tc>
        <w:tc>
          <w:tcPr>
            <w:tcW w:type="dxa" w:w="4248"/>
            <w:vAlign w:val="top"/>
            <w:tcMar>
              <w:top w:w="70" w:type="dxa"/>
              <w:start w:w="80" w:type="dxa"/>
              <w:bottom w:w="70" w:type="dxa"/>
              <w:end w:w="80" w:type="dxa"/>
            </w:tcMar>
            <w:shd w:fill="F7F9FB"/>
          </w:tcPr>
          <w:p>
            <w:pPr>
              <w:widowControl/>
              <w:spacing w:after="0" w:line="240" w:lineRule="auto"/>
            </w:pPr>
            <w:r>
              <w:rPr>
                <w:rFonts w:ascii="Aptos" w:hAnsi="Aptos"/>
                <w:sz w:val="16"/>
              </w:rPr>
              <w:t>Rebuild from broker confirms, OMS audit logs, clearing/cash, and personal statements. No “disgorgement” or profit number should be adopted yet.</w:t>
            </w:r>
          </w:p>
        </w:tc>
      </w:tr>
      <w:tr>
        <w:tc>
          <w:tcPr>
            <w:tcW w:type="dxa" w:w="1901"/>
            <w:vAlign w:val="top"/>
            <w:tcMar>
              <w:top w:w="70" w:type="dxa"/>
              <w:start w:w="80" w:type="dxa"/>
              <w:bottom w:w="70" w:type="dxa"/>
              <w:end w:w="80" w:type="dxa"/>
            </w:tcMar>
          </w:tcPr>
          <w:p>
            <w:pPr>
              <w:widowControl/>
              <w:spacing w:after="0" w:line="240" w:lineRule="auto"/>
            </w:pPr>
            <w:r>
              <w:rPr>
                <w:rFonts w:ascii="Aptos" w:hAnsi="Aptos"/>
                <w:b/>
                <w:sz w:val="16"/>
              </w:rPr>
              <w:t>Privilege</w:t>
            </w:r>
          </w:p>
        </w:tc>
        <w:tc>
          <w:tcPr>
            <w:tcW w:type="dxa" w:w="4536"/>
            <w:vAlign w:val="top"/>
            <w:tcMar>
              <w:top w:w="70" w:type="dxa"/>
              <w:start w:w="80" w:type="dxa"/>
              <w:bottom w:w="70" w:type="dxa"/>
              <w:end w:w="80" w:type="dxa"/>
            </w:tcMar>
          </w:tcPr>
          <w:p>
            <w:pPr>
              <w:widowControl/>
              <w:spacing w:after="0" w:line="240" w:lineRule="auto"/>
            </w:pPr>
            <w:r>
              <w:rPr>
                <w:rFonts w:ascii="Aptos" w:hAnsi="Aptos"/>
                <w:sz w:val="16"/>
              </w:rPr>
              <w:t>Clearwater report is likely not privileged based on the present facts: a routine annual compliance audit directed by a nonlawyer CCO without attorney involvement. Later counsel-directed Ridgeline work may qualify as work product.</w:t>
            </w:r>
          </w:p>
        </w:tc>
        <w:tc>
          <w:tcPr>
            <w:tcW w:type="dxa" w:w="4248"/>
            <w:vAlign w:val="top"/>
            <w:tcMar>
              <w:top w:w="70" w:type="dxa"/>
              <w:start w:w="80" w:type="dxa"/>
              <w:bottom w:w="70" w:type="dxa"/>
              <w:end w:w="80" w:type="dxa"/>
            </w:tcMar>
          </w:tcPr>
          <w:p>
            <w:pPr>
              <w:widowControl/>
              <w:spacing w:after="0" w:line="240" w:lineRule="auto"/>
            </w:pPr>
            <w:r>
              <w:rPr>
                <w:rFonts w:ascii="Aptos" w:hAnsi="Aptos"/>
                <w:sz w:val="16"/>
              </w:rPr>
              <w:t>Separate historical consultant material from counsel’s later forensic analysis; review communications and log only supportable claims.</w:t>
            </w:r>
          </w:p>
        </w:tc>
      </w:tr>
    </w:tbl>
    <w:p>
      <w:pPr>
        <w:spacing w:after="0"/>
      </w:pPr>
    </w:p>
    <w:p>
      <w:pPr>
        <w:pStyle w:val="Heading1"/>
      </w:pPr>
      <w:r>
        <w:t>III. Subpoena: authenticity, scope, and procedural response</w:t>
      </w:r>
    </w:p>
    <w:p>
      <w:pPr>
        <w:pStyle w:val="Heading2"/>
      </w:pPr>
      <w:r>
        <w:t>A. Authenticate before substantive contact; do not disregard</w:t>
      </w:r>
    </w:p>
    <w:p>
      <w:r>
        <w:rPr>
          <w:i w:val="0"/>
        </w:rPr>
        <w:t>Rule 17(a) permits issuance by the clerk or an attorney for the government. The text provided has a blank clerk/deputy-clerk execution line and a blank AUSA signature line, yet says “BY ORDER OF THE COURT”; it displays a placeholder for a court seal. The issuing line identifies “Jonathan Cromdale Consulting,” while the displayed email is jonathan.mercer@usdoj.gov. The proof of service leaves the server’s name and title blank. These are meaningful authenticity/execution questions, not a basis to ignore a document that was actually delivered to the registered agent.</w:t>
      </w:r>
    </w:p>
    <w:p>
      <w:r>
        <w:rPr>
          <w:i w:val="0"/>
        </w:rPr>
        <w:t>Inspect the exact served original (including any wet or electronic signature, seal, envelope, attachments, and version) and the agent’s receipt log. Verify the prosecutor’s identity, case number, subpoena authority, and return instructions using public SDNY/USAO contact information obtained independently. Do not send sensitive facts, the intake memo, or substantive objections to the email/number printed on the suspect copy until verified. If the instrument is genuine but unsigned, request a corrected instrument and reserve objections; if not genuine, escalate through verified official channels. Continue the preservation hold in either event.</w:t>
      </w:r>
    </w:p>
    <w:p>
      <w:r>
        <w:rPr>
          <w:i w:val="0"/>
        </w:rPr>
        <w:t>Service was reportedly personal delivery to Grayfield’s registered agent on June 5. Delivery to a duly authorized registered agent may be effective for the LLC; confirm the agent’s authority, the person who accepted it, and exactly what was delivered. A blank proof-of-service identity may weaken proof but does not necessarily undo actual notice. The subpoena purports to cover every “Related Entity, Fund, and Affiliate”; service on Grayfield Capital does not automatically establish possession, custody, or control over every separately organized affiliate, investor, or employee’s personal records.</w:t>
      </w:r>
    </w:p>
    <w:p>
      <w:pPr>
        <w:pStyle w:val="Heading2"/>
      </w:pPr>
      <w:r>
        <w:t>B. Rule 17(c) objections and proposed narrowing</w:t>
      </w:r>
    </w:p>
    <w:p>
      <w:r>
        <w:rPr>
          <w:i w:val="0"/>
        </w:rPr>
        <w:t>A grand jury’s investigative authority is broad. A subpoena is generally enforced unless it lacks a legitimate investigative purpose, seeks material with no reasonable possibility of relevance, or is unreasonably broad/oppressive; Rule 17(c)(2) authorizes quashing or modifying an unreasonable or oppressive subpoena. See Fed. R. Crim. P. 17(c)(2); United States v. R. Enterprises, Inc., 498 U.S. 292, 297–301 (1991). The strict Nixon trial-subpoena test should not be assumed to govern a grand-jury investigation in the same way. Still, the range here supports a burden, relevance, privacy, and control meet-and-confer.</w:t>
      </w:r>
    </w:p>
    <w:p>
      <w:r>
        <w:rPr>
          <w:i w:val="0"/>
        </w:rPr>
        <w:t>The directly relevant core is VRDN trading, decision-making, Ashford communications, the MNPI pathway, personal trading/pre-clearance, and preservation/SEC contacts. The subpoena’s catch-all definitions (“in whole or in part, directly or indirectly”), all formats including deleted ESI, and all Marcus-owned entities at a 10% threshold combine with “all documents” requests, 18 months of personal communications, every security traded, all fund flows, investor addresses/capital balances, all tax returns, and a continuing production obligation. Propose limits based on named custodians, VRDN/Veridian and related communications, funds that held/traded VRDN, reasonable date ranges, actual possession/custody/control, and proportionate investor/financial information. Request staged production and confidentiality safeguards for LP, personal, and tax data. Do not unilaterally redact or omit material pending agreement or court relief.</w:t>
      </w:r>
    </w:p>
    <w:p>
      <w:r>
        <w:rPr>
          <w:i w:val="0"/>
        </w:rPr>
        <w:t>A request for all 2024 federal and state returns is facially impossible as of June 2024 for a tax year still in progress (and 2024 returns would not ordinarily yet have been filed). Identify what actually exists, preserve it, and object to the prospective/impossible element. The purported continuing duty to supplement every 30 days until the AUSA releases the recipient is not a typical Rule 17 discovery regime; reserve the issue and offer a finite, agreed rolling schedule, with later requests handled by an additional subpoena if needed.</w:t>
      </w:r>
    </w:p>
    <w:p>
      <w:pPr>
        <w:pStyle w:val="Heading2"/>
      </w:pPr>
      <w:r>
        <w:t>C. Testimony command and Fifth Amendment issues</w:t>
      </w:r>
    </w:p>
    <w:p>
      <w:r>
        <w:rPr>
          <w:i w:val="0"/>
        </w:rPr>
        <w:t>Attachment B directs Grayfield Capital to “designate and produce” corporate representative(s) prepared to testify about 11 broad topics. Federal Rule of Criminal Procedure 17 does not provide the civil Rule 30(b)(6) mechanism under which an organization must designate and prepare a witness to give entity-attributed testimony after reasonable preparation. A corporation/LLC may be required to produce corporate records and appropriate custodians/individual witnesses may be subpoenaed, but this language appears to impose a collective, potentially indefinite preparation duty without naming any natural-person witness. Preserve an objection and ask the Government to identify the witness(es), topics, permissible scope, and whether it intends to subpoena individuals separately. The same-day document return and 2:00 p.m. testimony further supports sequencing and an extension.</w:t>
      </w:r>
    </w:p>
    <w:p>
      <w:r>
        <w:rPr>
          <w:i w:val="0"/>
        </w:rPr>
        <w:t>The subpoena to the entity does not itself make any employee the entity’s witness or compel a particular person who was not individually served to appear. The entity has no Fifth Amendment privilege; individual testimony is different. A natural person who is properly subpoenaed must appear and may assert a personal Fifth Amendment privilege question by question with personal counsel, if a good-faith basis exists. Corporate records ordinarily cannot be withheld on an individual custodian’s Fifth Amendment ground. See Braswell v. United States, 487 U.S. 99 (1988). Grayfield and Zheng’s separate subpoenas (reported in Tsao’s intake) require coordinated but independent individual-counsel planning; no one should make a blanket refusal or improvise testimony.</w:t>
      </w:r>
    </w:p>
    <w:p>
      <w:pPr>
        <w:pStyle w:val="Heading2"/>
      </w:pPr>
      <w:r>
        <w:t>D. Extension and production protocol</w:t>
      </w:r>
    </w:p>
    <w:p>
      <w:r>
        <w:rPr>
          <w:i w:val="0"/>
        </w:rPr>
        <w:t>The subpoena was issued June 3, served June 5, received internally June 6, and sets July 8 at 10:00 a.m. for production and 2:00 p.m. for testimony. In counsel’s first verified contact, request a written 30–45 day extension (or a date tied to an agreed phased collection), prompt agreement not to seek contempt while the parties negotiate, production first and any testimony later, and clarification that a corporate designation is not required. Explain only the actual volume and preservation work; do not offer premature merits narratives.</w:t>
      </w:r>
    </w:p>
    <w:p>
      <w:r>
        <w:rPr>
          <w:i w:val="0"/>
        </w:rPr>
        <w:t>Seek native production for spreadsheets/databases and other ESI where practicable, with metadata, extracted text, Bates numbering and a mutually agreed load-file protocol for image productions. Resolve custodians, deduplication, families/attachments, date ranges, encrypted messages, personal-device segregation, privilege logging, and treatment of SEC-confidential material. Request that personal investor/tax data be treated as confidential and used only for the investigation. Keep a hold on originals, but do not accept the subpoena’s requested written certification language until the search is complete; if given, certification should be accurate, qualified as appropriate, and signed only by a person with actual knowledge of the methodology and results.</w:t>
      </w:r>
    </w:p>
    <w:p>
      <w:pPr>
        <w:pStyle w:val="Heading1"/>
      </w:pPr>
      <w:r>
        <w:t>IV. Merits and key evidentiary issues</w:t>
      </w:r>
    </w:p>
    <w:p>
      <w:pPr>
        <w:pStyle w:val="Heading2"/>
      </w:pPr>
      <w:r>
        <w:t>A. Potential insider-trading / tipping theory</w:t>
      </w:r>
    </w:p>
    <w:p>
      <w:r>
        <w:rPr>
          <w:i w:val="0"/>
        </w:rPr>
        <w:t>The potential theories include trading while aware of MNPI under Exchange Act §10(b) and Rule 10b-5, a classical or misappropriation breach, and tipper-tippee liability. Under Dirks v. SEC, 463 U.S. 646 (1983), tipper liability turns on breach and personal benefit, and tippee liability requires knowledge of the breach; Rule 10b5-2, 17 C.F.R. §240.10b5-2, addresses duties of trust or confidence in specified relationships. The record must establish (at minimum) material nonpublic information, a duty/breach by the source or trader, the relevant person’s knowledge and use/connection to a trade, and the requisite scienter. The confidential 89% response-rate data reportedly shared at a March 3 SAB meeting could be material if not public; an SAB member bound by a Veridian NDA appears to owe a confidentiality duty to Veridian. The exact dataset, meeting content, data maturity, and when/what Veridian publicly disclosed remain unverified.</w:t>
      </w:r>
    </w:p>
    <w:p>
      <w:r>
        <w:rPr>
          <w:i w:val="0"/>
        </w:rPr>
        <w:t>If Ashford conveyed the data to Grayfield, a jury could infer a personal benefit from a gift of confidential information to a close family member/relative; Salman v. United States, 580 U.S. 39 (2016), treats a gift to a trading relative as sufficient personal benefit in the circumstances there. Grayfield is Ashford’s brother-in-law, rather than a sibling within the express family examples in Rule 10b5-2; do not assume an automatic presumption. The NDA and any history, agreement, confidentiality expectation, benefit, or repeated information-sharing matter. For a tippee theory, determine whether Grayfield knew or recklessly disregarded that the information was improperly disclosed. Zheng has no reported direct contact with Ashford, but a downstream tip through Grayfield remains a factual question.</w:t>
      </w:r>
    </w:p>
    <w:p>
      <w:r>
        <w:rPr>
          <w:i w:val="0"/>
        </w:rPr>
        <w:t>The present chronology is damaging circumstantial evidence but not proof of a tip: (i) March 3 confidential SAB meeting and reported 89% data; (ii) March 4 first 45,000 fund shares (25,000 and 20,000 lots; the intake characterizes the first day/week in a different way); (iii) March 5 Grayfield’s 15,000-share personal buy; (iv) March 12 Ashford–Grayfield 22-minute call and a fund 25,000-share buy that the OMS note calls an “increased order size” day; (v) further accumulation to 550,000 shares by April 5; and (vi) sales beginning on April 8 approval day. Obtain trade-order-entry, execution, allocation, and call timestamps—date-only records cannot establish sequence. Retrieve all Ashford/Grayfield direct and indirect communications and determine what was said, what data was public, and whether the call was a routine family call.</w:t>
      </w:r>
    </w:p>
    <w:p>
      <w:r>
        <w:rPr>
          <w:i w:val="0"/>
        </w:rPr>
        <w:t>Evidence that could support a legitimate-public-information defense includes Zheng’s pre-March 3 tracking and thesis, contemporaneous public research, the March 14 IC memo, and the March 11–25 emails describing clinical data, competing products, and position sizing. That record is not yet a safe answer: the email and memo contain material inconsistencies noted below, and they were authored/approved after the first purchases. Establish the dated source materials, access logs, drafts, author inputs, and who knew the Ashford relationship and SAB role when each decision was made. A statement of “independent research” is not self-proving.</w:t>
      </w:r>
    </w:p>
    <w:p>
      <w:r>
        <w:rPr>
          <w:i w:val="0"/>
        </w:rPr>
        <w:t>The April 2 public 8-K reportedly announced positive topline results and VRDN rose about 4%; the April 8 FDA approval reportedly drove a roughly 47% rise. The fund continued buying through April 5, then sold 400,000 shares over April 8–12 and retained 150,000; Grayfield personally sold 10,000 on April 9 and retained 5,000. The IC memo’s exit strategy contemplated reducing 60–75% within the first week after approval, broadly consistent with the actual 400,000/550,000 sale. This is relevant to motive, profit, and timing, but not dispositive of prior MNPI use.</w:t>
      </w:r>
    </w:p>
    <w:p>
      <w:pPr>
        <w:pStyle w:val="Heading2"/>
      </w:pPr>
      <w:r>
        <w:t>B. Personal trading and control failures</w:t>
      </w:r>
    </w:p>
    <w:p>
      <w:r>
        <w:rPr>
          <w:i w:val="0"/>
        </w:rPr>
        <w:t>Grayfield is expressly an Access Person under the Code. The reported March 5 purchase (15,000 shares at $41.90; $628,500 cost) and April 9 sale (10,000 at $60.50; $605,000 proceeds; $186,000 stated gross profit) are Covered Securities transactions in a Reportable Account. Tsao says neither was pre-cleared. The Code requires prior written approval at least one business day before a trade and requires duplicate statements/confirmations. Obtain the portal/email logs and Fielding &amp; Strauss statements rather than relying on the intake summary.</w:t>
      </w:r>
    </w:p>
    <w:p>
      <w:r>
        <w:rPr>
          <w:i w:val="0"/>
        </w:rPr>
        <w:t>Separately, the Code’s Blackout Period starts when an investment decision is communicated and extends until two business days after the Firm has completed trading in the same security for all client accounts. The fund was trading VRDN from March 4 through April 12; on the stated dates both Grayfield’s March 5 buy and April 9 sale occurred during fund trading (and the buy followed the fund’s initial trades). Subject to confirming the operative policy/version and exact trade dates, both appear to violate the written blackout even apart from any MNPI. Check whether the restricted/watch list, required family-relationship disclosure, and any exposure report were completed; the IC memo’s assertion that VRDN was not on either list is not a substitute for those records.</w:t>
      </w:r>
    </w:p>
    <w:p>
      <w:r>
        <w:rPr>
          <w:i w:val="0"/>
        </w:rPr>
        <w:t>Clearwater’s November 2023 audit reports 38 of 247 sampled trades (15.4%) without timely documented pre-clearance; 12 of the 23 senior-personnel misses were Grayfield’s, and 7 were never documented by audit close. It records Grayfield describing the requirement as “more of a formality,” resistance to oversight, and missed training. This is relevant to the adequacy of the firm’s compliance program, notice/intent, and credibility; it also gives Grayfield an individual-versus-entity defense conflict. The audit predates the trades at issue, so it cannot by itself prove the later trades were unapproved, but makes historical pre-clearance records central. The audit’s findings and the known off-channel gap also create potential independent adviser-compliance exposure under Advisers Act §§204A and 206(4)-7 and the books-and-records rule, 17 C.F.R. §275.204-2, apart from any insider-trading case; the entity should not assume the investigation will be confined to individuals.</w:t>
      </w:r>
    </w:p>
    <w:p>
      <w:pPr>
        <w:pStyle w:val="Heading2"/>
      </w:pPr>
      <w:r>
        <w:t>C. Factual inconsistencies to resolve before any narrative</w:t>
      </w:r>
    </w:p>
    <w:tbl>
      <w:tblPr>
        <w:tblStyle w:val="TableGrid"/>
        <w:tblW w:type="auto" w:w="0"/>
        <w:jc w:val="center"/>
        <w:tblLayout w:type="fixed"/>
        <w:tblLook w:firstColumn="1" w:firstRow="1" w:lastColumn="0" w:lastRow="0" w:noHBand="0" w:noVBand="1" w:val="04A0"/>
      </w:tblPr>
      <w:tblGrid>
        <w:gridCol w:w="3672"/>
        <w:gridCol w:w="7013"/>
      </w:tblGrid>
      <w:tr>
        <w:trPr>
          <w:tblHeader w:val="true"/>
        </w:trPr>
        <w:tc>
          <w:tcPr>
            <w:tcW w:type="dxa" w:w="4997"/>
            <w:shd w:fill="17365D"/>
            <w:tcMar>
              <w:top w:w="70" w:type="dxa"/>
              <w:start w:w="80" w:type="dxa"/>
              <w:bottom w:w="70" w:type="dxa"/>
              <w:end w:w="80" w:type="dxa"/>
            </w:tcMar>
            <w:vAlign w:val="center"/>
          </w:tcPr>
          <w:p>
            <w:pPr>
              <w:widowControl/>
              <w:spacing w:after="0"/>
            </w:pPr>
            <w:r>
              <w:rPr>
                <w:rFonts w:ascii="Aptos" w:hAnsi="Aptos"/>
                <w:b/>
                <w:color w:val="FFFFFF"/>
                <w:sz w:val="16"/>
              </w:rPr>
              <w:t>Record discrepancy</w:t>
            </w:r>
          </w:p>
        </w:tc>
        <w:tc>
          <w:tcPr>
            <w:tcW w:type="dxa" w:w="4997"/>
            <w:shd w:fill="17365D"/>
            <w:tcMar>
              <w:top w:w="70" w:type="dxa"/>
              <w:start w:w="80" w:type="dxa"/>
              <w:bottom w:w="70" w:type="dxa"/>
              <w:end w:w="80" w:type="dxa"/>
            </w:tcMar>
            <w:vAlign w:val="center"/>
          </w:tcPr>
          <w:p>
            <w:pPr>
              <w:widowControl/>
              <w:spacing w:after="0"/>
            </w:pPr>
            <w:r>
              <w:rPr>
                <w:rFonts w:ascii="Aptos" w:hAnsi="Aptos"/>
                <w:b/>
                <w:color w:val="FFFFFF"/>
                <w:sz w:val="16"/>
              </w:rPr>
              <w:t>Why it matters / action</w:t>
            </w:r>
          </w:p>
        </w:tc>
      </w:tr>
      <w:tr>
        <w:tc>
          <w:tcPr>
            <w:tcW w:type="dxa" w:w="3672"/>
            <w:vAlign w:val="top"/>
            <w:tcMar>
              <w:top w:w="70" w:type="dxa"/>
              <w:start w:w="80" w:type="dxa"/>
              <w:bottom w:w="70" w:type="dxa"/>
              <w:end w:w="80" w:type="dxa"/>
            </w:tcMar>
          </w:tcPr>
          <w:p>
            <w:pPr>
              <w:widowControl/>
              <w:spacing w:after="0" w:line="240" w:lineRule="auto"/>
            </w:pPr>
            <w:r>
              <w:rPr>
                <w:rFonts w:ascii="Aptos" w:hAnsi="Aptos"/>
                <w:b/>
                <w:sz w:val="16"/>
              </w:rPr>
              <w:t>Research basis: Zheng’s March 11 email says “Phase 3” data published in JCO and a trial met its primary endpoint; the March 14 IC memo describes a pivotal single-arm Phase 2 and public Phase 1/1b ORR of about 73%.</w:t>
            </w:r>
          </w:p>
        </w:tc>
        <w:tc>
          <w:tcPr>
            <w:tcW w:type="dxa" w:w="7013"/>
            <w:vAlign w:val="top"/>
            <w:tcMar>
              <w:top w:w="70" w:type="dxa"/>
              <w:start w:w="80" w:type="dxa"/>
              <w:bottom w:w="70" w:type="dxa"/>
              <w:end w:w="80" w:type="dxa"/>
            </w:tcMar>
          </w:tcPr>
          <w:p>
            <w:pPr>
              <w:widowControl/>
              <w:spacing w:after="0" w:line="240" w:lineRule="auto"/>
            </w:pPr>
            <w:r>
              <w:rPr>
                <w:rFonts w:ascii="Aptos" w:hAnsi="Aptos"/>
                <w:sz w:val="16"/>
              </w:rPr>
              <w:t>Identify the precise study, public publication/abstract, source and date, and whether 89% was discussed or used. Preserve each draft and source. Do not adopt “public data only” until reconciled.</w:t>
            </w:r>
          </w:p>
        </w:tc>
      </w:tr>
      <w:tr>
        <w:tc>
          <w:tcPr>
            <w:tcW w:type="dxa" w:w="3672"/>
            <w:vAlign w:val="top"/>
            <w:tcMar>
              <w:top w:w="70" w:type="dxa"/>
              <w:start w:w="80" w:type="dxa"/>
              <w:bottom w:w="70" w:type="dxa"/>
              <w:end w:w="80" w:type="dxa"/>
            </w:tcMar>
            <w:shd w:fill="F7F9FB"/>
          </w:tcPr>
          <w:p>
            <w:pPr>
              <w:widowControl/>
              <w:spacing w:after="0" w:line="240" w:lineRule="auto"/>
            </w:pPr>
            <w:r>
              <w:rPr>
                <w:rFonts w:ascii="Aptos" w:hAnsi="Aptos"/>
                <w:b/>
                <w:sz w:val="16"/>
              </w:rPr>
              <w:t>Probability: March 11 email estimates approval at 60–65%; March 14 memo says 70–75%.</w:t>
            </w:r>
          </w:p>
        </w:tc>
        <w:tc>
          <w:tcPr>
            <w:tcW w:type="dxa" w:w="7013"/>
            <w:vAlign w:val="top"/>
            <w:tcMar>
              <w:top w:w="70" w:type="dxa"/>
              <w:start w:w="80" w:type="dxa"/>
              <w:bottom w:w="70" w:type="dxa"/>
              <w:end w:w="80" w:type="dxa"/>
            </w:tcMar>
            <w:shd w:fill="F7F9FB"/>
          </w:tcPr>
          <w:p>
            <w:pPr>
              <w:widowControl/>
              <w:spacing w:after="0" w:line="240" w:lineRule="auto"/>
            </w:pPr>
            <w:r>
              <w:rPr>
                <w:rFonts w:ascii="Aptos" w:hAnsi="Aptos"/>
                <w:sz w:val="16"/>
              </w:rPr>
              <w:t>Trace the change, inputs, date of information, author notes, and any communications immediately before the memo. This may be ordinary refinement, but needs contemporaneous support.</w:t>
            </w:r>
          </w:p>
        </w:tc>
      </w:tr>
      <w:tr>
        <w:tc>
          <w:tcPr>
            <w:tcW w:type="dxa" w:w="3672"/>
            <w:vAlign w:val="top"/>
            <w:tcMar>
              <w:top w:w="70" w:type="dxa"/>
              <w:start w:w="80" w:type="dxa"/>
              <w:bottom w:w="70" w:type="dxa"/>
              <w:end w:w="80" w:type="dxa"/>
            </w:tcMar>
          </w:tcPr>
          <w:p>
            <w:pPr>
              <w:widowControl/>
              <w:spacing w:after="0" w:line="240" w:lineRule="auto"/>
            </w:pPr>
            <w:r>
              <w:rPr>
                <w:rFonts w:ascii="Aptos" w:hAnsi="Aptos"/>
                <w:b/>
                <w:sz w:val="16"/>
              </w:rPr>
              <w:t>Trading position/date: March 14 memo and Zheng’s March 14 5:22 p.m. email say 205,000 shares/current 120,000 March 11–15 purchases; blotter shows 185,000 through March 14 and 205,000 only after a March 15 20,000-share purchase.</w:t>
            </w:r>
          </w:p>
        </w:tc>
        <w:tc>
          <w:tcPr>
            <w:tcW w:type="dxa" w:w="7013"/>
            <w:vAlign w:val="top"/>
            <w:tcMar>
              <w:top w:w="70" w:type="dxa"/>
              <w:start w:w="80" w:type="dxa"/>
              <w:bottom w:w="70" w:type="dxa"/>
              <w:end w:w="80" w:type="dxa"/>
            </w:tcMar>
          </w:tcPr>
          <w:p>
            <w:pPr>
              <w:widowControl/>
              <w:spacing w:after="0" w:line="240" w:lineRule="auto"/>
            </w:pPr>
            <w:r>
              <w:rPr>
                <w:rFonts w:ascii="Aptos" w:hAnsi="Aptos"/>
                <w:sz w:val="16"/>
              </w:rPr>
              <w:t>Reconcile execution and as-of cutoffs, order date vs trade date, approval date, and memo version/approval signatures. Preserve metadata; do not backdate or “fix” documents.</w:t>
            </w:r>
          </w:p>
        </w:tc>
      </w:tr>
      <w:tr>
        <w:tc>
          <w:tcPr>
            <w:tcW w:type="dxa" w:w="3672"/>
            <w:vAlign w:val="top"/>
            <w:tcMar>
              <w:top w:w="70" w:type="dxa"/>
              <w:start w:w="80" w:type="dxa"/>
              <w:bottom w:w="70" w:type="dxa"/>
              <w:end w:w="80" w:type="dxa"/>
            </w:tcMar>
            <w:shd w:fill="F7F9FB"/>
          </w:tcPr>
          <w:p>
            <w:pPr>
              <w:widowControl/>
              <w:spacing w:after="0" w:line="240" w:lineRule="auto"/>
            </w:pPr>
            <w:r>
              <w:rPr>
                <w:rFonts w:ascii="Aptos" w:hAnsi="Aptos"/>
                <w:b/>
                <w:sz w:val="16"/>
              </w:rPr>
              <w:t>Trading volume: IC memo states VRDN average daily volume about 120,000–150,000 shares; Zheng’s March 11 email says 1.8–2.2 million shares/day, and March 25 says about 2 million/day.</w:t>
            </w:r>
          </w:p>
        </w:tc>
        <w:tc>
          <w:tcPr>
            <w:tcW w:type="dxa" w:w="7013"/>
            <w:vAlign w:val="top"/>
            <w:tcMar>
              <w:top w:w="70" w:type="dxa"/>
              <w:start w:w="80" w:type="dxa"/>
              <w:bottom w:w="70" w:type="dxa"/>
              <w:end w:w="80" w:type="dxa"/>
            </w:tcMar>
            <w:shd w:fill="F7F9FB"/>
          </w:tcPr>
          <w:p>
            <w:pPr>
              <w:widowControl/>
              <w:spacing w:after="0" w:line="240" w:lineRule="auto"/>
            </w:pPr>
            <w:r>
              <w:rPr>
                <w:rFonts w:ascii="Aptos" w:hAnsi="Aptos"/>
                <w:sz w:val="16"/>
              </w:rPr>
              <w:t>Verify official historic volume and whether the memo has a decimal/unit error. It bears on market-impact assertions, sourcing, and credibility.</w:t>
            </w:r>
          </w:p>
        </w:tc>
      </w:tr>
      <w:tr>
        <w:tc>
          <w:tcPr>
            <w:tcW w:type="dxa" w:w="3672"/>
            <w:vAlign w:val="top"/>
            <w:tcMar>
              <w:top w:w="70" w:type="dxa"/>
              <w:start w:w="80" w:type="dxa"/>
              <w:bottom w:w="70" w:type="dxa"/>
              <w:end w:w="80" w:type="dxa"/>
            </w:tcMar>
          </w:tcPr>
          <w:p>
            <w:pPr>
              <w:widowControl/>
              <w:spacing w:after="0" w:line="240" w:lineRule="auto"/>
            </w:pPr>
            <w:r>
              <w:rPr>
                <w:rFonts w:ascii="Aptos" w:hAnsi="Aptos"/>
                <w:b/>
                <w:sz w:val="16"/>
              </w:rPr>
              <w:t>Personal device model and knowledge: Mehta’s June 8 email says iPhone 14 Pro; Tsao’s June 7 intake says iPhone 13 Pro. Intake says Grayfield told Tsao he did not know of the SEC inquiry when he traded in the device, but also says Tsao emailed him about the investigation May 16; trade-in was May 20.</w:t>
            </w:r>
          </w:p>
        </w:tc>
        <w:tc>
          <w:tcPr>
            <w:tcW w:type="dxa" w:w="7013"/>
            <w:vAlign w:val="top"/>
            <w:tcMar>
              <w:top w:w="70" w:type="dxa"/>
              <w:start w:w="80" w:type="dxa"/>
              <w:bottom w:w="70" w:type="dxa"/>
              <w:end w:w="80" w:type="dxa"/>
            </w:tcMar>
          </w:tcPr>
          <w:p>
            <w:pPr>
              <w:widowControl/>
              <w:spacing w:after="0" w:line="240" w:lineRule="auto"/>
            </w:pPr>
            <w:r>
              <w:rPr>
                <w:rFonts w:ascii="Aptos" w:hAnsi="Aptos"/>
                <w:sz w:val="16"/>
              </w:rPr>
              <w:t>Confirm exact device from serial/receipt and review the actual May 16 email, delivery/open data, and Grayfield’s account. Do not characterize the trade-in as innocent or intentional before resolving this contradiction.</w:t>
            </w:r>
          </w:p>
        </w:tc>
      </w:tr>
      <w:tr>
        <w:tc>
          <w:tcPr>
            <w:tcW w:type="dxa" w:w="3672"/>
            <w:vAlign w:val="top"/>
            <w:tcMar>
              <w:top w:w="70" w:type="dxa"/>
              <w:start w:w="80" w:type="dxa"/>
              <w:bottom w:w="70" w:type="dxa"/>
              <w:end w:w="80" w:type="dxa"/>
            </w:tcMar>
            <w:shd w:fill="F7F9FB"/>
          </w:tcPr>
          <w:p>
            <w:pPr>
              <w:widowControl/>
              <w:spacing w:after="0" w:line="240" w:lineRule="auto"/>
            </w:pPr>
            <w:r>
              <w:rPr>
                <w:rFonts w:ascii="Aptos" w:hAnsi="Aptos"/>
                <w:b/>
                <w:sz w:val="16"/>
              </w:rPr>
              <w:t>Fund P&amp;L / trade totals: see Section VI below.</w:t>
            </w:r>
          </w:p>
        </w:tc>
        <w:tc>
          <w:tcPr>
            <w:tcW w:type="dxa" w:w="7013"/>
            <w:vAlign w:val="top"/>
            <w:tcMar>
              <w:top w:w="70" w:type="dxa"/>
              <w:start w:w="80" w:type="dxa"/>
              <w:bottom w:w="70" w:type="dxa"/>
              <w:end w:w="80" w:type="dxa"/>
            </w:tcMar>
            <w:shd w:fill="F7F9FB"/>
          </w:tcPr>
          <w:p>
            <w:pPr>
              <w:widowControl/>
              <w:spacing w:after="0" w:line="240" w:lineRule="auto"/>
            </w:pPr>
            <w:r>
              <w:rPr>
                <w:rFonts w:ascii="Aptos" w:hAnsi="Aptos"/>
                <w:sz w:val="16"/>
              </w:rPr>
              <w:t>Current aggregate “$9,186,500” is not reliable as a final gain/proceeds calculation. Reconstruct from independent source data before any disclosure or certification.</w:t>
            </w:r>
          </w:p>
        </w:tc>
      </w:tr>
      <w:tr>
        <w:tc>
          <w:tcPr>
            <w:tcW w:type="dxa" w:w="3672"/>
            <w:vAlign w:val="top"/>
            <w:tcMar>
              <w:top w:w="70" w:type="dxa"/>
              <w:start w:w="80" w:type="dxa"/>
              <w:bottom w:w="70" w:type="dxa"/>
              <w:end w:w="80" w:type="dxa"/>
            </w:tcMar>
          </w:tcPr>
          <w:p>
            <w:pPr>
              <w:widowControl/>
              <w:spacing w:after="0" w:line="240" w:lineRule="auto"/>
            </w:pPr>
            <w:r>
              <w:rPr>
                <w:rFonts w:ascii="Aptos" w:hAnsi="Aptos"/>
                <w:b/>
                <w:sz w:val="16"/>
              </w:rPr>
              <w:t>Addresses/version control: materials use 599 Lexington and 605 Lexington; the Code says amended March 1, 2023 while the Clearwater report describes a February 2022 Code; intake says substantively updated in 2022.</w:t>
            </w:r>
          </w:p>
        </w:tc>
        <w:tc>
          <w:tcPr>
            <w:tcW w:type="dxa" w:w="7013"/>
            <w:vAlign w:val="top"/>
            <w:tcMar>
              <w:top w:w="70" w:type="dxa"/>
              <w:start w:w="80" w:type="dxa"/>
              <w:bottom w:w="70" w:type="dxa"/>
              <w:end w:w="80" w:type="dxa"/>
            </w:tcMar>
          </w:tcPr>
          <w:p>
            <w:pPr>
              <w:widowControl/>
              <w:spacing w:after="0" w:line="240" w:lineRule="auto"/>
            </w:pPr>
            <w:r>
              <w:rPr>
                <w:rFonts w:ascii="Aptos" w:hAnsi="Aptos"/>
                <w:sz w:val="16"/>
              </w:rPr>
              <w:t>Identify correct office/entity addresses and every policy version operative during March–April 2024, including sign-offs and amendments; preserve all copies and metadata.</w:t>
            </w:r>
          </w:p>
        </w:tc>
      </w:tr>
    </w:tbl>
    <w:p>
      <w:pPr>
        <w:spacing w:after="0"/>
      </w:pPr>
    </w:p>
    <w:p>
      <w:pPr>
        <w:pStyle w:val="Heading1"/>
      </w:pPr>
      <w:r>
        <w:t>V. Preservation, potential spoliation, and witness handling</w:t>
      </w:r>
    </w:p>
    <w:p>
      <w:pPr>
        <w:pStyle w:val="Heading2"/>
      </w:pPr>
      <w:r>
        <w:t>A. Grayfield phone: immediate recovery and candid fact development</w:t>
      </w:r>
    </w:p>
    <w:p>
      <w:r>
        <w:rPr>
          <w:i w:val="0"/>
        </w:rPr>
        <w:t>The June 6 preservation notice came after the May 20 trade-in. More importantly, Tsao’s intake says the SEC Formal Order issued/was served May 15 and she personally notified Grayfield by email May 16, while the device was surrendered May 20. Obtain the order and proof of service, the exact May 16 email and attachments, and evidence of receipt/read. The present record also conflicts on whether the old device was an iPhone 13 Pro or 14 Pro. The device transition appears inconsistent with Code VIII.C, which requires IT notice and final extraction before trade-in/disposal for a device used for business communications. Mehta says she helped set up the new phone and no recent iCloud backup was available; that does not establish that all synchronized or other backups are absent.</w:t>
      </w:r>
    </w:p>
    <w:p>
      <w:r>
        <w:rPr>
          <w:i w:val="0"/>
        </w:rPr>
        <w:t>Recovery checklist: (1) photograph and preserve the new phone; independent forensic acquisition before ordinary use; (2) inventory Apple ID, iCloud backup and separately synced Messages/Photos/Drive/Contacts, Apple Watch, iPad/Mac, local Finder/iTunes backups, linked apps, and notifications; (3) collect old-device serial/IMEI, purchase/trade-in paperwork, dates, Apple account records and any store/repair/recycling chain; promptly request preservation of device/data from Apple or any downstream holder through appropriate counsel process; (4) preserve carrier bills, call detail records, voicemail, and call logs (carrier records may not contain message content); (5) collect business emails/archives, Bloomberg, and any SMS/iMessage/Signal/WhatsApp/Telegram data on other endpoints and recipients; and (6) document what was and was not recoverable, when learned, and every remedial step. Do not represent to the Government that the old phone is irretrievable until these paths are tested.</w:t>
      </w:r>
    </w:p>
    <w:p>
      <w:r>
        <w:rPr>
          <w:i w:val="0"/>
        </w:rPr>
        <w:t>The destruction/trade-in timing creates potential spoliation and obstruction optics. A knowing, intentional effort to destroy or conceal evidence to impede a federal matter can implicate statutes such as 18 U.S.C. §1519; the current record does not establish that intent, and a routine upgrade is not itself proof of obstruction. The May 15/16 notice-to-May 20 chronology, disabled backup setting, and policy noncompliance must be investigated without suggesting answers or allowing any further device alteration. Once the subpoena is authenticated and recovery initiated, counsel should make a prompt, precise disclosure to the Government about the trade-in and remedial steps; do not wait for the Government to discover the gap or make an unqualified preservation representation.</w:t>
      </w:r>
    </w:p>
    <w:p>
      <w:pPr>
        <w:pStyle w:val="Heading2"/>
      </w:pPr>
      <w:r>
        <w:t>B. Zheng’s Signal and broader off-channel recordkeeping</w:t>
      </w:r>
    </w:p>
    <w:p>
      <w:r>
        <w:rPr>
          <w:i w:val="0"/>
        </w:rPr>
        <w:t>Tsao reports Zheng uses Signal as his primary personal messenger with 24-hour disappearing messages, that Grayfield knew about this use, and Smarsh does not capture Signal. Clearwater already found in 2023 that Smarsh did not capture Signal/WhatsApp/Telegram or personal devices, that business use was known, and that no technical controls existed. The CCO’s own June 6 hold expressly reaches personal devices and messaging applications. This is an ongoing retention and hold risk, not merely a collection issue after the messages disappear.</w:t>
      </w:r>
    </w:p>
    <w:p>
      <w:r>
        <w:rPr>
          <w:i w:val="0"/>
        </w:rPr>
        <w:t>Preserve the current handset, Signal registration/account data, all linked desktop devices, other participant devices/copies, available local/OS/cloud backups, notification databases, and any previously exported content. Because the 24-hour timer creates imminent ongoing loss, arrange same-day forensic capture; after capture, immediately stop the timer and prohibit business use on unarchived channels. If an examiner cannot act before the next expiry, counsel should direct and document the least altering practical measure to stop further deletion rather than allow evidence to disappear while waiting. Search other known users and business devices. Preserve the audit, vendor/IT communications, Code attestations, training, and any messages about using or deleting Signal. Record dates on which each person knew the channel was unarchived and the hold was in effect. Any lost data should be reported to counsel immediately and documented; no one should recreate, backfill, or delete messages.</w:t>
      </w:r>
    </w:p>
    <w:p>
      <w:pPr>
        <w:pStyle w:val="Heading2"/>
      </w:pPr>
      <w:r>
        <w:t>C. Hold administration / interviews</w:t>
      </w:r>
    </w:p>
    <w:p>
      <w:r>
        <w:rPr>
          <w:i w:val="0"/>
        </w:rPr>
        <w:t>The June 6 notice is broad, but the gap between the May 15 investigation order and June 6 company-wide hold needs explanation. Establish when the Firm received the SEC order, who received it, what preservation instructions (if any) were given before June 6, and whether auto-delete, mobile-management, backup, or routine retention continued in the interval. Issue individual acknowledgments and a custodian-by-system preservation matrix; suspend routine deletion, device reimaging, backup rotation and ephemeral settings; preserve originals, metadata, drafts and audit logs. Include Mehta, Zheng, Grayfield, Tsao, relevant trading/compliance/IT/research personnel, all IC members, custodians of the OMS and broker data, and any person who communicated with Ashford or Veridian. Do not assume Smarsh captures personal messages.</w:t>
      </w:r>
    </w:p>
    <w:p>
      <w:r>
        <w:rPr>
          <w:i w:val="0"/>
        </w:rPr>
        <w:t>Counsel should conduct interviews only after explaining that Whitfield &amp; Crane represents the entity, not the employee; the entity controls any corporate privilege and may disclose the communication; the employee may retain personal counsel; and no confidentiality promise is made on the entity’s behalf. Given Tsao’s role in the delayed hold, policy enforcement, prior audit, and notice to Grayfield, assess whether she needs separate counsel. Clarify in the hold that it does not bar anyone from consulting personal counsel, complying with a subpoena, or making legally protected communications; it is not a no-contact or no-cooperation directive.</w:t>
      </w:r>
    </w:p>
    <w:p>
      <w:pPr>
        <w:pStyle w:val="Heading1"/>
      </w:pPr>
      <w:r>
        <w:t>VI. Privilege, work product, and discoverable third-party material</w:t>
      </w:r>
    </w:p>
    <w:p>
      <w:pPr>
        <w:pStyle w:val="Heading2"/>
      </w:pPr>
      <w:r>
        <w:t>A. Clearwater audit (November 17, 2023)</w:t>
      </w:r>
    </w:p>
    <w:p>
      <w:r>
        <w:rPr>
          <w:i w:val="0"/>
        </w:rPr>
        <w:t>Request 14 expressly reaches all Clearwater documents; Request 5 reaches compliance records. On the supplied facts, the audit’s “PRIVILEGED AND CONFIDENTIAL—PREPARED AT THE DIRECTION OF COUNSEL” cover legend is not enough. Tsao says she, a nonlawyer CCO, commissioned/directed the review; no attorney directed, received, or oversaw it; it was addressed solely to her; and it was the Firm’s annual compliance review covering pre-clearance, Rule 204A-1, lists, archiving, and training. The report itself says it was an annual 2023 review and identifies a separate May training engagement. That looks primarily like ordinary compliance/business work rather than a confidential communication made to obtain legal advice.</w:t>
      </w:r>
    </w:p>
    <w:p>
      <w:r>
        <w:rPr>
          <w:i w:val="0"/>
        </w:rPr>
        <w:t>Work product also appears doubtful: the report predates the May 2024 SEC order and grand jury subpoena and arose in the routine annual-review cycle. A generalized awareness that compliance issues may have legal consequences ordinarily does not by itself make a business audit work product. Verify whether counsel’s direction or an anticipated enforcement matter existed in September–November 2023, the engagement letter and invoices, all Tsao/Clearwater communications, who received the report, and whether it was used for remediation. Do not claim blanket privilege based on the label. If specific attorney communications or counsel-directed material exist, assess those separately, prepare a narrow privilege log, and consider a protective/controlled production approach. Clearwater’s confidentiality disclaimer is not an evidentiary privilege.</w:t>
      </w:r>
    </w:p>
    <w:p>
      <w:r>
        <w:rPr>
          <w:i w:val="0"/>
        </w:rPr>
        <w:t>The report’s findings are adverse: senior-personnel pre-clearance failures, delayed restricted-list entries, off-channel messaging and incomplete senior training. It may be highly relevant to the entity’s compliance-program exposure and individual notice. Do not quote or paraphrase it selectively to the Government. Preserve the original report, appendices, underlying sample, engagement materials, interview notes, May 2023 training presentation, and remediation evidence.</w:t>
      </w:r>
    </w:p>
    <w:p>
      <w:pPr>
        <w:pStyle w:val="Heading2"/>
      </w:pPr>
      <w:r>
        <w:t>B. Ridgeline and other protected materials</w:t>
      </w:r>
    </w:p>
    <w:p>
      <w:r>
        <w:rPr>
          <w:i w:val="0"/>
        </w:rPr>
        <w:t>Ridgeline Forensic Accounting was retained June 10 by Whitfield &amp; Crane at counsel’s direction to assist with review and trade reconstruction. Its counsel-directed analyses, communications, and work files are materially stronger work-product candidates if created because of the investigation/litigation and not as ordinary books-and-records work. Keep counsel’s instructions, analysis, interview notes, and draft reports segregated and access-limited; do not mix them into business files or forward them to nonclients. The underlying OMS, confirmations, accounting books, and pre-existing source records remain independently discoverable; retaining an expert does not cloak the underlying facts or records. Evaluate any accountant-as-agent attorney-client theory narrowly and avoid assuming all accountant communications are privileged.</w:t>
      </w:r>
    </w:p>
    <w:p>
      <w:pPr>
        <w:pStyle w:val="Heading2"/>
      </w:pPr>
      <w:r>
        <w:t>C. SEC materials and March 23 email</w:t>
      </w:r>
    </w:p>
    <w:p>
      <w:r>
        <w:rPr>
          <w:i w:val="0"/>
        </w:rPr>
        <w:t>Request 7 asks for all SEC HO-14492 materials, productions, correspondence, Wells submissions and testimony. Review each item for attorney-client/work-product, personal privilege, protective orders, SEC confidentiality undertakings, third-party privacy, and transcript access restrictions. A prior SEC production or confidentiality agreement is not automatically a privilege and should not be treated as a categorical bar to this grand jury subpoena; seek counsel-to-counsel treatment and document any legitimate restriction. Do not reproduce withheld privileged SEC submissions without review.</w:t>
      </w:r>
    </w:p>
    <w:p>
      <w:r>
        <w:rPr>
          <w:i w:val="0"/>
        </w:rPr>
        <w:t>The March 23 Grayfield–Zheng “keep building” email (“Our thesis is right on this one. The data will speak for itself. Size up.”) is facially responsive to Requests 3 and 11 and relevant to decision-making. On the present facts it is an ordinary internal business communication, not privileged. There is no credible basis to withhold it merely because it is ambiguous or damaging. Preserve and produce the complete chain, attachments, metadata and related messages in context, subject only to a specific privilege review; do not alter, annotate, or provide an isolated excerpt.</w:t>
      </w:r>
    </w:p>
    <w:p>
      <w:pPr>
        <w:pStyle w:val="Heading1"/>
      </w:pPr>
      <w:r>
        <w:t>VII. Request-by-request production triage</w:t>
      </w:r>
    </w:p>
    <w:p>
      <w:r>
        <w:rPr>
          <w:i w:val="0"/>
        </w:rPr>
        <w:t>The proposed approach below is not a unilateral refusal. Preserve and collect the responsive core now; use a counsel meet-and-confer for narrowing and seek court relief before the return date if necessary. Apply attorney-client/work-product review to every category, but do not withhold ordinary business records solely because they are sensitive or marked confidential.</w:t>
      </w:r>
    </w:p>
    <w:tbl>
      <w:tblPr>
        <w:tblStyle w:val="TableGrid"/>
        <w:tblW w:type="auto" w:w="0"/>
        <w:jc w:val="center"/>
        <w:tblLayout w:type="fixed"/>
        <w:tblLook w:firstColumn="1" w:firstRow="1" w:lastColumn="0" w:lastRow="0" w:noHBand="0" w:noVBand="1" w:val="04A0"/>
      </w:tblPr>
      <w:tblGrid>
        <w:gridCol w:w="691"/>
        <w:gridCol w:w="8568"/>
        <w:gridCol w:w="1440"/>
      </w:tblGrid>
      <w:tr>
        <w:trPr>
          <w:tblHeader w:val="true"/>
        </w:trPr>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5"/>
              </w:rPr>
              <w:t>Req.</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5"/>
              </w:rPr>
              <w:t>Issue and recommended treatment</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5"/>
              </w:rPr>
              <w:t>Priority</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1</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VRDN trades; direct, high priority. Produce validated trade-level source data, order/allocation/settlement records; reconcile rows and summaries first.</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Core</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2</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Grayfield–Ashford communications; highest priority. Include calls, texts, app messages, calendars, notes, emails and recipient/linked-device copies; no reliance on email archive alone.</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Core</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3</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Veridian research/IC materials; direct. Include native drafts, source decks, underlying data and communications; privilege review.</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Core</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4</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Personal trading for four named people and “all” desk/decision personnel. Collect access-person reports, confirmations/statements; seek named-person/date/account limits and minimize unrelated household/private data.</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Narrow</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5</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Compliance/pre-clearance, restricted/watch, barriers, holdings, quarterly reports; direct. Preserve all versions, audit trails, exceptions, training and relationship disclosures.</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Core</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6</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Veridian personnel/consultant communications; direct but broad. Identify custodians and communications; include Ashford and anyone actually contacted; negotiate scope.</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Core / limit custodians</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7</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All SEC HO-14492/other inquiry material. Collect; item-by-item privilege, protective-order, confidentiality and transcript review.</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Review / log</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8</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All securities traded by Opportunity Fund; broad beyond VRDN. Provide VRDN-relevant account/order/flow records; propose limiting unrelated securities and date range; preserve entire blotter pending agreement.</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Narrow</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9</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Formation/governance of any Grayfield entity. Some structure/authority is relevant; seek limits to relevant funds/entities and responsible-person/control records. 10% personal-ownership trigger is especially broad.</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Narrow</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10</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All phone/cell/call/voicemail records for Grayfield and Zheng since 2023. Collect firm-controlled records and preserve personal devices; propose relevant numbers/time window/contact records; distinguish metadata from content.</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Narrow</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11</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All electronic messages for Grayfield/Zheng, business and personal, all platforms. Preserve immediately; targeted custodians, responsive business records, review personal-device privacy/privilege; include off-channel data.</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Core / narrow</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12</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Bank/wire/fund flows for every entity. Preserve; propose VRDN transaction/proceeds, fund accounts, relevant period and entities only; investor/private financial data needs protections.</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Narrow</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13</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Code and personal-trading policy versions, exceptions, training/certifications. Directly relevant; produce after privilege review and version reconciliation.</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Core</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14</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All Clearwater engagement/audit/training/correspondence. Likely nonprivileged audit; review discrete counsel material and log only supportable claims.</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Produce / limited privilege</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15</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Opportunity Fund investor identities, addresses, commitments and balances 2022–24. Likely sensitive and attenuated; request basis, limit to necessary investor/control information, propose confidentiality protection.</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Object / narrow</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16</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All entity tax returns, schedules and K-1s for 2022–24. Broad, highly sensitive; 2024 returns not yet available as of June 2024. Preserve existing records, state what exists, seek entity/tax-year/relevance limits and protections.</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Object / narrow</w:t>
            </w:r>
          </w:p>
        </w:tc>
      </w:tr>
      <w:tr>
        <w:tc>
          <w:tcPr>
            <w:tcW w:type="dxa" w:w="691"/>
            <w:vAlign w:val="top"/>
            <w:tcMar>
              <w:top w:w="70" w:type="dxa"/>
              <w:start w:w="80" w:type="dxa"/>
              <w:bottom w:w="70" w:type="dxa"/>
              <w:end w:w="80" w:type="dxa"/>
            </w:tcMar>
          </w:tcPr>
          <w:p>
            <w:pPr>
              <w:widowControl/>
              <w:spacing w:after="0" w:line="240" w:lineRule="auto"/>
            </w:pPr>
            <w:r>
              <w:rPr>
                <w:rFonts w:ascii="Aptos" w:hAnsi="Aptos"/>
                <w:b/>
                <w:sz w:val="15"/>
              </w:rPr>
              <w:t>17</w:t>
            </w:r>
          </w:p>
        </w:tc>
        <w:tc>
          <w:tcPr>
            <w:tcW w:type="dxa" w:w="8568"/>
            <w:vAlign w:val="top"/>
            <w:tcMar>
              <w:top w:w="70" w:type="dxa"/>
              <w:start w:w="80" w:type="dxa"/>
              <w:bottom w:w="70" w:type="dxa"/>
              <w:end w:w="80" w:type="dxa"/>
            </w:tcMar>
          </w:tcPr>
          <w:p>
            <w:pPr>
              <w:widowControl/>
              <w:spacing w:after="0" w:line="240" w:lineRule="auto"/>
            </w:pPr>
            <w:r>
              <w:rPr>
                <w:rFonts w:ascii="Aptos" w:hAnsi="Aptos"/>
                <w:sz w:val="15"/>
              </w:rPr>
              <w:t>Veridian advisers/experts and due diligence. Direct where tied to VRDN; identify actual consultants and collect engagement, work and messages, subject to work-product review.</w:t>
            </w:r>
          </w:p>
        </w:tc>
        <w:tc>
          <w:tcPr>
            <w:tcW w:type="dxa" w:w="1440"/>
            <w:vAlign w:val="top"/>
            <w:tcMar>
              <w:top w:w="70" w:type="dxa"/>
              <w:start w:w="80" w:type="dxa"/>
              <w:bottom w:w="70" w:type="dxa"/>
              <w:end w:w="80" w:type="dxa"/>
            </w:tcMar>
          </w:tcPr>
          <w:p>
            <w:pPr>
              <w:widowControl/>
              <w:spacing w:after="0" w:line="240" w:lineRule="auto"/>
            </w:pPr>
            <w:r>
              <w:rPr>
                <w:rFonts w:ascii="Aptos" w:hAnsi="Aptos"/>
                <w:sz w:val="15"/>
              </w:rPr>
              <w:t>Core / review</w:t>
            </w:r>
          </w:p>
        </w:tc>
      </w:tr>
      <w:tr>
        <w:tc>
          <w:tcPr>
            <w:tcW w:type="dxa" w:w="691"/>
            <w:vAlign w:val="top"/>
            <w:tcMar>
              <w:top w:w="70" w:type="dxa"/>
              <w:start w:w="80" w:type="dxa"/>
              <w:bottom w:w="70" w:type="dxa"/>
              <w:end w:w="80" w:type="dxa"/>
            </w:tcMar>
            <w:shd w:fill="F7F9FB"/>
          </w:tcPr>
          <w:p>
            <w:pPr>
              <w:widowControl/>
              <w:spacing w:after="0" w:line="240" w:lineRule="auto"/>
            </w:pPr>
            <w:r>
              <w:rPr>
                <w:rFonts w:ascii="Aptos" w:hAnsi="Aptos"/>
                <w:b/>
                <w:sz w:val="15"/>
              </w:rPr>
              <w:t>18</w:t>
            </w:r>
          </w:p>
        </w:tc>
        <w:tc>
          <w:tcPr>
            <w:tcW w:type="dxa" w:w="8568"/>
            <w:vAlign w:val="top"/>
            <w:tcMar>
              <w:top w:w="70" w:type="dxa"/>
              <w:start w:w="80" w:type="dxa"/>
              <w:bottom w:w="70" w:type="dxa"/>
              <w:end w:w="80" w:type="dxa"/>
            </w:tcMar>
            <w:shd w:fill="F7F9FB"/>
          </w:tcPr>
          <w:p>
            <w:pPr>
              <w:widowControl/>
              <w:spacing w:after="0" w:line="240" w:lineRule="auto"/>
            </w:pPr>
            <w:r>
              <w:rPr>
                <w:rFonts w:ascii="Aptos" w:hAnsi="Aptos"/>
                <w:sz w:val="15"/>
              </w:rPr>
              <w:t>Arrangements/communications with Veridian and affiliates. Direct; collect NDAs, confidentiality agreements, contacts and informal arrangements; no assumption of none based on current summary.</w:t>
            </w:r>
          </w:p>
        </w:tc>
        <w:tc>
          <w:tcPr>
            <w:tcW w:type="dxa" w:w="1440"/>
            <w:vAlign w:val="top"/>
            <w:tcMar>
              <w:top w:w="70" w:type="dxa"/>
              <w:start w:w="80" w:type="dxa"/>
              <w:bottom w:w="70" w:type="dxa"/>
              <w:end w:w="80" w:type="dxa"/>
            </w:tcMar>
            <w:shd w:fill="F7F9FB"/>
          </w:tcPr>
          <w:p>
            <w:pPr>
              <w:widowControl/>
              <w:spacing w:after="0" w:line="240" w:lineRule="auto"/>
            </w:pPr>
            <w:r>
              <w:rPr>
                <w:rFonts w:ascii="Aptos" w:hAnsi="Aptos"/>
                <w:sz w:val="15"/>
              </w:rPr>
              <w:t>Core</w:t>
            </w:r>
          </w:p>
        </w:tc>
      </w:tr>
    </w:tbl>
    <w:p>
      <w:pPr>
        <w:spacing w:after="0"/>
      </w:pPr>
    </w:p>
    <w:p>
      <w:pPr>
        <w:pStyle w:val="Heading1"/>
      </w:pPr>
      <w:r>
        <w:t>VIII. Trading-data and P&amp;L integrity</w:t>
      </w:r>
    </w:p>
    <w:p>
      <w:r>
        <w:rPr>
          <w:i w:val="0"/>
        </w:rPr>
        <w:t>The June 10 workbook is labeled counsel work product and should be preserved as received. Its “potential disgorgement” characterization is not a verified calculation. The raw rows and multiple summaries conflict materially; the discrepancies are large enough to affect production, investor communication, potential gain/loss analysis and credibility. Ask Ridgeline to reconcile from native OMS exports, order audit logs, broker confirms, clearing/settlement records, fund accounting, commissions, cash and custodian statements; separately obtain Grayfield’s Fielding &amp; Strauss records and any other beneficial-ownership accounts.</w:t>
      </w:r>
    </w:p>
    <w:tbl>
      <w:tblPr>
        <w:tblStyle w:val="TableGrid"/>
        <w:tblW w:type="auto" w:w="0"/>
        <w:jc w:val="center"/>
        <w:tblLayout w:type="fixed"/>
        <w:tblLook w:firstColumn="1" w:firstRow="1" w:lastColumn="0" w:lastRow="0" w:noHBand="0" w:noVBand="1" w:val="04A0"/>
      </w:tblPr>
      <w:tblGrid>
        <w:gridCol w:w="1512"/>
        <w:gridCol w:w="3888"/>
        <w:gridCol w:w="5299"/>
      </w:tblGrid>
      <w:tr>
        <w:trPr>
          <w:tblHeader w:val="true"/>
        </w:trPr>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Metric</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Workbook / client figures</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Issue requiring reconciliation</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Purchases</w:t>
            </w:r>
          </w:p>
        </w:tc>
        <w:tc>
          <w:tcPr>
            <w:tcW w:type="dxa" w:w="3888"/>
            <w:vAlign w:val="top"/>
            <w:tcMar>
              <w:top w:w="70" w:type="dxa"/>
              <w:start w:w="80" w:type="dxa"/>
              <w:bottom w:w="70" w:type="dxa"/>
              <w:end w:w="80" w:type="dxa"/>
            </w:tcMar>
          </w:tcPr>
          <w:p>
            <w:pPr>
              <w:widowControl/>
              <w:spacing w:after="0" w:line="240" w:lineRule="auto"/>
            </w:pPr>
            <w:r>
              <w:rPr>
                <w:rFonts w:ascii="Aptos" w:hAnsi="Aptos"/>
                <w:sz w:val="16"/>
              </w:rPr>
              <w:t>Trade-level gross rows total $23,906,950; purchase commissions $28,694; net $23,935,644. Summary/canonical figure says gross/“cost” $23,903,500 and weighted average $43.46.</w:t>
            </w:r>
          </w:p>
        </w:tc>
        <w:tc>
          <w:tcPr>
            <w:tcW w:type="dxa" w:w="5299"/>
            <w:vAlign w:val="top"/>
            <w:tcMar>
              <w:top w:w="70" w:type="dxa"/>
              <w:start w:w="80" w:type="dxa"/>
              <w:bottom w:w="70" w:type="dxa"/>
              <w:end w:w="80" w:type="dxa"/>
            </w:tcMar>
          </w:tcPr>
          <w:p>
            <w:pPr>
              <w:widowControl/>
              <w:spacing w:after="0" w:line="240" w:lineRule="auto"/>
            </w:pPr>
            <w:r>
              <w:rPr>
                <w:rFonts w:ascii="Aptos" w:hAnsi="Aptos"/>
                <w:sz w:val="16"/>
              </w:rPr>
              <w:t>$3,450 difference in gross totals; $23,906,950 / 550,000 is about $43.47, not $43.46. Intake weekly cost blocks also differ from trade-level gross. Determine whether rounding, fees, corrections, or row/source errors.</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Sales</w:t>
            </w:r>
          </w:p>
        </w:tc>
        <w:tc>
          <w:tcPr>
            <w:tcW w:type="dxa" w:w="3888"/>
            <w:vAlign w:val="top"/>
            <w:tcMar>
              <w:top w:w="70" w:type="dxa"/>
              <w:start w:w="80" w:type="dxa"/>
              <w:bottom w:w="70" w:type="dxa"/>
              <w:end w:w="80" w:type="dxa"/>
            </w:tcMar>
            <w:shd w:fill="F7F9FB"/>
          </w:tcPr>
          <w:p>
            <w:pPr>
              <w:widowControl/>
              <w:spacing w:after="0" w:line="240" w:lineRule="auto"/>
            </w:pPr>
            <w:r>
              <w:rPr>
                <w:rFonts w:ascii="Aptos" w:hAnsi="Aptos"/>
                <w:sz w:val="16"/>
              </w:rPr>
              <w:t>Trade-level gross sale proceeds total $24,162,250 on 400,000 shares; average is about $60.41. Summary and intake say $24,120,000 and $60.30. Commissions total $28,995; net proceeds $24,133,255.</w:t>
            </w:r>
          </w:p>
        </w:tc>
        <w:tc>
          <w:tcPr>
            <w:tcW w:type="dxa" w:w="5299"/>
            <w:vAlign w:val="top"/>
            <w:tcMar>
              <w:top w:w="70" w:type="dxa"/>
              <w:start w:w="80" w:type="dxa"/>
              <w:bottom w:w="70" w:type="dxa"/>
              <w:end w:w="80" w:type="dxa"/>
            </w:tcMar>
            <w:shd w:fill="F7F9FB"/>
          </w:tcPr>
          <w:p>
            <w:pPr>
              <w:widowControl/>
              <w:spacing w:after="0" w:line="240" w:lineRule="auto"/>
            </w:pPr>
            <w:r>
              <w:rPr>
                <w:rFonts w:ascii="Aptos" w:hAnsi="Aptos"/>
                <w:sz w:val="16"/>
              </w:rPr>
              <w:t>$42,250 gross proceeds difference; the average and reported total are inconsistent with the line items. Obtain confirms and execution prices.</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Realized P&amp;L</w:t>
            </w:r>
          </w:p>
        </w:tc>
        <w:tc>
          <w:tcPr>
            <w:tcW w:type="dxa" w:w="3888"/>
            <w:vAlign w:val="top"/>
            <w:tcMar>
              <w:top w:w="70" w:type="dxa"/>
              <w:start w:w="80" w:type="dxa"/>
              <w:bottom w:w="70" w:type="dxa"/>
              <w:end w:w="80" w:type="dxa"/>
            </w:tcMar>
          </w:tcPr>
          <w:p>
            <w:pPr>
              <w:widowControl/>
              <w:spacing w:after="0" w:line="240" w:lineRule="auto"/>
            </w:pPr>
            <w:r>
              <w:rPr>
                <w:rFonts w:ascii="Aptos" w:hAnsi="Aptos"/>
                <w:sz w:val="16"/>
              </w:rPr>
              <w:t>FIFO cost basis is stated as $17,474,500. Using row-level net proceeds of $24,133,255 yields $6,658,755 net realized gain, while workbook/intake report $6,645,500.</w:t>
            </w:r>
          </w:p>
        </w:tc>
        <w:tc>
          <w:tcPr>
            <w:tcW w:type="dxa" w:w="5299"/>
            <w:vAlign w:val="top"/>
            <w:tcMar>
              <w:top w:w="70" w:type="dxa"/>
              <w:start w:w="80" w:type="dxa"/>
              <w:bottom w:w="70" w:type="dxa"/>
              <w:end w:w="80" w:type="dxa"/>
            </w:tcMar>
          </w:tcPr>
          <w:p>
            <w:pPr>
              <w:widowControl/>
              <w:spacing w:after="0" w:line="240" w:lineRule="auto"/>
            </w:pPr>
            <w:r>
              <w:rPr>
                <w:rFonts w:ascii="Aptos" w:hAnsi="Aptos"/>
                <w:sz w:val="16"/>
              </w:rPr>
              <w:t>Difference is $13,255. The reported $6,645,500 equals the intake’s $24,120,000 gross less FIFO basis and does not reflect row-level net proceeds/commissions.</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Unrealized / total P&amp;L</w:t>
            </w:r>
          </w:p>
        </w:tc>
        <w:tc>
          <w:tcPr>
            <w:tcW w:type="dxa" w:w="3888"/>
            <w:vAlign w:val="top"/>
            <w:tcMar>
              <w:top w:w="70" w:type="dxa"/>
              <w:start w:w="80" w:type="dxa"/>
              <w:bottom w:w="70" w:type="dxa"/>
              <w:end w:w="80" w:type="dxa"/>
            </w:tcMar>
            <w:shd w:fill="F7F9FB"/>
          </w:tcPr>
          <w:p>
            <w:pPr>
              <w:widowControl/>
              <w:spacing w:after="0" w:line="240" w:lineRule="auto"/>
            </w:pPr>
            <w:r>
              <w:rPr>
                <w:rFonts w:ascii="Aptos" w:hAnsi="Aptos"/>
                <w:sz w:val="16"/>
              </w:rPr>
              <w:t>Remaining 150,000 shares marked at $59.80 = $8,970,000; stated remaining basis $6,429,000; unrealized $2,541,000. Reported total gain is $9,186,500.</w:t>
            </w:r>
          </w:p>
        </w:tc>
        <w:tc>
          <w:tcPr>
            <w:tcW w:type="dxa" w:w="5299"/>
            <w:vAlign w:val="top"/>
            <w:tcMar>
              <w:top w:w="70" w:type="dxa"/>
              <w:start w:w="80" w:type="dxa"/>
              <w:bottom w:w="70" w:type="dxa"/>
              <w:end w:w="80" w:type="dxa"/>
            </w:tcMar>
            <w:shd w:fill="F7F9FB"/>
          </w:tcPr>
          <w:p>
            <w:pPr>
              <w:widowControl/>
              <w:spacing w:after="0" w:line="240" w:lineRule="auto"/>
            </w:pPr>
            <w:r>
              <w:rPr>
                <w:rFonts w:ascii="Aptos" w:hAnsi="Aptos"/>
                <w:sz w:val="16"/>
              </w:rPr>
              <w:t>Even on stated assumptions, adding the row-level net realized figure to $2,541,000 gives $9,199,755, not $9,186,500. Remaining and FIFO basis use rounded weekly prices and may omit allocated commissions. Rebuild cost basis consistently.</w:t>
            </w:r>
          </w:p>
        </w:tc>
      </w:tr>
    </w:tbl>
    <w:p>
      <w:pPr>
        <w:spacing w:after="0"/>
      </w:pPr>
    </w:p>
    <w:p>
      <w:r>
        <w:rPr>
          <w:i w:val="0"/>
        </w:rPr>
        <w:t>The trade blotter says it covers only Opportunity Fund trades and excludes Grayfield’s personal Fielding &amp; Strauss account. The intake’s 550,000 purchase/400,000 sale/150,000 remaining narrative broadly matches quantities but its gross sales and stated profit do not. The spreadsheet’s “FIFO” lots appear to use rounded weekly averages rather than a demonstrated lot-level commission-inclusive cost basis. Do not characterize $9.1865 million—or any recalculated amount—as established disgorgement, loss, or gain until source records and methodology are independently verified and documented.</w:t>
      </w:r>
    </w:p>
    <w:p>
      <w:pPr>
        <w:pStyle w:val="Heading1"/>
      </w:pPr>
      <w:r>
        <w:t>IX. Representation, coordination, and communications</w:t>
      </w:r>
    </w:p>
    <w:p>
      <w:r>
        <w:rPr>
          <w:i w:val="0"/>
        </w:rPr>
        <w:t>Whitfield &amp; Crane currently represents Grayfield Capital Partners, LLC only. Grayfield wants the firm to represent him personally. On the supplied record, the entity may need to attribute failures to individual conduct or show a functioning program; Grayfield may argue compliance failures were systemic and that he acted on public research. His unapproved personal trades, family connection, call, and post-notice device trade-in create direct divergent interests. Under New York Rule of Professional Conduct 1.7, any concurrent representation would require a careful consentability analysis, informed written consent where permitted, and a reasonable belief of competent and diligent representation. The current conflict risk is too acute to proceed with joint representation as a default. Recommend independent counsel for Grayfield now; consider separate counsel for Zheng and, as facts develop, Tsao. Keep the entity’s privilege and interview channels separate.</w:t>
      </w:r>
    </w:p>
    <w:p>
      <w:r>
        <w:rPr>
          <w:i w:val="0"/>
        </w:rPr>
        <w:t>Ashford has separate counsel. Do not contact Ashford, his family, Veridian personnel, or Hargrove &amp; Associates about substance, accounts, or a shared narrative without lead counsel approval and appropriate counsel-to-counsel coordination. Do not request deletion, warn of testimony, or coordinate recollections. It may be appropriate to arrange a narrowly scoped counsel-to-counsel preservation/records discussion with Ashford’s counsel, but no joint defense/common-interest agreement should be assumed to protect communications or prevent later divergence. The entity can independently request ordinary-course records under its own rights or use lawful process after counsel assesses risks.</w:t>
      </w:r>
    </w:p>
    <w:p>
      <w:r>
        <w:rPr>
          <w:i w:val="0"/>
        </w:rPr>
        <w:t>The subpoena’s testimony topics encompass the CCO’s work, compliance control failures, and hold timing. Treat Tsao as a significant fact witness; preserve the May 16 email, the order’s service records, prior holds, audit and remediation correspondence, and June 6 notice distribution/acknowledgments. The preservation notice’s “no discussion outside the Firm without CCO approval” language should not be administered to prevent consultation with personal counsel or truthful response to legal process. Do not promise that company counsel will protect an employee’s statements from disclosure.</w:t>
      </w:r>
    </w:p>
    <w:p>
      <w:pPr>
        <w:pStyle w:val="Heading1"/>
      </w:pPr>
      <w:r>
        <w:t>X. Recommended work plan / decision points for lead partner</w:t>
      </w:r>
    </w:p>
    <w:tbl>
      <w:tblPr>
        <w:tblStyle w:val="TableGrid"/>
        <w:tblW w:type="auto" w:w="0"/>
        <w:jc w:val="center"/>
        <w:tblLayout w:type="fixed"/>
        <w:tblLook w:firstColumn="1" w:firstRow="1" w:lastColumn="0" w:lastRow="0" w:noHBand="0" w:noVBand="1" w:val="04A0"/>
      </w:tblPr>
      <w:tblGrid>
        <w:gridCol w:w="1181"/>
        <w:gridCol w:w="2088"/>
        <w:gridCol w:w="7416"/>
      </w:tblGrid>
      <w:tr>
        <w:trPr>
          <w:tblHeader w:val="true"/>
        </w:trPr>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When</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Workstream</w:t>
            </w:r>
          </w:p>
        </w:tc>
        <w:tc>
          <w:tcPr>
            <w:tcW w:type="dxa" w:w="3331"/>
            <w:shd w:fill="17365D"/>
            <w:tcMar>
              <w:top w:w="70" w:type="dxa"/>
              <w:start w:w="80" w:type="dxa"/>
              <w:bottom w:w="70" w:type="dxa"/>
              <w:end w:w="80" w:type="dxa"/>
            </w:tcMar>
            <w:vAlign w:val="center"/>
          </w:tcPr>
          <w:p>
            <w:pPr>
              <w:widowControl/>
              <w:spacing w:after="0"/>
            </w:pPr>
            <w:r>
              <w:rPr>
                <w:rFonts w:ascii="Aptos" w:hAnsi="Aptos"/>
                <w:b/>
                <w:color w:val="FFFFFF"/>
                <w:sz w:val="16"/>
              </w:rPr>
              <w:t>Deliverable / decision</w:t>
            </w:r>
          </w:p>
        </w:tc>
      </w:tr>
      <w:tr>
        <w:tc>
          <w:tcPr>
            <w:tcW w:type="dxa" w:w="1181"/>
            <w:vAlign w:val="top"/>
            <w:tcMar>
              <w:top w:w="70" w:type="dxa"/>
              <w:start w:w="80" w:type="dxa"/>
              <w:bottom w:w="70" w:type="dxa"/>
              <w:end w:w="80" w:type="dxa"/>
            </w:tcMar>
          </w:tcPr>
          <w:p>
            <w:pPr>
              <w:widowControl/>
              <w:spacing w:after="0" w:line="240" w:lineRule="auto"/>
            </w:pPr>
            <w:r>
              <w:rPr>
                <w:rFonts w:ascii="Aptos" w:hAnsi="Aptos"/>
                <w:b/>
                <w:sz w:val="16"/>
              </w:rPr>
              <w:t>Today</w:t>
            </w:r>
          </w:p>
        </w:tc>
        <w:tc>
          <w:tcPr>
            <w:tcW w:type="dxa" w:w="2088"/>
            <w:vAlign w:val="top"/>
            <w:tcMar>
              <w:top w:w="70" w:type="dxa"/>
              <w:start w:w="80" w:type="dxa"/>
              <w:bottom w:w="70" w:type="dxa"/>
              <w:end w:w="80" w:type="dxa"/>
            </w:tcMar>
          </w:tcPr>
          <w:p>
            <w:pPr>
              <w:widowControl/>
              <w:spacing w:after="0" w:line="240" w:lineRule="auto"/>
            </w:pPr>
            <w:r>
              <w:rPr>
                <w:rFonts w:ascii="Aptos" w:hAnsi="Aptos"/>
                <w:sz w:val="16"/>
              </w:rPr>
              <w:t>Subpoena verification &amp; deadline</w:t>
            </w:r>
          </w:p>
        </w:tc>
        <w:tc>
          <w:tcPr>
            <w:tcW w:type="dxa" w:w="7416"/>
            <w:vAlign w:val="top"/>
            <w:tcMar>
              <w:top w:w="70" w:type="dxa"/>
              <w:start w:w="80" w:type="dxa"/>
              <w:bottom w:w="70" w:type="dxa"/>
              <w:end w:w="80" w:type="dxa"/>
            </w:tcMar>
          </w:tcPr>
          <w:p>
            <w:pPr>
              <w:widowControl/>
              <w:spacing w:after="0" w:line="240" w:lineRule="auto"/>
            </w:pPr>
            <w:r>
              <w:rPr>
                <w:rFonts w:ascii="Aptos" w:hAnsi="Aptos"/>
                <w:sz w:val="16"/>
              </w:rPr>
              <w:t>Inspect original and agent file; independently verify AUSA, signature, case/return instructions. If genuine, calendar July 8 and immediately request extension. If irregular, seek corrected process while preserving.</w:t>
            </w:r>
          </w:p>
        </w:tc>
      </w:tr>
      <w:tr>
        <w:tc>
          <w:tcPr>
            <w:tcW w:type="dxa" w:w="1181"/>
            <w:vAlign w:val="top"/>
            <w:tcMar>
              <w:top w:w="70" w:type="dxa"/>
              <w:start w:w="80" w:type="dxa"/>
              <w:bottom w:w="70" w:type="dxa"/>
              <w:end w:w="80" w:type="dxa"/>
            </w:tcMar>
            <w:shd w:fill="F7F9FB"/>
          </w:tcPr>
          <w:p>
            <w:pPr>
              <w:widowControl/>
              <w:spacing w:after="0" w:line="240" w:lineRule="auto"/>
            </w:pPr>
            <w:r>
              <w:rPr>
                <w:rFonts w:ascii="Aptos" w:hAnsi="Aptos"/>
                <w:b/>
                <w:sz w:val="16"/>
              </w:rPr>
              <w:t>Today–48 hrs</w:t>
            </w:r>
          </w:p>
        </w:tc>
        <w:tc>
          <w:tcPr>
            <w:tcW w:type="dxa" w:w="2088"/>
            <w:vAlign w:val="top"/>
            <w:tcMar>
              <w:top w:w="70" w:type="dxa"/>
              <w:start w:w="80" w:type="dxa"/>
              <w:bottom w:w="70" w:type="dxa"/>
              <w:end w:w="80" w:type="dxa"/>
            </w:tcMar>
            <w:shd w:fill="F7F9FB"/>
          </w:tcPr>
          <w:p>
            <w:pPr>
              <w:widowControl/>
              <w:spacing w:after="0" w:line="240" w:lineRule="auto"/>
            </w:pPr>
            <w:r>
              <w:rPr>
                <w:rFonts w:ascii="Aptos" w:hAnsi="Aptos"/>
                <w:sz w:val="16"/>
              </w:rPr>
              <w:t>Preservation / devices</w:t>
            </w:r>
          </w:p>
        </w:tc>
        <w:tc>
          <w:tcPr>
            <w:tcW w:type="dxa" w:w="7416"/>
            <w:vAlign w:val="top"/>
            <w:tcMar>
              <w:top w:w="70" w:type="dxa"/>
              <w:start w:w="80" w:type="dxa"/>
              <w:bottom w:w="70" w:type="dxa"/>
              <w:end w:w="80" w:type="dxa"/>
            </w:tcMar>
            <w:shd w:fill="F7F9FB"/>
          </w:tcPr>
          <w:p>
            <w:pPr>
              <w:widowControl/>
              <w:spacing w:after="0" w:line="240" w:lineRule="auto"/>
            </w:pPr>
            <w:r>
              <w:rPr>
                <w:rFonts w:ascii="Aptos" w:hAnsi="Aptos"/>
                <w:sz w:val="16"/>
              </w:rPr>
              <w:t>Written custodian and IT hold; quarantine current devices; counsel-directed forensics for Grayfield and Zheng; Apple/carrier/backup preservation requests; incident log and loss assessment.</w:t>
            </w:r>
          </w:p>
        </w:tc>
      </w:tr>
      <w:tr>
        <w:tc>
          <w:tcPr>
            <w:tcW w:type="dxa" w:w="1181"/>
            <w:vAlign w:val="top"/>
            <w:tcMar>
              <w:top w:w="70" w:type="dxa"/>
              <w:start w:w="80" w:type="dxa"/>
              <w:bottom w:w="70" w:type="dxa"/>
              <w:end w:w="80" w:type="dxa"/>
            </w:tcMar>
          </w:tcPr>
          <w:p>
            <w:pPr>
              <w:widowControl/>
              <w:spacing w:after="0" w:line="240" w:lineRule="auto"/>
            </w:pPr>
            <w:r>
              <w:rPr>
                <w:rFonts w:ascii="Aptos" w:hAnsi="Aptos"/>
                <w:b/>
                <w:sz w:val="16"/>
              </w:rPr>
              <w:t>48 hrs</w:t>
            </w:r>
          </w:p>
        </w:tc>
        <w:tc>
          <w:tcPr>
            <w:tcW w:type="dxa" w:w="2088"/>
            <w:vAlign w:val="top"/>
            <w:tcMar>
              <w:top w:w="70" w:type="dxa"/>
              <w:start w:w="80" w:type="dxa"/>
              <w:bottom w:w="70" w:type="dxa"/>
              <w:end w:w="80" w:type="dxa"/>
            </w:tcMar>
          </w:tcPr>
          <w:p>
            <w:pPr>
              <w:widowControl/>
              <w:spacing w:after="0" w:line="240" w:lineRule="auto"/>
            </w:pPr>
            <w:r>
              <w:rPr>
                <w:rFonts w:ascii="Aptos" w:hAnsi="Aptos"/>
                <w:sz w:val="16"/>
              </w:rPr>
              <w:t>Conflict / representation</w:t>
            </w:r>
          </w:p>
        </w:tc>
        <w:tc>
          <w:tcPr>
            <w:tcW w:type="dxa" w:w="7416"/>
            <w:vAlign w:val="top"/>
            <w:tcMar>
              <w:top w:w="70" w:type="dxa"/>
              <w:start w:w="80" w:type="dxa"/>
              <w:bottom w:w="70" w:type="dxa"/>
              <w:end w:w="80" w:type="dxa"/>
            </w:tcMar>
          </w:tcPr>
          <w:p>
            <w:pPr>
              <w:widowControl/>
              <w:spacing w:after="0" w:line="240" w:lineRule="auto"/>
            </w:pPr>
            <w:r>
              <w:rPr>
                <w:rFonts w:ascii="Aptos" w:hAnsi="Aptos"/>
                <w:sz w:val="16"/>
              </w:rPr>
              <w:t>Written scope confirmation that firm counsel represents entity only; refer Grayfield for independent counsel; discuss separate counsel for Zheng and assess Tsao. Issue Upjohn protocol.</w:t>
            </w:r>
          </w:p>
        </w:tc>
      </w:tr>
      <w:tr>
        <w:tc>
          <w:tcPr>
            <w:tcW w:type="dxa" w:w="1181"/>
            <w:vAlign w:val="top"/>
            <w:tcMar>
              <w:top w:w="70" w:type="dxa"/>
              <w:start w:w="80" w:type="dxa"/>
              <w:bottom w:w="70" w:type="dxa"/>
              <w:end w:w="80" w:type="dxa"/>
            </w:tcMar>
            <w:shd w:fill="F7F9FB"/>
          </w:tcPr>
          <w:p>
            <w:pPr>
              <w:widowControl/>
              <w:spacing w:after="0" w:line="240" w:lineRule="auto"/>
            </w:pPr>
            <w:r>
              <w:rPr>
                <w:rFonts w:ascii="Aptos" w:hAnsi="Aptos"/>
                <w:b/>
                <w:sz w:val="16"/>
              </w:rPr>
              <w:t>Week 1</w:t>
            </w:r>
          </w:p>
        </w:tc>
        <w:tc>
          <w:tcPr>
            <w:tcW w:type="dxa" w:w="2088"/>
            <w:vAlign w:val="top"/>
            <w:tcMar>
              <w:top w:w="70" w:type="dxa"/>
              <w:start w:w="80" w:type="dxa"/>
              <w:bottom w:w="70" w:type="dxa"/>
              <w:end w:w="80" w:type="dxa"/>
            </w:tcMar>
            <w:shd w:fill="F7F9FB"/>
          </w:tcPr>
          <w:p>
            <w:pPr>
              <w:widowControl/>
              <w:spacing w:after="0" w:line="240" w:lineRule="auto"/>
            </w:pPr>
            <w:r>
              <w:rPr>
                <w:rFonts w:ascii="Aptos" w:hAnsi="Aptos"/>
                <w:sz w:val="16"/>
              </w:rPr>
              <w:t>Merits reconstruction</w:t>
            </w:r>
          </w:p>
        </w:tc>
        <w:tc>
          <w:tcPr>
            <w:tcW w:type="dxa" w:w="7416"/>
            <w:vAlign w:val="top"/>
            <w:tcMar>
              <w:top w:w="70" w:type="dxa"/>
              <w:start w:w="80" w:type="dxa"/>
              <w:bottom w:w="70" w:type="dxa"/>
              <w:end w:w="80" w:type="dxa"/>
            </w:tcMar>
            <w:shd w:fill="F7F9FB"/>
          </w:tcPr>
          <w:p>
            <w:pPr>
              <w:widowControl/>
              <w:spacing w:after="0" w:line="240" w:lineRule="auto"/>
            </w:pPr>
            <w:r>
              <w:rPr>
                <w:rFonts w:ascii="Aptos" w:hAnsi="Aptos"/>
                <w:sz w:val="16"/>
              </w:rPr>
              <w:t>Build verified minute-by-minute timeline from SAB meeting, data access/publication, calls/messages, order entry/execution, IC drafts/approvals, and personal transactions; determine who knew what and when.</w:t>
            </w:r>
          </w:p>
        </w:tc>
      </w:tr>
      <w:tr>
        <w:tc>
          <w:tcPr>
            <w:tcW w:type="dxa" w:w="1181"/>
            <w:vAlign w:val="top"/>
            <w:tcMar>
              <w:top w:w="70" w:type="dxa"/>
              <w:start w:w="80" w:type="dxa"/>
              <w:bottom w:w="70" w:type="dxa"/>
              <w:end w:w="80" w:type="dxa"/>
            </w:tcMar>
          </w:tcPr>
          <w:p>
            <w:pPr>
              <w:widowControl/>
              <w:spacing w:after="0" w:line="240" w:lineRule="auto"/>
            </w:pPr>
            <w:r>
              <w:rPr>
                <w:rFonts w:ascii="Aptos" w:hAnsi="Aptos"/>
                <w:b/>
                <w:sz w:val="16"/>
              </w:rPr>
              <w:t>Week 1</w:t>
            </w:r>
          </w:p>
        </w:tc>
        <w:tc>
          <w:tcPr>
            <w:tcW w:type="dxa" w:w="2088"/>
            <w:vAlign w:val="top"/>
            <w:tcMar>
              <w:top w:w="70" w:type="dxa"/>
              <w:start w:w="80" w:type="dxa"/>
              <w:bottom w:w="70" w:type="dxa"/>
              <w:end w:w="80" w:type="dxa"/>
            </w:tcMar>
          </w:tcPr>
          <w:p>
            <w:pPr>
              <w:widowControl/>
              <w:spacing w:after="0" w:line="240" w:lineRule="auto"/>
            </w:pPr>
            <w:r>
              <w:rPr>
                <w:rFonts w:ascii="Aptos" w:hAnsi="Aptos"/>
                <w:sz w:val="16"/>
              </w:rPr>
              <w:t>Financial reconstruction</w:t>
            </w:r>
          </w:p>
        </w:tc>
        <w:tc>
          <w:tcPr>
            <w:tcW w:type="dxa" w:w="7416"/>
            <w:vAlign w:val="top"/>
            <w:tcMar>
              <w:top w:w="70" w:type="dxa"/>
              <w:start w:w="80" w:type="dxa"/>
              <w:bottom w:w="70" w:type="dxa"/>
              <w:end w:w="80" w:type="dxa"/>
            </w:tcMar>
          </w:tcPr>
          <w:p>
            <w:pPr>
              <w:widowControl/>
              <w:spacing w:after="0" w:line="240" w:lineRule="auto"/>
            </w:pPr>
            <w:r>
              <w:rPr>
                <w:rFonts w:ascii="Aptos" w:hAnsi="Aptos"/>
                <w:sz w:val="16"/>
              </w:rPr>
              <w:t>Ridgeline reconcile purchases/sales/FIFO/fees/unrealized value to primary records; document formulas, corrections and remaining uncertainties. No certification or profit claim meanwhile.</w:t>
            </w:r>
          </w:p>
        </w:tc>
      </w:tr>
      <w:tr>
        <w:tc>
          <w:tcPr>
            <w:tcW w:type="dxa" w:w="1181"/>
            <w:vAlign w:val="top"/>
            <w:tcMar>
              <w:top w:w="70" w:type="dxa"/>
              <w:start w:w="80" w:type="dxa"/>
              <w:bottom w:w="70" w:type="dxa"/>
              <w:end w:w="80" w:type="dxa"/>
            </w:tcMar>
            <w:shd w:fill="F7F9FB"/>
          </w:tcPr>
          <w:p>
            <w:pPr>
              <w:widowControl/>
              <w:spacing w:after="0" w:line="240" w:lineRule="auto"/>
            </w:pPr>
            <w:r>
              <w:rPr>
                <w:rFonts w:ascii="Aptos" w:hAnsi="Aptos"/>
                <w:b/>
                <w:sz w:val="16"/>
              </w:rPr>
              <w:t>Week 1–2</w:t>
            </w:r>
          </w:p>
        </w:tc>
        <w:tc>
          <w:tcPr>
            <w:tcW w:type="dxa" w:w="2088"/>
            <w:vAlign w:val="top"/>
            <w:tcMar>
              <w:top w:w="70" w:type="dxa"/>
              <w:start w:w="80" w:type="dxa"/>
              <w:bottom w:w="70" w:type="dxa"/>
              <w:end w:w="80" w:type="dxa"/>
            </w:tcMar>
            <w:shd w:fill="F7F9FB"/>
          </w:tcPr>
          <w:p>
            <w:pPr>
              <w:widowControl/>
              <w:spacing w:after="0" w:line="240" w:lineRule="auto"/>
            </w:pPr>
            <w:r>
              <w:rPr>
                <w:rFonts w:ascii="Aptos" w:hAnsi="Aptos"/>
                <w:sz w:val="16"/>
              </w:rPr>
              <w:t>Scope / production protocol</w:t>
            </w:r>
          </w:p>
        </w:tc>
        <w:tc>
          <w:tcPr>
            <w:tcW w:type="dxa" w:w="7416"/>
            <w:vAlign w:val="top"/>
            <w:tcMar>
              <w:top w:w="70" w:type="dxa"/>
              <w:start w:w="80" w:type="dxa"/>
              <w:bottom w:w="70" w:type="dxa"/>
              <w:end w:w="80" w:type="dxa"/>
            </w:tcMar>
            <w:shd w:fill="F7F9FB"/>
          </w:tcPr>
          <w:p>
            <w:pPr>
              <w:widowControl/>
              <w:spacing w:after="0" w:line="240" w:lineRule="auto"/>
            </w:pPr>
            <w:r>
              <w:rPr>
                <w:rFonts w:ascii="Aptos" w:hAnsi="Aptos"/>
                <w:sz w:val="16"/>
              </w:rPr>
              <w:t>Send request-by-request response and narrowing proposal; define custodian/date/source/format/privacy protocol; privilege review; propose first rolling tranche.</w:t>
            </w:r>
          </w:p>
        </w:tc>
      </w:tr>
      <w:tr>
        <w:tc>
          <w:tcPr>
            <w:tcW w:type="dxa" w:w="1181"/>
            <w:vAlign w:val="top"/>
            <w:tcMar>
              <w:top w:w="70" w:type="dxa"/>
              <w:start w:w="80" w:type="dxa"/>
              <w:bottom w:w="70" w:type="dxa"/>
              <w:end w:w="80" w:type="dxa"/>
            </w:tcMar>
          </w:tcPr>
          <w:p>
            <w:pPr>
              <w:widowControl/>
              <w:spacing w:after="0" w:line="240" w:lineRule="auto"/>
            </w:pPr>
            <w:r>
              <w:rPr>
                <w:rFonts w:ascii="Aptos" w:hAnsi="Aptos"/>
                <w:b/>
                <w:sz w:val="16"/>
              </w:rPr>
              <w:t>Before July 8</w:t>
            </w:r>
          </w:p>
        </w:tc>
        <w:tc>
          <w:tcPr>
            <w:tcW w:type="dxa" w:w="2088"/>
            <w:vAlign w:val="top"/>
            <w:tcMar>
              <w:top w:w="70" w:type="dxa"/>
              <w:start w:w="80" w:type="dxa"/>
              <w:bottom w:w="70" w:type="dxa"/>
              <w:end w:w="80" w:type="dxa"/>
            </w:tcMar>
          </w:tcPr>
          <w:p>
            <w:pPr>
              <w:widowControl/>
              <w:spacing w:after="0" w:line="240" w:lineRule="auto"/>
            </w:pPr>
            <w:r>
              <w:rPr>
                <w:rFonts w:ascii="Aptos" w:hAnsi="Aptos"/>
                <w:sz w:val="16"/>
              </w:rPr>
              <w:t>Subpoena resolution</w:t>
            </w:r>
          </w:p>
        </w:tc>
        <w:tc>
          <w:tcPr>
            <w:tcW w:type="dxa" w:w="7416"/>
            <w:vAlign w:val="top"/>
            <w:tcMar>
              <w:top w:w="70" w:type="dxa"/>
              <w:start w:w="80" w:type="dxa"/>
              <w:bottom w:w="70" w:type="dxa"/>
              <w:end w:w="80" w:type="dxa"/>
            </w:tcMar>
          </w:tcPr>
          <w:p>
            <w:pPr>
              <w:widowControl/>
              <w:spacing w:after="0" w:line="240" w:lineRule="auto"/>
            </w:pPr>
            <w:r>
              <w:rPr>
                <w:rFonts w:ascii="Aptos" w:hAnsi="Aptos"/>
                <w:sz w:val="16"/>
              </w:rPr>
              <w:t>Obtain written extension and testimony sequencing. If no agreement, file narrowly tailored Rule 17(c)(2) application in time; produce non-disputed responsive records on agreed or required schedule.</w:t>
            </w:r>
          </w:p>
        </w:tc>
      </w:tr>
    </w:tbl>
    <w:p>
      <w:pPr>
        <w:spacing w:after="0"/>
      </w:pPr>
    </w:p>
    <w:p>
      <w:pPr>
        <w:pStyle w:val="Heading1"/>
      </w:pPr>
      <w:r>
        <w:t>XI. Key chronology (current best understanding)</w:t>
      </w:r>
    </w:p>
    <w:tbl>
      <w:tblPr>
        <w:tblStyle w:val="TableGrid"/>
        <w:tblW w:type="auto" w:w="0"/>
        <w:jc w:val="center"/>
        <w:tblLayout w:type="fixed"/>
        <w:tblLook w:firstColumn="1" w:firstRow="1" w:lastColumn="0" w:lastRow="0" w:noHBand="0" w:noVBand="1" w:val="04A0"/>
      </w:tblPr>
      <w:tblGrid>
        <w:gridCol w:w="1512"/>
        <w:gridCol w:w="9173"/>
      </w:tblGrid>
      <w:tr>
        <w:trPr>
          <w:tblHeader w:val="true"/>
        </w:trPr>
        <w:tc>
          <w:tcPr>
            <w:tcW w:type="dxa" w:w="4997"/>
            <w:shd w:fill="17365D"/>
            <w:tcMar>
              <w:top w:w="70" w:type="dxa"/>
              <w:start w:w="80" w:type="dxa"/>
              <w:bottom w:w="70" w:type="dxa"/>
              <w:end w:w="80" w:type="dxa"/>
            </w:tcMar>
            <w:vAlign w:val="center"/>
          </w:tcPr>
          <w:p>
            <w:pPr>
              <w:widowControl/>
              <w:spacing w:after="0"/>
            </w:pPr>
            <w:r>
              <w:rPr>
                <w:rFonts w:ascii="Aptos" w:hAnsi="Aptos"/>
                <w:b/>
                <w:color w:val="FFFFFF"/>
                <w:sz w:val="16"/>
              </w:rPr>
              <w:t>Date</w:t>
            </w:r>
          </w:p>
        </w:tc>
        <w:tc>
          <w:tcPr>
            <w:tcW w:type="dxa" w:w="4997"/>
            <w:shd w:fill="17365D"/>
            <w:tcMar>
              <w:top w:w="70" w:type="dxa"/>
              <w:start w:w="80" w:type="dxa"/>
              <w:bottom w:w="70" w:type="dxa"/>
              <w:end w:w="80" w:type="dxa"/>
            </w:tcMar>
            <w:vAlign w:val="center"/>
          </w:tcPr>
          <w:p>
            <w:pPr>
              <w:widowControl/>
              <w:spacing w:after="0"/>
            </w:pPr>
            <w:r>
              <w:rPr>
                <w:rFonts w:ascii="Aptos" w:hAnsi="Aptos"/>
                <w:b/>
                <w:color w:val="FFFFFF"/>
                <w:sz w:val="16"/>
              </w:rPr>
              <w:t>Event / significance</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Mar. 3, 2024</w:t>
            </w:r>
          </w:p>
        </w:tc>
        <w:tc>
          <w:tcPr>
            <w:tcW w:type="dxa" w:w="9173"/>
            <w:vAlign w:val="top"/>
            <w:tcMar>
              <w:top w:w="70" w:type="dxa"/>
              <w:start w:w="80" w:type="dxa"/>
              <w:bottom w:w="70" w:type="dxa"/>
              <w:end w:w="80" w:type="dxa"/>
            </w:tcMar>
          </w:tcPr>
          <w:p>
            <w:pPr>
              <w:widowControl/>
              <w:spacing w:after="0" w:line="240" w:lineRule="auto"/>
            </w:pPr>
            <w:r>
              <w:rPr>
                <w:rFonts w:ascii="Aptos" w:hAnsi="Aptos"/>
                <w:sz w:val="16"/>
              </w:rPr>
              <w:t>Ashford attends confidential Veridian SAB meeting under NDA; 89% ORR data reportedly shared. Verify meeting materials and timing.</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Mar. 4</w:t>
            </w:r>
          </w:p>
        </w:tc>
        <w:tc>
          <w:tcPr>
            <w:tcW w:type="dxa" w:w="9173"/>
            <w:vAlign w:val="top"/>
            <w:tcMar>
              <w:top w:w="70" w:type="dxa"/>
              <w:start w:w="80" w:type="dxa"/>
              <w:bottom w:w="70" w:type="dxa"/>
              <w:end w:w="80" w:type="dxa"/>
            </w:tcMar>
            <w:shd w:fill="F7F9FB"/>
          </w:tcPr>
          <w:p>
            <w:pPr>
              <w:widowControl/>
              <w:spacing w:after="0" w:line="240" w:lineRule="auto"/>
            </w:pPr>
            <w:r>
              <w:rPr>
                <w:rFonts w:ascii="Aptos" w:hAnsi="Aptos"/>
                <w:sz w:val="16"/>
              </w:rPr>
              <w:t>First fund VRDN buys: 25,000 and 20,000 shares (blotter).</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Mar. 5</w:t>
            </w:r>
          </w:p>
        </w:tc>
        <w:tc>
          <w:tcPr>
            <w:tcW w:type="dxa" w:w="9173"/>
            <w:vAlign w:val="top"/>
            <w:tcMar>
              <w:top w:w="70" w:type="dxa"/>
              <w:start w:w="80" w:type="dxa"/>
              <w:bottom w:w="70" w:type="dxa"/>
              <w:end w:w="80" w:type="dxa"/>
            </w:tcMar>
          </w:tcPr>
          <w:p>
            <w:pPr>
              <w:widowControl/>
              <w:spacing w:after="0" w:line="240" w:lineRule="auto"/>
            </w:pPr>
            <w:r>
              <w:rPr>
                <w:rFonts w:ascii="Aptos" w:hAnsi="Aptos"/>
                <w:sz w:val="16"/>
              </w:rPr>
              <w:t>Grayfield reportedly buys 15,000 personal shares without pre-clearance; fund continues trading.</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Mar. 12</w:t>
            </w:r>
          </w:p>
        </w:tc>
        <w:tc>
          <w:tcPr>
            <w:tcW w:type="dxa" w:w="9173"/>
            <w:vAlign w:val="top"/>
            <w:tcMar>
              <w:top w:w="70" w:type="dxa"/>
              <w:start w:w="80" w:type="dxa"/>
              <w:bottom w:w="70" w:type="dxa"/>
              <w:end w:w="80" w:type="dxa"/>
            </w:tcMar>
            <w:shd w:fill="F7F9FB"/>
          </w:tcPr>
          <w:p>
            <w:pPr>
              <w:widowControl/>
              <w:spacing w:after="0" w:line="240" w:lineRule="auto"/>
            </w:pPr>
            <w:r>
              <w:rPr>
                <w:rFonts w:ascii="Aptos" w:hAnsi="Aptos"/>
                <w:sz w:val="16"/>
              </w:rPr>
              <w:t>22-minute Ashford–Grayfield call; fund buys 25,000 shares and OMS note flags increased order size.</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Mar. 14–15</w:t>
            </w:r>
          </w:p>
        </w:tc>
        <w:tc>
          <w:tcPr>
            <w:tcW w:type="dxa" w:w="9173"/>
            <w:vAlign w:val="top"/>
            <w:tcMar>
              <w:top w:w="70" w:type="dxa"/>
              <w:start w:w="80" w:type="dxa"/>
              <w:bottom w:w="70" w:type="dxa"/>
              <w:end w:w="80" w:type="dxa"/>
            </w:tcMar>
          </w:tcPr>
          <w:p>
            <w:pPr>
              <w:widowControl/>
              <w:spacing w:after="0" w:line="240" w:lineRule="auto"/>
            </w:pPr>
            <w:r>
              <w:rPr>
                <w:rFonts w:ascii="Aptos" w:hAnsi="Aptos"/>
                <w:sz w:val="16"/>
              </w:rPr>
              <w:t>IC memo dated/approved March 14 says 205,000 shares; blotter reaches 205,000 after March 15 trade. Verify timestamps and memo state.</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Mar. 23–25</w:t>
            </w:r>
          </w:p>
        </w:tc>
        <w:tc>
          <w:tcPr>
            <w:tcW w:type="dxa" w:w="9173"/>
            <w:vAlign w:val="top"/>
            <w:tcMar>
              <w:top w:w="70" w:type="dxa"/>
              <w:start w:w="80" w:type="dxa"/>
              <w:bottom w:w="70" w:type="dxa"/>
              <w:end w:w="80" w:type="dxa"/>
            </w:tcMar>
            <w:shd w:fill="F7F9FB"/>
          </w:tcPr>
          <w:p>
            <w:pPr>
              <w:widowControl/>
              <w:spacing w:after="0" w:line="240" w:lineRule="auto"/>
            </w:pPr>
            <w:r>
              <w:rPr>
                <w:rFonts w:ascii="Aptos" w:hAnsi="Aptos"/>
                <w:sz w:val="16"/>
              </w:rPr>
              <w:t>Grayfield email: “data will speak for itself. Size up”; Zheng replies with 300,000 shares and planned acceleration.</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Apr. 2</w:t>
            </w:r>
          </w:p>
        </w:tc>
        <w:tc>
          <w:tcPr>
            <w:tcW w:type="dxa" w:w="9173"/>
            <w:vAlign w:val="top"/>
            <w:tcMar>
              <w:top w:w="70" w:type="dxa"/>
              <w:start w:w="80" w:type="dxa"/>
              <w:bottom w:w="70" w:type="dxa"/>
              <w:end w:w="80" w:type="dxa"/>
            </w:tcMar>
          </w:tcPr>
          <w:p>
            <w:pPr>
              <w:widowControl/>
              <w:spacing w:after="0" w:line="240" w:lineRule="auto"/>
            </w:pPr>
            <w:r>
              <w:rPr>
                <w:rFonts w:ascii="Aptos" w:hAnsi="Aptos"/>
                <w:sz w:val="16"/>
              </w:rPr>
              <w:t>Veridian public 8-K pre-announces positive topline results; stock reportedly rises about 4%.</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Apr. 5</w:t>
            </w:r>
          </w:p>
        </w:tc>
        <w:tc>
          <w:tcPr>
            <w:tcW w:type="dxa" w:w="9173"/>
            <w:vAlign w:val="top"/>
            <w:tcMar>
              <w:top w:w="70" w:type="dxa"/>
              <w:start w:w="80" w:type="dxa"/>
              <w:bottom w:w="70" w:type="dxa"/>
              <w:end w:w="80" w:type="dxa"/>
            </w:tcMar>
            <w:shd w:fill="F7F9FB"/>
          </w:tcPr>
          <w:p>
            <w:pPr>
              <w:widowControl/>
              <w:spacing w:after="0" w:line="240" w:lineRule="auto"/>
            </w:pPr>
            <w:r>
              <w:rPr>
                <w:rFonts w:ascii="Aptos" w:hAnsi="Aptos"/>
                <w:sz w:val="16"/>
              </w:rPr>
              <w:t>Last reported fund purchase; position 550,000.</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Apr. 8–12</w:t>
            </w:r>
          </w:p>
        </w:tc>
        <w:tc>
          <w:tcPr>
            <w:tcW w:type="dxa" w:w="9173"/>
            <w:vAlign w:val="top"/>
            <w:tcMar>
              <w:top w:w="70" w:type="dxa"/>
              <w:start w:w="80" w:type="dxa"/>
              <w:bottom w:w="70" w:type="dxa"/>
              <w:end w:w="80" w:type="dxa"/>
            </w:tcMar>
          </w:tcPr>
          <w:p>
            <w:pPr>
              <w:widowControl/>
              <w:spacing w:after="0" w:line="240" w:lineRule="auto"/>
            </w:pPr>
            <w:r>
              <w:rPr>
                <w:rFonts w:ascii="Aptos" w:hAnsi="Aptos"/>
                <w:sz w:val="16"/>
              </w:rPr>
              <w:t>FDA approval Apr. 8; fund sells 400,000 shares, retaining 150,000; Grayfield sells 10,000 personal shares Apr. 9.</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May 15–20</w:t>
            </w:r>
          </w:p>
        </w:tc>
        <w:tc>
          <w:tcPr>
            <w:tcW w:type="dxa" w:w="9173"/>
            <w:vAlign w:val="top"/>
            <w:tcMar>
              <w:top w:w="70" w:type="dxa"/>
              <w:start w:w="80" w:type="dxa"/>
              <w:bottom w:w="70" w:type="dxa"/>
              <w:end w:w="80" w:type="dxa"/>
            </w:tcMar>
            <w:shd w:fill="F7F9FB"/>
          </w:tcPr>
          <w:p>
            <w:pPr>
              <w:widowControl/>
              <w:spacing w:after="0" w:line="240" w:lineRule="auto"/>
            </w:pPr>
            <w:r>
              <w:rPr>
                <w:rFonts w:ascii="Aptos" w:hAnsi="Aptos"/>
                <w:sz w:val="16"/>
              </w:rPr>
              <w:t>SEC Formal Order issued/served May 15 (verify); Tsao says she emailed Grayfield May 16; old phone trade-in May 20. Actual device model and knowledge disputed.</w:t>
            </w:r>
          </w:p>
        </w:tc>
      </w:tr>
      <w:tr>
        <w:tc>
          <w:tcPr>
            <w:tcW w:type="dxa" w:w="1512"/>
            <w:vAlign w:val="top"/>
            <w:tcMar>
              <w:top w:w="70" w:type="dxa"/>
              <w:start w:w="80" w:type="dxa"/>
              <w:bottom w:w="70" w:type="dxa"/>
              <w:end w:w="80" w:type="dxa"/>
            </w:tcMar>
          </w:tcPr>
          <w:p>
            <w:pPr>
              <w:widowControl/>
              <w:spacing w:after="0" w:line="240" w:lineRule="auto"/>
            </w:pPr>
            <w:r>
              <w:rPr>
                <w:rFonts w:ascii="Aptos" w:hAnsi="Aptos"/>
                <w:b/>
                <w:sz w:val="16"/>
              </w:rPr>
              <w:t>Jun. 3–10</w:t>
            </w:r>
          </w:p>
        </w:tc>
        <w:tc>
          <w:tcPr>
            <w:tcW w:type="dxa" w:w="9173"/>
            <w:vAlign w:val="top"/>
            <w:tcMar>
              <w:top w:w="70" w:type="dxa"/>
              <w:start w:w="80" w:type="dxa"/>
              <w:bottom w:w="70" w:type="dxa"/>
              <w:end w:w="80" w:type="dxa"/>
            </w:tcMar>
          </w:tcPr>
          <w:p>
            <w:pPr>
              <w:widowControl/>
              <w:spacing w:after="0" w:line="240" w:lineRule="auto"/>
            </w:pPr>
            <w:r>
              <w:rPr>
                <w:rFonts w:ascii="Aptos" w:hAnsi="Aptos"/>
                <w:sz w:val="16"/>
              </w:rPr>
              <w:t>Subpoena issued June 3, served June 5, received internally June 6; hold June 6; Mehta reports device trade-in June 8; Ridgeline retained June 10; blotter extract dated June 10.</w:t>
            </w:r>
          </w:p>
        </w:tc>
      </w:tr>
      <w:tr>
        <w:tc>
          <w:tcPr>
            <w:tcW w:type="dxa" w:w="1512"/>
            <w:vAlign w:val="top"/>
            <w:tcMar>
              <w:top w:w="70" w:type="dxa"/>
              <w:start w:w="80" w:type="dxa"/>
              <w:bottom w:w="70" w:type="dxa"/>
              <w:end w:w="80" w:type="dxa"/>
            </w:tcMar>
            <w:shd w:fill="F7F9FB"/>
          </w:tcPr>
          <w:p>
            <w:pPr>
              <w:widowControl/>
              <w:spacing w:after="0" w:line="240" w:lineRule="auto"/>
            </w:pPr>
            <w:r>
              <w:rPr>
                <w:rFonts w:ascii="Aptos" w:hAnsi="Aptos"/>
                <w:b/>
                <w:sz w:val="16"/>
              </w:rPr>
              <w:t>Jul. 8, 2024</w:t>
            </w:r>
          </w:p>
        </w:tc>
        <w:tc>
          <w:tcPr>
            <w:tcW w:type="dxa" w:w="9173"/>
            <w:vAlign w:val="top"/>
            <w:tcMar>
              <w:top w:w="70" w:type="dxa"/>
              <w:start w:w="80" w:type="dxa"/>
              <w:bottom w:w="70" w:type="dxa"/>
              <w:end w:w="80" w:type="dxa"/>
            </w:tcMar>
            <w:shd w:fill="F7F9FB"/>
          </w:tcPr>
          <w:p>
            <w:pPr>
              <w:widowControl/>
              <w:spacing w:after="0" w:line="240" w:lineRule="auto"/>
            </w:pPr>
            <w:r>
              <w:rPr>
                <w:rFonts w:ascii="Aptos" w:hAnsi="Aptos"/>
                <w:sz w:val="16"/>
              </w:rPr>
              <w:t>Subpoena return date: production 10:00 a.m., testimony 2:00 p.m., subject to verification/extension.</w:t>
            </w:r>
          </w:p>
        </w:tc>
      </w:tr>
    </w:tbl>
    <w:p>
      <w:pPr>
        <w:spacing w:after="0"/>
      </w:pPr>
    </w:p>
    <w:p>
      <w:pPr>
        <w:pStyle w:val="Heading1"/>
      </w:pPr>
      <w:r>
        <w:t>XII. Bottom line</w:t>
      </w:r>
    </w:p>
    <w:p>
      <w:r>
        <w:rPr>
          <w:i w:val="0"/>
        </w:rPr>
        <w:t>Treat this as a high-risk parallel SEC/criminal investigation with urgent evidence-preservation, conflict, and deadline issues. The family connection and timing are serious, but the record still lacks the critical link: proof of what Ashford communicated, what Grayfield and Zheng knew, and when they knew it. The fastest way to improve the defense position is disciplined preservation and source-based reconstruction—not advocacy based on the present narrative. Authenticate the subpoena, secure the devices and off-channel data, separate individual representation, reconcile the trade records, and seek a written extension and proportionate production protocol before making substantive representations or signing a search certification.</w:t>
      </w: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GRAYFIELD CAPITAL  •  GRAND JURY SUBPOENA ISSUES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464"/>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27A"/>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52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31" w:hanging="216"/>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31" w:hanging="216"/>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Jury Subpoena Issues Memorandum — Grayfield Capital Partners, LLC</dc:title>
  <dc:subject>Preliminary legal issues analysis based on provided client documents</dc:subject>
  <dc:creator>Whitfield &amp; Crane LLP — Defense Team</dc:creator>
  <cp:keywords>privileged, attorney work product, subpoena, grand jury, VRDN</cp:keywords>
  <dc:description>generated by python-docx</dc:description>
  <cp:lastModifiedBy/>
  <cp:revision>1</cp:revision>
  <dcterms:created xsi:type="dcterms:W3CDTF">2013-12-23T23:15:00Z</dcterms:created>
  <dcterms:modified xsi:type="dcterms:W3CDTF">2013-12-23T23:15:00Z</dcterms:modified>
  <cp:category/>
</cp:coreProperties>
</file>