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ATTORNEY-CLIENT COMMUNICATION / ATTORNEY WORK PRODUCT</w:t>
        <w:br/>
        <w:t>PREPARED IN ANTICIPATION OF LITIGATION</w:t>
      </w:r>
    </w:p>
    <w:p>
      <w:pPr>
        <w:jc w:val="center"/>
      </w:pPr>
      <w:r>
        <w:rPr>
          <w:b/>
          <w:sz w:val="28"/>
        </w:rPr>
        <w:t>WHITFIELD &amp; CRANE LLP</w:t>
      </w:r>
    </w:p>
    <w:p>
      <w:pPr>
        <w:jc w:val="center"/>
      </w:pPr>
      <w:r>
        <w:rPr>
          <w:b/>
          <w:sz w:val="26"/>
        </w:rPr>
        <w:t>MEMORANDUM</w:t>
      </w:r>
    </w:p>
    <w:tbl>
      <w:tblPr>
        <w:tblW w:type="auto" w:w="0"/>
        <w:tblLook w:firstColumn="1" w:firstRow="1" w:lastColumn="0" w:lastRow="0" w:noHBand="0" w:noVBand="1" w:val="04A0"/>
      </w:tblPr>
      <w:tblGrid>
        <w:gridCol w:w="4680"/>
        <w:gridCol w:w="4680"/>
      </w:tblGrid>
      <w:tr>
        <w:tc>
          <w:tcPr>
            <w:tcW w:type="dxa" w:w="2160"/>
          </w:tcPr>
          <w:p>
            <w:r>
              <w:rPr>
                <w:b/>
              </w:rPr>
              <w:t>TO:</w:t>
            </w:r>
          </w:p>
        </w:tc>
        <w:tc>
          <w:tcPr>
            <w:tcW w:type="dxa" w:w="7200"/>
          </w:tcPr>
          <w:p>
            <w:r>
              <w:t>Catherine Whitfield, Lead Partner</w:t>
            </w:r>
          </w:p>
        </w:tc>
      </w:tr>
      <w:tr>
        <w:tc>
          <w:tcPr>
            <w:tcW w:type="dxa" w:w="2160"/>
          </w:tcPr>
          <w:p>
            <w:r>
              <w:rPr>
                <w:b/>
              </w:rPr>
              <w:t>FROM:</w:t>
            </w:r>
          </w:p>
        </w:tc>
        <w:tc>
          <w:tcPr>
            <w:tcW w:type="dxa" w:w="7200"/>
          </w:tcPr>
          <w:p>
            <w:r>
              <w:t>[Associate], Whitfield &amp; Crane LLP</w:t>
            </w:r>
          </w:p>
        </w:tc>
      </w:tr>
      <w:tr>
        <w:tc>
          <w:tcPr>
            <w:tcW w:type="dxa" w:w="2160"/>
          </w:tcPr>
          <w:p>
            <w:r>
              <w:rPr>
                <w:b/>
              </w:rPr>
              <w:t>DATE:</w:t>
            </w:r>
          </w:p>
        </w:tc>
        <w:tc>
          <w:tcPr>
            <w:tcW w:type="dxa" w:w="7200"/>
          </w:tcPr>
          <w:p>
            <w:r>
              <w:t>June 11, 2024</w:t>
            </w:r>
          </w:p>
        </w:tc>
      </w:tr>
      <w:tr>
        <w:tc>
          <w:tcPr>
            <w:tcW w:type="dxa" w:w="2160"/>
          </w:tcPr>
          <w:p>
            <w:r>
              <w:rPr>
                <w:b/>
              </w:rPr>
              <w:t>CLIENT/MATTER:</w:t>
            </w:r>
          </w:p>
        </w:tc>
        <w:tc>
          <w:tcPr>
            <w:tcW w:type="dxa" w:w="7200"/>
          </w:tcPr>
          <w:p>
            <w:r>
              <w:t>Grayfield Capital Partners, LLC — SDNY Grand Jury No. 24-GJ-1187 / SEC HO-14492</w:t>
            </w:r>
          </w:p>
        </w:tc>
      </w:tr>
      <w:tr>
        <w:tc>
          <w:tcPr>
            <w:tcW w:type="dxa" w:w="2160"/>
          </w:tcPr>
          <w:p>
            <w:r>
              <w:rPr>
                <w:b/>
              </w:rPr>
              <w:t>RE:</w:t>
            </w:r>
          </w:p>
        </w:tc>
        <w:tc>
          <w:tcPr>
            <w:tcW w:type="dxa" w:w="7200"/>
          </w:tcPr>
          <w:p>
            <w:r>
              <w:t>Issues Analysis — Grand Jury Subpoena Duces Tecum (Return Date July 8, 2024) and Related Client Materials</w:t>
            </w:r>
          </w:p>
        </w:tc>
      </w:tr>
    </w:tbl>
    <w:p>
      <w:r>
        <w:t>__________________________________________________________________________________________</w:t>
      </w:r>
    </w:p>
    <w:p>
      <w:pPr>
        <w:pStyle w:val="Heading1"/>
      </w:pPr>
      <w:r>
        <w:t>I. Executive Summary</w:t>
      </w:r>
    </w:p>
    <w:p>
      <w:r>
        <w:rPr>
          <w:b w:val="0"/>
        </w:rPr>
        <w:t xml:space="preserve">You asked for an issues analysis of the grand jury subpoena served on Grayfield Capital Partners, LLC ("Grayfield" or the "Firm"). I reviewed the subpoena alongside the June 7 intake memo from CCO Rebecca Tsao, the November 2023 Clearwater audit report, the Code of Ethics, the March 14, 2024 Investment Committee ("IC") memo, the Grayfield–Zheng email chain, the June 6 preservation notice, the Priya Mehta email of June 8, and the Ridgeline trading blotter extract. My bottom line: </w:t>
      </w:r>
      <w:r>
        <w:rPr>
          <w:b/>
        </w:rPr>
        <w:t>this matter is considerably more serious than the intake memo suggests, and several of the intake memo’s characterizations are contradicted by the Firm’s own documents.</w:t>
      </w:r>
      <w:r>
        <w:rPr>
          <w:b w:val="0"/>
        </w:rPr>
        <w:t xml:space="preserve"> Our first priority should be controlling the evidentiary record and resolving the governance and conflict problems. Negotiating the subpoena comes after that.</w:t>
      </w:r>
    </w:p>
    <w:p>
      <w:r>
        <w:rPr>
          <w:b w:val="0"/>
        </w:rPr>
      </w:r>
      <w:r>
        <w:rPr>
          <w:b/>
        </w:rPr>
        <w:t>Priority issues (in order of urgency):</w:t>
      </w:r>
      <w:r>
        <w:rPr>
          <w:b w:val="0"/>
        </w:rPr>
      </w:r>
    </w:p>
    <w:p>
      <w:pPr>
        <w:pStyle w:val="ListBullet"/>
      </w:pPr>
      <w:r>
        <w:rPr>
          <w:b w:val="0"/>
        </w:rPr>
      </w:r>
      <w:r>
        <w:rPr>
          <w:b/>
        </w:rPr>
        <w:t>Spoliation / obstruction exposure (immediate).</w:t>
      </w:r>
      <w:r>
        <w:rPr>
          <w:b w:val="0"/>
        </w:rPr>
        <w:t xml:space="preserve"> Marcus Grayfield traded in his iPhone on May 20, 2024, with iCloud backup disabled. That was four days after Ms. Tsao emailed him about the SEC Formal Order, and it breached Code § VIII.C (IT must extract data before trade-in). Kevin Zheng’s Signal disappearing messages (24-hour timer) have apparently still not been stopped, so data may be lost every day. The June 6 hold notice leaves out personal devices and messaging apps, and it came three weeks after the preservation duty attached on May 15. These facts create potential 18 U.S.C. §§ 1512(c) and 1519 exposure for individuals and affect the Firm’s eligibility for cooperation credit.</w:t>
      </w:r>
    </w:p>
    <w:p>
      <w:pPr>
        <w:pStyle w:val="ListBullet"/>
      </w:pPr>
      <w:r>
        <w:rPr>
          <w:b w:val="0"/>
        </w:rPr>
      </w:r>
      <w:r>
        <w:rPr>
          <w:b/>
        </w:rPr>
        <w:t>Marcus Grayfield cannot be jointly represented by us.</w:t>
      </w:r>
      <w:r>
        <w:rPr>
          <w:b w:val="0"/>
        </w:rPr>
        <w:t xml:space="preserve"> His interests are directly adverse to the entity’s (NY RPC 1.7 and 1.13). We should tell him in writing to retain separate counsel, give Upjohn warnings in every interview, and set up an independent decision-maker for the entity, because Marcus currently controls both the Firm and its CCO.</w:t>
      </w:r>
    </w:p>
    <w:p>
      <w:pPr>
        <w:pStyle w:val="ListBullet"/>
      </w:pPr>
      <w:r>
        <w:rPr>
          <w:b w:val="0"/>
        </w:rPr>
      </w:r>
      <w:r>
        <w:rPr>
          <w:b/>
        </w:rPr>
        <w:t>The Clearwater report is very likely not privileged.</w:t>
      </w:r>
      <w:r>
        <w:rPr>
          <w:b w:val="0"/>
        </w:rPr>
        <w:t xml:space="preserve"> No lawyer was involved. It was an annual Rule 206(4)-7 compliance review, and the "prepared at the direction of counsel" legend is factually untrue. Asserting privilege would probably fail and could damage our credibility with the AUSA. My recommendation is to produce it (along with its confidential appendix), after preparing to address its contents.</w:t>
      </w:r>
    </w:p>
    <w:p>
      <w:pPr>
        <w:pStyle w:val="ListBullet"/>
      </w:pPr>
      <w:r>
        <w:rPr>
          <w:b w:val="0"/>
        </w:rPr>
      </w:r>
      <w:r>
        <w:rPr>
          <w:b/>
        </w:rPr>
        <w:t>The March 23 email must be produced.</w:t>
      </w:r>
      <w:r>
        <w:rPr>
          <w:b w:val="0"/>
        </w:rPr>
        <w:t xml:space="preserve"> There is no basis to withhold it. Several other documents are at least as troubling: the IC memo’s internal anomalies, the March 5 fund fill that matches Marcus’s personal trade exactly, and the jump in Zheng’s estimated approval probability right after the March 12 Ashford call.</w:t>
      </w:r>
    </w:p>
    <w:p>
      <w:pPr>
        <w:pStyle w:val="ListBullet"/>
      </w:pPr>
      <w:r>
        <w:rPr>
          <w:b w:val="0"/>
        </w:rPr>
      </w:r>
      <w:r>
        <w:rPr>
          <w:b/>
        </w:rPr>
        <w:t>The subpoena has facial irregularities and overbreadth.</w:t>
      </w:r>
      <w:r>
        <w:rPr>
          <w:b w:val="0"/>
        </w:rPr>
        <w:t xml:space="preserve"> The AUSA’s name and email address do not match. Attachment B demands a corporate designee to testify before the grand jury. Several requests reach entities, persons and records outside the Firm’s control or plainly outside the investigation (for example, 2024 tax returns that do not yet exist). These points give us leverage to negotiate, but under *R. Enterprises* they are not strong grounds for a motion to quash.</w:t>
      </w:r>
    </w:p>
    <w:p>
      <w:pPr>
        <w:pStyle w:val="ListBullet"/>
      </w:pPr>
      <w:r>
        <w:rPr>
          <w:b w:val="0"/>
        </w:rPr>
      </w:r>
      <w:r>
        <w:rPr>
          <w:b/>
        </w:rPr>
        <w:t>Extension.</w:t>
      </w:r>
      <w:r>
        <w:rPr>
          <w:b w:val="0"/>
        </w:rPr>
        <w:t xml:space="preserve"> The 33-day return period is not realistic. After we independently confirm the AUSA’s identity, we should promptly seek an adjournment tied to a rolling-production proposal.</w:t>
      </w:r>
    </w:p>
    <w:p>
      <w:pPr>
        <w:pStyle w:val="Heading1"/>
      </w:pPr>
      <w:r>
        <w:t>II. Background and Key Dates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D9E2F3"/>
          </w:tcPr>
          <w:p>
            <w:r/>
            <w:r>
              <w:rPr>
                <w:b/>
                <w:sz w:val="20"/>
              </w:rPr>
              <w:t>Date</w:t>
            </w:r>
          </w:p>
        </w:tc>
        <w:tc>
          <w:tcPr>
            <w:tcW w:type="dxa" w:w="4608"/>
            <w:shd w:val="clear" w:color="auto" w:fill="D9E2F3"/>
          </w:tcPr>
          <w:p>
            <w:r/>
            <w:r>
              <w:rPr>
                <w:b/>
                <w:sz w:val="20"/>
              </w:rPr>
              <w:t>Event</w:t>
            </w:r>
          </w:p>
        </w:tc>
        <w:tc>
          <w:tcPr>
            <w:tcW w:type="dxa" w:w="3024"/>
            <w:shd w:val="clear" w:color="auto" w:fill="D9E2F3"/>
          </w:tcPr>
          <w:p>
            <w:r/>
            <w:r>
              <w:rPr>
                <w:b/>
                <w:sz w:val="20"/>
              </w:rPr>
              <w:t>Source / Comment</w:t>
            </w:r>
          </w:p>
        </w:tc>
      </w:tr>
      <w:tr>
        <w:tc>
          <w:tcPr>
            <w:tcW w:type="dxa" w:w="1728"/>
          </w:tcPr>
          <w:p>
            <w:r>
              <w:rPr>
                <w:sz w:val="20"/>
              </w:rPr>
            </w:r>
            <w:r>
              <w:rPr>
                <w:b w:val="0"/>
                <w:sz w:val="20"/>
              </w:rPr>
              <w:t>Mar. 3, 2024 (Sun.)</w:t>
            </w:r>
          </w:p>
        </w:tc>
        <w:tc>
          <w:tcPr>
            <w:tcW w:type="dxa" w:w="4608"/>
          </w:tcPr>
          <w:p>
            <w:r>
              <w:rPr>
                <w:sz w:val="20"/>
              </w:rPr>
            </w:r>
            <w:r>
              <w:rPr>
                <w:b w:val="0"/>
                <w:sz w:val="20"/>
              </w:rPr>
              <w:t>Confidential Veridian SAB meeting; Dr. Neil Ashford (Marcus’s brother-in-law) receives preliminary FDA review data (89% ORR) under NDA</w:t>
            </w:r>
          </w:p>
        </w:tc>
        <w:tc>
          <w:tcPr>
            <w:tcW w:type="dxa" w:w="3024"/>
          </w:tcPr>
          <w:p>
            <w:r>
              <w:rPr>
                <w:sz w:val="20"/>
              </w:rPr>
            </w:r>
            <w:r>
              <w:rPr>
                <w:b w:val="0"/>
                <w:sz w:val="20"/>
              </w:rPr>
              <w:t xml:space="preserve">Intake memo. </w:t>
            </w:r>
            <w:r>
              <w:rPr>
                <w:b/>
                <w:sz w:val="20"/>
              </w:rPr>
              <w:t>How Ms. Tsao knows the 89% figure is unexplained</w:t>
            </w:r>
            <w:r>
              <w:rPr>
                <w:b w:val="0"/>
                <w:sz w:val="20"/>
              </w:rPr>
              <w:t xml:space="preserve"> (see § IV.F)</w:t>
            </w:r>
          </w:p>
        </w:tc>
      </w:tr>
      <w:tr>
        <w:tc>
          <w:tcPr>
            <w:tcW w:type="dxa" w:w="1728"/>
          </w:tcPr>
          <w:p>
            <w:r>
              <w:rPr>
                <w:sz w:val="20"/>
              </w:rPr>
            </w:r>
            <w:r>
              <w:rPr>
                <w:b w:val="0"/>
                <w:sz w:val="20"/>
              </w:rPr>
              <w:t>Mar. 4 (Mon.)</w:t>
            </w:r>
          </w:p>
        </w:tc>
        <w:tc>
          <w:tcPr>
            <w:tcW w:type="dxa" w:w="4608"/>
          </w:tcPr>
          <w:p>
            <w:r>
              <w:rPr>
                <w:sz w:val="20"/>
              </w:rPr>
            </w:r>
            <w:r>
              <w:rPr>
                <w:b w:val="0"/>
                <w:sz w:val="20"/>
              </w:rPr>
              <w:t>Fund’s first VRDN purchase (45,000 sh); no prior VRDN position</w:t>
            </w:r>
          </w:p>
        </w:tc>
        <w:tc>
          <w:tcPr>
            <w:tcW w:type="dxa" w:w="3024"/>
          </w:tcPr>
          <w:p>
            <w:r>
              <w:rPr>
                <w:sz w:val="20"/>
              </w:rPr>
            </w:r>
            <w:r>
              <w:rPr>
                <w:b w:val="0"/>
                <w:sz w:val="20"/>
              </w:rPr>
              <w:t>Blotter</w:t>
            </w:r>
          </w:p>
        </w:tc>
      </w:tr>
      <w:tr>
        <w:tc>
          <w:tcPr>
            <w:tcW w:type="dxa" w:w="1728"/>
          </w:tcPr>
          <w:p>
            <w:r>
              <w:rPr>
                <w:sz w:val="20"/>
              </w:rPr>
            </w:r>
            <w:r>
              <w:rPr>
                <w:b w:val="0"/>
                <w:sz w:val="20"/>
              </w:rPr>
              <w:t>Mar. 5</w:t>
            </w:r>
          </w:p>
        </w:tc>
        <w:tc>
          <w:tcPr>
            <w:tcW w:type="dxa" w:w="4608"/>
          </w:tcPr>
          <w:p>
            <w:r>
              <w:rPr>
                <w:sz w:val="20"/>
              </w:rPr>
            </w:r>
            <w:r>
              <w:rPr>
                <w:b w:val="0"/>
                <w:sz w:val="20"/>
              </w:rPr>
              <w:t xml:space="preserve">Marcus personal buy: 15,000 sh @ $41.90 ($628,500) at Fielding &amp; Strauss; not pre-cleared. </w:t>
            </w:r>
            <w:r>
              <w:rPr>
                <w:b/>
                <w:sz w:val="20"/>
              </w:rPr>
              <w:t>Fund blotter shows an identical 15,000 @ $41.90 fill the same day, through the same broker</w:t>
            </w:r>
            <w:r>
              <w:rPr>
                <w:b w:val="0"/>
                <w:sz w:val="20"/>
              </w:rPr>
            </w:r>
          </w:p>
        </w:tc>
        <w:tc>
          <w:tcPr>
            <w:tcW w:type="dxa" w:w="3024"/>
          </w:tcPr>
          <w:p>
            <w:r>
              <w:rPr>
                <w:sz w:val="20"/>
              </w:rPr>
            </w:r>
            <w:r>
              <w:rPr>
                <w:b w:val="0"/>
                <w:sz w:val="20"/>
              </w:rPr>
              <w:t>Intake memo; blotter</w:t>
            </w:r>
          </w:p>
        </w:tc>
      </w:tr>
      <w:tr>
        <w:tc>
          <w:tcPr>
            <w:tcW w:type="dxa" w:w="1728"/>
          </w:tcPr>
          <w:p>
            <w:r>
              <w:rPr>
                <w:sz w:val="20"/>
              </w:rPr>
            </w:r>
            <w:r>
              <w:rPr>
                <w:b w:val="0"/>
                <w:sz w:val="20"/>
              </w:rPr>
              <w:t>Mar. 11</w:t>
            </w:r>
          </w:p>
        </w:tc>
        <w:tc>
          <w:tcPr>
            <w:tcW w:type="dxa" w:w="4608"/>
          </w:tcPr>
          <w:p>
            <w:r>
              <w:rPr>
                <w:sz w:val="20"/>
              </w:rPr>
            </w:r>
            <w:r>
              <w:rPr>
                <w:b w:val="0"/>
                <w:sz w:val="20"/>
              </w:rPr>
              <w:t>Zheng email: approval probability "60–65% based on publicly available information"</w:t>
            </w:r>
          </w:p>
        </w:tc>
        <w:tc>
          <w:tcPr>
            <w:tcW w:type="dxa" w:w="3024"/>
          </w:tcPr>
          <w:p>
            <w:r>
              <w:rPr>
                <w:sz w:val="20"/>
              </w:rPr>
            </w:r>
            <w:r>
              <w:rPr>
                <w:b w:val="0"/>
                <w:sz w:val="20"/>
              </w:rPr>
              <w:t>Email chain</w:t>
            </w:r>
          </w:p>
        </w:tc>
      </w:tr>
      <w:tr>
        <w:tc>
          <w:tcPr>
            <w:tcW w:type="dxa" w:w="1728"/>
          </w:tcPr>
          <w:p>
            <w:r>
              <w:rPr>
                <w:sz w:val="20"/>
              </w:rPr>
            </w:r>
            <w:r>
              <w:rPr>
                <w:b w:val="0"/>
                <w:sz w:val="20"/>
              </w:rPr>
              <w:t>Mar. 12</w:t>
            </w:r>
          </w:p>
        </w:tc>
        <w:tc>
          <w:tcPr>
            <w:tcW w:type="dxa" w:w="4608"/>
          </w:tcPr>
          <w:p>
            <w:r>
              <w:rPr>
                <w:sz w:val="20"/>
              </w:rPr>
            </w:r>
            <w:r>
              <w:rPr>
                <w:b w:val="0"/>
                <w:sz w:val="20"/>
              </w:rPr>
              <w:t>22-minute Ashford–Grayfield cell call</w:t>
            </w:r>
          </w:p>
        </w:tc>
        <w:tc>
          <w:tcPr>
            <w:tcW w:type="dxa" w:w="3024"/>
          </w:tcPr>
          <w:p>
            <w:r>
              <w:rPr>
                <w:sz w:val="20"/>
              </w:rPr>
            </w:r>
            <w:r>
              <w:rPr>
                <w:b w:val="0"/>
                <w:sz w:val="20"/>
              </w:rPr>
              <w:t>Intake memo</w:t>
            </w:r>
          </w:p>
        </w:tc>
      </w:tr>
      <w:tr>
        <w:tc>
          <w:tcPr>
            <w:tcW w:type="dxa" w:w="1728"/>
          </w:tcPr>
          <w:p>
            <w:r>
              <w:rPr>
                <w:sz w:val="20"/>
              </w:rPr>
            </w:r>
            <w:r>
              <w:rPr>
                <w:b w:val="0"/>
                <w:sz w:val="20"/>
              </w:rPr>
              <w:t>Mar. 14</w:t>
            </w:r>
          </w:p>
        </w:tc>
        <w:tc>
          <w:tcPr>
            <w:tcW w:type="dxa" w:w="4608"/>
          </w:tcPr>
          <w:p>
            <w:r>
              <w:rPr>
                <w:sz w:val="20"/>
              </w:rPr>
            </w:r>
            <w:r>
              <w:rPr>
                <w:b w:val="0"/>
                <w:sz w:val="20"/>
              </w:rPr>
              <w:t>IC memo: approval probability now "70–75%"; approved by Marcus, Lindquist, D. Hargrove; compliance review signed by Tsao</w:t>
            </w:r>
          </w:p>
        </w:tc>
        <w:tc>
          <w:tcPr>
            <w:tcW w:type="dxa" w:w="3024"/>
          </w:tcPr>
          <w:p>
            <w:r>
              <w:rPr>
                <w:sz w:val="20"/>
              </w:rPr>
            </w:r>
            <w:r>
              <w:rPr>
                <w:b w:val="0"/>
                <w:sz w:val="20"/>
              </w:rPr>
              <w:t>IC memo</w:t>
            </w:r>
          </w:p>
        </w:tc>
      </w:tr>
      <w:tr>
        <w:tc>
          <w:tcPr>
            <w:tcW w:type="dxa" w:w="1728"/>
          </w:tcPr>
          <w:p>
            <w:r>
              <w:rPr>
                <w:sz w:val="20"/>
              </w:rPr>
            </w:r>
            <w:r>
              <w:rPr>
                <w:b w:val="0"/>
                <w:sz w:val="20"/>
              </w:rPr>
              <w:t>Mar. 23 (Sat.)</w:t>
            </w:r>
          </w:p>
        </w:tc>
        <w:tc>
          <w:tcPr>
            <w:tcW w:type="dxa" w:w="4608"/>
          </w:tcPr>
          <w:p>
            <w:r>
              <w:rPr>
                <w:sz w:val="20"/>
              </w:rPr>
            </w:r>
            <w:r>
              <w:rPr>
                <w:b w:val="0"/>
                <w:sz w:val="20"/>
              </w:rPr>
              <w:t>Marcus to Zheng: "Our thesis is right on this one. The data will speak for itself. Size up."</w:t>
            </w:r>
          </w:p>
        </w:tc>
        <w:tc>
          <w:tcPr>
            <w:tcW w:type="dxa" w:w="3024"/>
          </w:tcPr>
          <w:p>
            <w:r>
              <w:rPr>
                <w:sz w:val="20"/>
              </w:rPr>
            </w:r>
            <w:r>
              <w:rPr>
                <w:b w:val="0"/>
                <w:sz w:val="20"/>
              </w:rPr>
              <w:t>Email chain</w:t>
            </w:r>
          </w:p>
        </w:tc>
      </w:tr>
      <w:tr>
        <w:tc>
          <w:tcPr>
            <w:tcW w:type="dxa" w:w="1728"/>
          </w:tcPr>
          <w:p>
            <w:r>
              <w:rPr>
                <w:sz w:val="20"/>
              </w:rPr>
            </w:r>
            <w:r>
              <w:rPr>
                <w:b w:val="0"/>
                <w:sz w:val="20"/>
              </w:rPr>
              <w:t>Apr. 2</w:t>
            </w:r>
          </w:p>
        </w:tc>
        <w:tc>
          <w:tcPr>
            <w:tcW w:type="dxa" w:w="4608"/>
          </w:tcPr>
          <w:p>
            <w:r>
              <w:rPr>
                <w:sz w:val="20"/>
              </w:rPr>
            </w:r>
            <w:r>
              <w:rPr>
                <w:b w:val="0"/>
                <w:sz w:val="20"/>
              </w:rPr>
              <w:t>Veridian 8-K pre-announces positive topline results</w:t>
            </w:r>
          </w:p>
        </w:tc>
        <w:tc>
          <w:tcPr>
            <w:tcW w:type="dxa" w:w="3024"/>
          </w:tcPr>
          <w:p>
            <w:r>
              <w:rPr>
                <w:sz w:val="20"/>
              </w:rPr>
            </w:r>
            <w:r>
              <w:rPr>
                <w:b w:val="0"/>
                <w:sz w:val="20"/>
              </w:rPr>
              <w:t>Intake memo</w:t>
            </w:r>
          </w:p>
        </w:tc>
      </w:tr>
      <w:tr>
        <w:tc>
          <w:tcPr>
            <w:tcW w:type="dxa" w:w="1728"/>
          </w:tcPr>
          <w:p>
            <w:r>
              <w:rPr>
                <w:sz w:val="20"/>
              </w:rPr>
            </w:r>
            <w:r>
              <w:rPr>
                <w:b w:val="0"/>
                <w:sz w:val="20"/>
              </w:rPr>
              <w:t>Apr. 5</w:t>
            </w:r>
          </w:p>
        </w:tc>
        <w:tc>
          <w:tcPr>
            <w:tcW w:type="dxa" w:w="4608"/>
          </w:tcPr>
          <w:p>
            <w:r>
              <w:rPr>
                <w:sz w:val="20"/>
              </w:rPr>
            </w:r>
            <w:r>
              <w:rPr>
                <w:b w:val="0"/>
                <w:sz w:val="20"/>
              </w:rPr>
              <w:t>Final fund purchase (position 550,000 sh)</w:t>
            </w:r>
          </w:p>
        </w:tc>
        <w:tc>
          <w:tcPr>
            <w:tcW w:type="dxa" w:w="3024"/>
          </w:tcPr>
          <w:p>
            <w:r>
              <w:rPr>
                <w:sz w:val="20"/>
              </w:rPr>
            </w:r>
            <w:r>
              <w:rPr>
                <w:b w:val="0"/>
                <w:sz w:val="20"/>
              </w:rPr>
              <w:t>Blotter</w:t>
            </w:r>
          </w:p>
        </w:tc>
      </w:tr>
      <w:tr>
        <w:tc>
          <w:tcPr>
            <w:tcW w:type="dxa" w:w="1728"/>
          </w:tcPr>
          <w:p>
            <w:r>
              <w:rPr>
                <w:sz w:val="20"/>
              </w:rPr>
            </w:r>
            <w:r>
              <w:rPr>
                <w:b w:val="0"/>
                <w:sz w:val="20"/>
              </w:rPr>
              <w:t>Apr. 8</w:t>
            </w:r>
          </w:p>
        </w:tc>
        <w:tc>
          <w:tcPr>
            <w:tcW w:type="dxa" w:w="4608"/>
          </w:tcPr>
          <w:p>
            <w:r>
              <w:rPr>
                <w:sz w:val="20"/>
              </w:rPr>
            </w:r>
            <w:r>
              <w:rPr>
                <w:b w:val="0"/>
                <w:sz w:val="20"/>
              </w:rPr>
              <w:t>FDA approval; VRDN up ~47%; fund begins selling</w:t>
            </w:r>
          </w:p>
        </w:tc>
        <w:tc>
          <w:tcPr>
            <w:tcW w:type="dxa" w:w="3024"/>
          </w:tcPr>
          <w:p>
            <w:r>
              <w:rPr>
                <w:sz w:val="20"/>
              </w:rPr>
            </w:r>
            <w:r>
              <w:rPr>
                <w:b w:val="0"/>
                <w:sz w:val="20"/>
              </w:rPr>
              <w:t>Intake memo; blotter</w:t>
            </w:r>
          </w:p>
        </w:tc>
      </w:tr>
      <w:tr>
        <w:tc>
          <w:tcPr>
            <w:tcW w:type="dxa" w:w="1728"/>
          </w:tcPr>
          <w:p>
            <w:r>
              <w:rPr>
                <w:sz w:val="20"/>
              </w:rPr>
            </w:r>
            <w:r>
              <w:rPr>
                <w:b w:val="0"/>
                <w:sz w:val="20"/>
              </w:rPr>
              <w:t>Apr. 9</w:t>
            </w:r>
          </w:p>
        </w:tc>
        <w:tc>
          <w:tcPr>
            <w:tcW w:type="dxa" w:w="4608"/>
          </w:tcPr>
          <w:p>
            <w:r>
              <w:rPr>
                <w:sz w:val="20"/>
              </w:rPr>
            </w:r>
            <w:r>
              <w:rPr>
                <w:b w:val="0"/>
                <w:sz w:val="20"/>
              </w:rPr>
              <w:t>Marcus sells 10,000 personal shares @ $60.50 (profit $186,000); still holds 5,000</w:t>
            </w:r>
          </w:p>
        </w:tc>
        <w:tc>
          <w:tcPr>
            <w:tcW w:type="dxa" w:w="3024"/>
          </w:tcPr>
          <w:p>
            <w:r>
              <w:rPr>
                <w:sz w:val="20"/>
              </w:rPr>
            </w:r>
            <w:r>
              <w:rPr>
                <w:b w:val="0"/>
                <w:sz w:val="20"/>
              </w:rPr>
              <w:t>Intake memo</w:t>
            </w:r>
          </w:p>
        </w:tc>
      </w:tr>
      <w:tr>
        <w:tc>
          <w:tcPr>
            <w:tcW w:type="dxa" w:w="1728"/>
          </w:tcPr>
          <w:p>
            <w:r>
              <w:rPr>
                <w:sz w:val="20"/>
              </w:rPr>
            </w:r>
            <w:r>
              <w:rPr>
                <w:b w:val="0"/>
                <w:sz w:val="20"/>
              </w:rPr>
              <w:t>May 15</w:t>
            </w:r>
          </w:p>
        </w:tc>
        <w:tc>
          <w:tcPr>
            <w:tcW w:type="dxa" w:w="4608"/>
          </w:tcPr>
          <w:p>
            <w:r>
              <w:rPr>
                <w:sz w:val="20"/>
              </w:rPr>
            </w:r>
            <w:r>
              <w:rPr>
                <w:b w:val="0"/>
                <w:sz w:val="20"/>
              </w:rPr>
              <w:t xml:space="preserve">SEC Formal Order HO-14492 served on Firm. </w:t>
            </w:r>
            <w:r>
              <w:rPr>
                <w:b/>
                <w:sz w:val="20"/>
              </w:rPr>
              <w:t>Preservation duty attaches no later than this date</w:t>
            </w:r>
            <w:r>
              <w:rPr>
                <w:b w:val="0"/>
                <w:sz w:val="20"/>
              </w:rPr>
            </w:r>
          </w:p>
        </w:tc>
        <w:tc>
          <w:tcPr>
            <w:tcW w:type="dxa" w:w="3024"/>
          </w:tcPr>
          <w:p>
            <w:r>
              <w:rPr>
                <w:sz w:val="20"/>
              </w:rPr>
            </w:r>
            <w:r>
              <w:rPr>
                <w:b w:val="0"/>
                <w:sz w:val="20"/>
              </w:rPr>
              <w:t>Intake memo</w:t>
            </w:r>
          </w:p>
        </w:tc>
      </w:tr>
      <w:tr>
        <w:tc>
          <w:tcPr>
            <w:tcW w:type="dxa" w:w="1728"/>
          </w:tcPr>
          <w:p>
            <w:r>
              <w:rPr>
                <w:sz w:val="20"/>
              </w:rPr>
            </w:r>
            <w:r>
              <w:rPr>
                <w:b w:val="0"/>
                <w:sz w:val="20"/>
              </w:rPr>
              <w:t>May 16</w:t>
            </w:r>
          </w:p>
        </w:tc>
        <w:tc>
          <w:tcPr>
            <w:tcW w:type="dxa" w:w="4608"/>
          </w:tcPr>
          <w:p>
            <w:r>
              <w:rPr>
                <w:sz w:val="20"/>
              </w:rPr>
            </w:r>
            <w:r>
              <w:rPr>
                <w:b w:val="0"/>
                <w:sz w:val="20"/>
              </w:rPr>
              <w:t>Tsao emails Marcus about SEC investigation</w:t>
            </w:r>
          </w:p>
        </w:tc>
        <w:tc>
          <w:tcPr>
            <w:tcW w:type="dxa" w:w="3024"/>
          </w:tcPr>
          <w:p>
            <w:r>
              <w:rPr>
                <w:sz w:val="20"/>
              </w:rPr>
            </w:r>
            <w:r>
              <w:rPr>
                <w:b w:val="0"/>
                <w:sz w:val="20"/>
              </w:rPr>
              <w:t>Intake memo (Tsao retains copy)</w:t>
            </w:r>
          </w:p>
        </w:tc>
      </w:tr>
      <w:tr>
        <w:tc>
          <w:tcPr>
            <w:tcW w:type="dxa" w:w="1728"/>
          </w:tcPr>
          <w:p>
            <w:r>
              <w:rPr>
                <w:sz w:val="20"/>
              </w:rPr>
            </w:r>
            <w:r>
              <w:rPr>
                <w:b w:val="0"/>
                <w:sz w:val="20"/>
              </w:rPr>
              <w:t>May 20</w:t>
            </w:r>
          </w:p>
        </w:tc>
        <w:tc>
          <w:tcPr>
            <w:tcW w:type="dxa" w:w="4608"/>
          </w:tcPr>
          <w:p>
            <w:r>
              <w:rPr>
                <w:sz w:val="20"/>
              </w:rPr>
            </w:r>
            <w:r>
              <w:rPr>
                <w:b w:val="0"/>
                <w:sz w:val="20"/>
              </w:rPr>
              <w:t>Marcus trades in old iPhone; iCloud backup off; new phone set up fresh</w:t>
            </w:r>
          </w:p>
        </w:tc>
        <w:tc>
          <w:tcPr>
            <w:tcW w:type="dxa" w:w="3024"/>
          </w:tcPr>
          <w:p>
            <w:r>
              <w:rPr>
                <w:sz w:val="20"/>
              </w:rPr>
            </w:r>
            <w:r>
              <w:rPr>
                <w:b w:val="0"/>
                <w:sz w:val="20"/>
              </w:rPr>
              <w:t>Mehta email; intake memo</w:t>
            </w:r>
          </w:p>
        </w:tc>
      </w:tr>
      <w:tr>
        <w:tc>
          <w:tcPr>
            <w:tcW w:type="dxa" w:w="1728"/>
          </w:tcPr>
          <w:p>
            <w:r>
              <w:rPr>
                <w:sz w:val="20"/>
              </w:rPr>
            </w:r>
            <w:r>
              <w:rPr>
                <w:b w:val="0"/>
                <w:sz w:val="20"/>
              </w:rPr>
              <w:t>June 3 / June 5</w:t>
            </w:r>
          </w:p>
        </w:tc>
        <w:tc>
          <w:tcPr>
            <w:tcW w:type="dxa" w:w="4608"/>
          </w:tcPr>
          <w:p>
            <w:r>
              <w:rPr>
                <w:sz w:val="20"/>
              </w:rPr>
            </w:r>
            <w:r>
              <w:rPr>
                <w:b w:val="0"/>
                <w:sz w:val="20"/>
              </w:rPr>
              <w:t>Subpoena issued / served on registered agent</w:t>
            </w:r>
          </w:p>
        </w:tc>
        <w:tc>
          <w:tcPr>
            <w:tcW w:type="dxa" w:w="3024"/>
          </w:tcPr>
          <w:p>
            <w:r>
              <w:rPr>
                <w:sz w:val="20"/>
              </w:rPr>
            </w:r>
            <w:r>
              <w:rPr>
                <w:b w:val="0"/>
                <w:sz w:val="20"/>
              </w:rPr>
              <w:t>Subpoena</w:t>
            </w:r>
          </w:p>
        </w:tc>
      </w:tr>
      <w:tr>
        <w:tc>
          <w:tcPr>
            <w:tcW w:type="dxa" w:w="1728"/>
          </w:tcPr>
          <w:p>
            <w:r>
              <w:rPr>
                <w:sz w:val="20"/>
              </w:rPr>
            </w:r>
            <w:r>
              <w:rPr>
                <w:b w:val="0"/>
                <w:sz w:val="20"/>
              </w:rPr>
              <w:t>June 6</w:t>
            </w:r>
          </w:p>
        </w:tc>
        <w:tc>
          <w:tcPr>
            <w:tcW w:type="dxa" w:w="4608"/>
          </w:tcPr>
          <w:p>
            <w:r>
              <w:rPr>
                <w:sz w:val="20"/>
              </w:rPr>
            </w:r>
            <w:r>
              <w:rPr>
                <w:b w:val="0"/>
                <w:sz w:val="20"/>
              </w:rPr>
              <w:t>Tsao issues Firm-wide hold notice</w:t>
            </w:r>
          </w:p>
        </w:tc>
        <w:tc>
          <w:tcPr>
            <w:tcW w:type="dxa" w:w="3024"/>
          </w:tcPr>
          <w:p>
            <w:r>
              <w:rPr>
                <w:sz w:val="20"/>
              </w:rPr>
            </w:r>
            <w:r>
              <w:rPr>
                <w:b w:val="0"/>
                <w:sz w:val="20"/>
              </w:rPr>
              <w:t>Preservation notice</w:t>
            </w:r>
          </w:p>
        </w:tc>
      </w:tr>
      <w:tr>
        <w:tc>
          <w:tcPr>
            <w:tcW w:type="dxa" w:w="1728"/>
          </w:tcPr>
          <w:p>
            <w:r>
              <w:rPr>
                <w:sz w:val="20"/>
              </w:rPr>
            </w:r>
            <w:r>
              <w:rPr>
                <w:b w:val="0"/>
                <w:sz w:val="20"/>
              </w:rPr>
              <w:t>June 7</w:t>
            </w:r>
          </w:p>
        </w:tc>
        <w:tc>
          <w:tcPr>
            <w:tcW w:type="dxa" w:w="4608"/>
          </w:tcPr>
          <w:p>
            <w:r>
              <w:rPr>
                <w:sz w:val="20"/>
              </w:rPr>
            </w:r>
            <w:r>
              <w:rPr>
                <w:b w:val="0"/>
                <w:sz w:val="20"/>
              </w:rPr>
              <w:t>W&amp;C retained (entity only)</w:t>
            </w:r>
          </w:p>
        </w:tc>
        <w:tc>
          <w:tcPr>
            <w:tcW w:type="dxa" w:w="3024"/>
          </w:tcPr>
          <w:p>
            <w:r>
              <w:rPr>
                <w:sz w:val="20"/>
              </w:rPr>
            </w:r>
            <w:r>
              <w:rPr>
                <w:b w:val="0"/>
                <w:sz w:val="20"/>
              </w:rPr>
              <w:t>Intake memo</w:t>
            </w:r>
          </w:p>
        </w:tc>
      </w:tr>
      <w:tr>
        <w:tc>
          <w:tcPr>
            <w:tcW w:type="dxa" w:w="1728"/>
          </w:tcPr>
          <w:p>
            <w:r>
              <w:rPr>
                <w:sz w:val="20"/>
              </w:rPr>
            </w:r>
            <w:r>
              <w:rPr>
                <w:b w:val="0"/>
                <w:sz w:val="20"/>
              </w:rPr>
              <w:t>June 10</w:t>
            </w:r>
          </w:p>
        </w:tc>
        <w:tc>
          <w:tcPr>
            <w:tcW w:type="dxa" w:w="4608"/>
          </w:tcPr>
          <w:p>
            <w:r>
              <w:rPr>
                <w:sz w:val="20"/>
              </w:rPr>
            </w:r>
            <w:r>
              <w:rPr>
                <w:b w:val="0"/>
                <w:sz w:val="20"/>
              </w:rPr>
              <w:t>Ridgeline retained by W&amp;C; blotter extract prepared</w:t>
            </w:r>
          </w:p>
        </w:tc>
        <w:tc>
          <w:tcPr>
            <w:tcW w:type="dxa" w:w="3024"/>
          </w:tcPr>
          <w:p>
            <w:r>
              <w:rPr>
                <w:sz w:val="20"/>
              </w:rPr>
            </w:r>
            <w:r>
              <w:rPr>
                <w:b w:val="0"/>
                <w:sz w:val="20"/>
              </w:rPr>
              <w:t>Blotter metadata</w:t>
            </w:r>
          </w:p>
        </w:tc>
      </w:tr>
      <w:tr>
        <w:tc>
          <w:tcPr>
            <w:tcW w:type="dxa" w:w="1728"/>
          </w:tcPr>
          <w:p>
            <w:r>
              <w:rPr>
                <w:sz w:val="20"/>
              </w:rPr>
            </w:r>
            <w:r>
              <w:rPr>
                <w:b w:val="0"/>
                <w:sz w:val="20"/>
              </w:rPr>
            </w:r>
            <w:r>
              <w:rPr>
                <w:b/>
                <w:sz w:val="20"/>
              </w:rPr>
              <w:t>July 8</w:t>
            </w:r>
            <w:r>
              <w:rPr>
                <w:b w:val="0"/>
                <w:sz w:val="20"/>
              </w:rPr>
            </w:r>
          </w:p>
        </w:tc>
        <w:tc>
          <w:tcPr>
            <w:tcW w:type="dxa" w:w="4608"/>
          </w:tcPr>
          <w:p>
            <w:r>
              <w:rPr>
                <w:sz w:val="20"/>
              </w:rPr>
            </w:r>
            <w:r>
              <w:rPr>
                <w:b w:val="0"/>
                <w:sz w:val="20"/>
              </w:rPr>
            </w:r>
            <w:r>
              <w:rPr>
                <w:b/>
                <w:sz w:val="20"/>
              </w:rPr>
              <w:t>Return date: documents 10:00 a.m.; testimony 2:00 p.m.</w:t>
            </w:r>
            <w:r>
              <w:rPr>
                <w:b w:val="0"/>
                <w:sz w:val="20"/>
              </w:rPr>
            </w:r>
          </w:p>
        </w:tc>
        <w:tc>
          <w:tcPr>
            <w:tcW w:type="dxa" w:w="3024"/>
          </w:tcPr>
          <w:p>
            <w:r>
              <w:rPr>
                <w:sz w:val="20"/>
              </w:rPr>
            </w:r>
            <w:r>
              <w:rPr>
                <w:b w:val="0"/>
                <w:sz w:val="20"/>
              </w:rPr>
              <w:t>Subpoena</w:t>
            </w:r>
          </w:p>
        </w:tc>
      </w:tr>
    </w:tbl>
    <w:p/>
    <w:p>
      <w:pPr>
        <w:pStyle w:val="Heading1"/>
      </w:pPr>
      <w:r>
        <w:t>III. Threshold Issues with the Subpoena Itself</w:t>
      </w:r>
    </w:p>
    <w:p>
      <w:pPr>
        <w:pStyle w:val="Heading2"/>
      </w:pPr>
      <w:r>
        <w:t>A. Authenticity and Identity of the Issuing AUSA</w:t>
      </w:r>
    </w:p>
    <w:p>
      <w:r>
        <w:rPr>
          <w:b w:val="0"/>
        </w:rPr>
        <w:t xml:space="preserve">The subpoena names the issuing AUSA as "Jonathan Cromdale Consulting" throughout, but the email address listed is </w:t>
      </w:r>
      <w:r>
        <w:rPr>
          <w:b/>
        </w:rPr>
        <w:t>jonathan.mercer@usdoj.gov</w:t>
      </w:r>
      <w:r>
        <w:rPr>
          <w:b w:val="0"/>
        </w:rPr>
        <w:t>. The surname "Consulting" looks like a drafting or template error, and the mismatch between name and email needs to be resolved before we communicate substantively. The proof of service is also unsigned, with the server’s name and title left blank. The registered agent ("DC Statutory Agent") is listed at a New York address.</w:t>
      </w:r>
    </w:p>
    <w:p>
      <w:r>
        <w:rPr>
          <w:b w:val="0"/>
        </w:rPr>
      </w:r>
      <w:r>
        <w:rPr>
          <w:b/>
        </w:rPr>
        <w:t>Recommendation:</w:t>
      </w:r>
      <w:r>
        <w:rPr>
          <w:b w:val="0"/>
        </w:rPr>
        <w:t xml:space="preserve"> Before any substantive contact, verify the AUSA’s identity and the matter through the SDNY USAO main switchboard (a number we look up independently, not the number on the subpoena) and the Securities and Commodities Fraud Task Force. Ask for the correct spelling of the AUSA’s name and the right email address, and confirm service details with the registered agent. I do not recommend challenging service. Grayfield actually received the subpoena, and a service challenge would buy nothing and cost goodwill. We should, however, record the defects in our file.</w:t>
      </w:r>
    </w:p>
    <w:p>
      <w:pPr>
        <w:pStyle w:val="Heading2"/>
      </w:pPr>
      <w:r>
        <w:t>B. Attachment B — Compelled Corporate Designee Testimony</w:t>
      </w:r>
    </w:p>
    <w:p>
      <w:r>
        <w:rPr>
          <w:b w:val="0"/>
        </w:rPr>
        <w:t>Attachment B commands Grayfield to "designate and produce" corporate representatives prepared to testify on 11 topics. This borrows from civil Rule 30(b)(6); Rule 17 has no equivalent mechanism in the grand jury context. A Rule 17(c) subpoena duces tecum compels documents, and testimony is ordinarily compelled from a named individual. Several practical problems also arise:</w:t>
      </w:r>
    </w:p>
    <w:p>
      <w:pPr>
        <w:pStyle w:val="ListBullet"/>
      </w:pPr>
      <w:r>
        <w:rPr>
          <w:b w:val="0"/>
        </w:rPr>
        <w:t>The obvious designees are Marcus, Zheng, Tsao and possibly Mehta, and each is a percipient witness with potential personal exposure. Any of them could assert the Fifth Amendment individually. The entity has no Fifth Amendment privilege (*Braswell v. United States*, 487 U.S. 99 (1988); *Hale v. Henkel*), but it cannot force an individual to give up his.</w:t>
      </w:r>
    </w:p>
    <w:p>
      <w:pPr>
        <w:pStyle w:val="ListBullet"/>
      </w:pPr>
      <w:r>
        <w:rPr>
          <w:b w:val="0"/>
        </w:rPr>
        <w:t>A prepared designee would be giving sworn testimony on topics (for example, Topics 4, 7, 9 and 10) that effectively concede the Firm’s positions on the central disputed facts, before our internal investigation is done.</w:t>
      </w:r>
    </w:p>
    <w:p>
      <w:pPr>
        <w:pStyle w:val="ListBullet"/>
      </w:pPr>
      <w:r>
        <w:rPr>
          <w:b w:val="0"/>
        </w:rPr>
        <w:t>Topic 9 (preservation steps after the SEC Formal Order) would require sworn testimony about the iPhone trade-in and the Signal issue before we have decided on a disclosure strategy.</w:t>
      </w:r>
    </w:p>
    <w:p>
      <w:pPr>
        <w:pStyle w:val="ListBullet"/>
      </w:pPr>
      <w:r>
        <w:rPr>
          <w:b w:val="0"/>
        </w:rPr>
        <w:t>Scheduling testimony on the same day as the document return date is unworkable.</w:t>
      </w:r>
    </w:p>
    <w:p>
      <w:r>
        <w:rPr>
          <w:b w:val="0"/>
        </w:rPr>
      </w:r>
      <w:r>
        <w:rPr>
          <w:b/>
        </w:rPr>
        <w:t>Recommendation:</w:t>
      </w:r>
      <w:r>
        <w:rPr>
          <w:b w:val="0"/>
        </w:rPr>
        <w:t xml:space="preserve"> Ask the AUSA to withdraw or adjourn Attachment B indefinitely. In its place, offer (i) a custodian-of-records certification or declaration to authenticate business records (FRE 803(6), 902(11)), and (ii) an attorney proffer on organizational structure and document-retention systems (Topics 1, 8). Substantive topics should await completion of our investigation. If the government insists, we should consider a motion to quash or modify Attachment B under Rule 17(c)(2).</w:t>
      </w:r>
    </w:p>
    <w:p>
      <w:pPr>
        <w:pStyle w:val="Heading2"/>
      </w:pPr>
      <w:r>
        <w:t>C. Legal Standard for Challenging Requests</w:t>
      </w:r>
    </w:p>
    <w:p>
      <w:r>
        <w:rPr>
          <w:b w:val="0"/>
        </w:rPr>
        <w:t>Grand jury subpoenas are presumed reasonable. A motion to quash on relevance grounds must fail unless "there is no reasonable possibility that the category of materials the Government seeks will produce information relevant to the general subject of the grand jury’s investigation." *United States v. R. Enterprises, Inc.*, 498 U.S. 292, 301 (1991). Overbreadth and burden arguments stand a somewhat better chance when a request reaches unrelated entities or would impose unreasonable cost. Overall, our leverage is in negotiation, not motion practice. We should approach the AUSA constructively and hold litigation in reserve for the corporate-testimony demand and for any privilege dispute.</w:t>
      </w:r>
    </w:p>
    <w:p>
      <w:pPr>
        <w:pStyle w:val="Heading2"/>
      </w:pPr>
      <w:r>
        <w:t>D. Parallel SEC Proceeding</w:t>
      </w:r>
    </w:p>
    <w:p>
      <w:r>
        <w:rPr>
          <w:b w:val="0"/>
        </w:rPr>
        <w:t>SEC HO-14492 covers substantially the same conduct, and the SEC has separately subpoenaed Marcus and Zheng personally. Request 7 seeks everything produced to the SEC. We should treat every SEC production as a grand jury production (and the reverse), keep one Bates-numbered production set and one privilege log, and assume information is shared between the two agencies. Any SEC testimony by Marcus or Zheng raises Fifth Amendment waiver issues that their separate counsel must evaluate before they appear.</w:t>
      </w:r>
    </w:p>
    <w:p>
      <w:pPr>
        <w:pStyle w:val="Heading1"/>
      </w:pPr>
      <w:r>
        <w:t>IV. Request-by-Request Analysis</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D9E2F3"/>
          </w:tcPr>
          <w:p>
            <w:r/>
            <w:r>
              <w:rPr>
                <w:b/>
                <w:sz w:val="20"/>
              </w:rPr>
              <w:t>Request</w:t>
            </w:r>
          </w:p>
        </w:tc>
        <w:tc>
          <w:tcPr>
            <w:tcW w:type="dxa" w:w="3888"/>
            <w:shd w:val="clear" w:color="auto" w:fill="D9E2F3"/>
          </w:tcPr>
          <w:p>
            <w:r/>
            <w:r>
              <w:rPr>
                <w:b/>
                <w:sz w:val="20"/>
              </w:rPr>
              <w:t>Issue(s)</w:t>
            </w:r>
          </w:p>
        </w:tc>
        <w:tc>
          <w:tcPr>
            <w:tcW w:type="dxa" w:w="3600"/>
            <w:shd w:val="clear" w:color="auto" w:fill="D9E2F3"/>
          </w:tcPr>
          <w:p>
            <w:r/>
            <w:r>
              <w:rPr>
                <w:b/>
                <w:sz w:val="20"/>
              </w:rPr>
              <w:t>Recommended Position</w:t>
            </w:r>
          </w:p>
        </w:tc>
      </w:tr>
      <w:tr>
        <w:tc>
          <w:tcPr>
            <w:tcW w:type="dxa" w:w="1872"/>
          </w:tcPr>
          <w:p>
            <w:r>
              <w:rPr>
                <w:sz w:val="20"/>
              </w:rPr>
            </w:r>
            <w:r>
              <w:rPr>
                <w:b w:val="0"/>
                <w:sz w:val="20"/>
              </w:rPr>
            </w:r>
            <w:r>
              <w:rPr>
                <w:b/>
                <w:sz w:val="20"/>
              </w:rPr>
              <w:t>Definitions 2, 3, 9</w:t>
            </w:r>
            <w:r>
              <w:rPr>
                <w:b w:val="0"/>
                <w:sz w:val="20"/>
              </w:rPr>
              <w:t xml:space="preserve"> ("Recipient," "Related Entities," "You")</w:t>
            </w:r>
          </w:p>
        </w:tc>
        <w:tc>
          <w:tcPr>
            <w:tcW w:type="dxa" w:w="3888"/>
          </w:tcPr>
          <w:p>
            <w:r>
              <w:rPr>
                <w:sz w:val="20"/>
              </w:rPr>
            </w:r>
            <w:r>
              <w:rPr>
                <w:b w:val="0"/>
                <w:sz w:val="20"/>
              </w:rPr>
              <w:t xml:space="preserve">"Related Entities" reaches any entity in which Marcus holds 10% or more, </w:t>
            </w:r>
            <w:r>
              <w:rPr>
                <w:b/>
                <w:sz w:val="20"/>
              </w:rPr>
              <w:t>including family offices and trusts</w:t>
            </w:r>
            <w:r>
              <w:rPr>
                <w:b w:val="0"/>
                <w:sz w:val="20"/>
              </w:rPr>
              <w:t xml:space="preserve"> that Grayfield neither owns nor controls. "You" includes the Firm’s </w:t>
            </w:r>
            <w:r>
              <w:rPr>
                <w:b/>
                <w:sz w:val="20"/>
              </w:rPr>
              <w:t>attorneys</w:t>
            </w:r>
            <w:r>
              <w:rPr>
                <w:b w:val="0"/>
                <w:sz w:val="20"/>
              </w:rPr>
              <w:t>, which would sweep in W&amp;C files and Ridgeline work.</w:t>
            </w:r>
          </w:p>
        </w:tc>
        <w:tc>
          <w:tcPr>
            <w:tcW w:type="dxa" w:w="3600"/>
          </w:tcPr>
          <w:p>
            <w:r>
              <w:rPr>
                <w:sz w:val="20"/>
              </w:rPr>
            </w:r>
            <w:r>
              <w:rPr>
                <w:b w:val="0"/>
                <w:sz w:val="20"/>
              </w:rPr>
              <w:t>Object; limit to Grayfield and its three funds. Grayfield cannot produce documents held by Marcus’s personal family office or trusts; the government should subpoena those entities directly. Expressly exclude outside counsel and counsel-retained consultants.</w:t>
            </w:r>
          </w:p>
        </w:tc>
      </w:tr>
      <w:tr>
        <w:tc>
          <w:tcPr>
            <w:tcW w:type="dxa" w:w="1872"/>
          </w:tcPr>
          <w:p>
            <w:r>
              <w:rPr>
                <w:sz w:val="20"/>
              </w:rPr>
            </w:r>
            <w:r>
              <w:rPr>
                <w:b w:val="0"/>
                <w:sz w:val="20"/>
              </w:rPr>
              <w:t>1 (VRDN trading)</w:t>
            </w:r>
          </w:p>
        </w:tc>
        <w:tc>
          <w:tcPr>
            <w:tcW w:type="dxa" w:w="3888"/>
          </w:tcPr>
          <w:p>
            <w:r>
              <w:rPr>
                <w:sz w:val="20"/>
              </w:rPr>
            </w:r>
            <w:r>
              <w:rPr>
                <w:b w:val="0"/>
                <w:sz w:val="20"/>
              </w:rPr>
              <w:t>Core request; clearly relevant.</w:t>
            </w:r>
          </w:p>
        </w:tc>
        <w:tc>
          <w:tcPr>
            <w:tcW w:type="dxa" w:w="3600"/>
          </w:tcPr>
          <w:p>
            <w:r>
              <w:rPr>
                <w:sz w:val="20"/>
              </w:rPr>
            </w:r>
            <w:r>
              <w:rPr>
                <w:b w:val="0"/>
                <w:sz w:val="20"/>
              </w:rPr>
              <w:t xml:space="preserve">Produce </w:t>
            </w:r>
            <w:r>
              <w:rPr>
                <w:b/>
                <w:sz w:val="20"/>
              </w:rPr>
              <w:t>native OMS/Eze and Fielding &amp; Strauss records</w:t>
            </w:r>
            <w:r>
              <w:rPr>
                <w:b w:val="0"/>
                <w:sz w:val="20"/>
              </w:rPr>
              <w:t xml:space="preserve">. Do </w:t>
            </w:r>
            <w:r>
              <w:rPr>
                <w:b/>
                <w:sz w:val="20"/>
              </w:rPr>
              <w:t>not</w:t>
            </w:r>
            <w:r>
              <w:rPr>
                <w:b w:val="0"/>
                <w:sz w:val="20"/>
              </w:rPr>
              <w:t xml:space="preserve"> produce the Ridgeline extract, which contains counsel annotations (see § V.C).</w:t>
            </w:r>
          </w:p>
        </w:tc>
      </w:tr>
      <w:tr>
        <w:tc>
          <w:tcPr>
            <w:tcW w:type="dxa" w:w="1872"/>
          </w:tcPr>
          <w:p>
            <w:r>
              <w:rPr>
                <w:sz w:val="20"/>
              </w:rPr>
            </w:r>
            <w:r>
              <w:rPr>
                <w:b w:val="0"/>
                <w:sz w:val="20"/>
              </w:rPr>
              <w:t>2 (Marcus–Ashford communications, all means)</w:t>
            </w:r>
          </w:p>
        </w:tc>
        <w:tc>
          <w:tcPr>
            <w:tcW w:type="dxa" w:w="3888"/>
          </w:tcPr>
          <w:p>
            <w:r>
              <w:rPr>
                <w:sz w:val="20"/>
              </w:rPr>
            </w:r>
            <w:r>
              <w:rPr>
                <w:b w:val="0"/>
                <w:sz w:val="20"/>
              </w:rPr>
              <w:t>Relevant. Many of these communications are on Marcus’s personal devices, and the principal source (the old iPhone) is gone. Includes family communications.</w:t>
            </w:r>
          </w:p>
        </w:tc>
        <w:tc>
          <w:tcPr>
            <w:tcW w:type="dxa" w:w="3600"/>
          </w:tcPr>
          <w:p>
            <w:r>
              <w:rPr>
                <w:sz w:val="20"/>
              </w:rPr>
            </w:r>
            <w:r>
              <w:rPr>
                <w:b w:val="0"/>
                <w:sz w:val="20"/>
              </w:rPr>
              <w:t>Produce what is in Firm systems (Smarsh). Personal-device material in Marcus’s possession raises custodian and act-of-production issues for his separate counsel. Prepare to address the iPhone gap (§ VI).</w:t>
            </w:r>
          </w:p>
        </w:tc>
      </w:tr>
      <w:tr>
        <w:tc>
          <w:tcPr>
            <w:tcW w:type="dxa" w:w="1872"/>
          </w:tcPr>
          <w:p>
            <w:r>
              <w:rPr>
                <w:sz w:val="20"/>
              </w:rPr>
            </w:r>
            <w:r>
              <w:rPr>
                <w:b w:val="0"/>
                <w:sz w:val="20"/>
              </w:rPr>
              <w:t>3 (IC memos, research)</w:t>
            </w:r>
          </w:p>
        </w:tc>
        <w:tc>
          <w:tcPr>
            <w:tcW w:type="dxa" w:w="3888"/>
          </w:tcPr>
          <w:p>
            <w:r>
              <w:rPr>
                <w:sz w:val="20"/>
              </w:rPr>
            </w:r>
            <w:r>
              <w:rPr>
                <w:b w:val="0"/>
                <w:sz w:val="20"/>
              </w:rPr>
              <w:t xml:space="preserve">Relevant. </w:t>
            </w:r>
            <w:r>
              <w:rPr>
                <w:b/>
                <w:sz w:val="20"/>
              </w:rPr>
              <w:t>Drafts and version history are critical</w:t>
            </w:r>
            <w:r>
              <w:rPr>
                <w:b w:val="0"/>
                <w:sz w:val="20"/>
              </w:rPr>
              <w:t xml:space="preserve"> (see § V.B).</w:t>
            </w:r>
          </w:p>
        </w:tc>
        <w:tc>
          <w:tcPr>
            <w:tcW w:type="dxa" w:w="3600"/>
          </w:tcPr>
          <w:p>
            <w:r>
              <w:rPr>
                <w:sz w:val="20"/>
              </w:rPr>
            </w:r>
            <w:r>
              <w:rPr>
                <w:b w:val="0"/>
                <w:sz w:val="20"/>
              </w:rPr>
              <w:t>Produce, including metadata and drafts. Forensically collect document-management version histories before producing anything.</w:t>
            </w:r>
          </w:p>
        </w:tc>
      </w:tr>
      <w:tr>
        <w:tc>
          <w:tcPr>
            <w:tcW w:type="dxa" w:w="1872"/>
          </w:tcPr>
          <w:p>
            <w:r>
              <w:rPr>
                <w:sz w:val="20"/>
              </w:rPr>
            </w:r>
            <w:r>
              <w:rPr>
                <w:b w:val="0"/>
                <w:sz w:val="20"/>
              </w:rPr>
              <w:t>4 (personal trading: Marcus, Zheng, Tsao, all desk-access employees)</w:t>
            </w:r>
          </w:p>
        </w:tc>
        <w:tc>
          <w:tcPr>
            <w:tcW w:type="dxa" w:w="3888"/>
          </w:tcPr>
          <w:p>
            <w:r>
              <w:rPr>
                <w:sz w:val="20"/>
              </w:rPr>
            </w:r>
            <w:r>
              <w:rPr>
                <w:b w:val="0"/>
                <w:sz w:val="20"/>
              </w:rPr>
              <w:t xml:space="preserve">Firm possesses duplicate confirmations and statements under Code § V.D for reported accounts; it may not control accounts that were never reported. </w:t>
            </w:r>
            <w:r>
              <w:rPr>
                <w:b/>
                <w:sz w:val="20"/>
              </w:rPr>
              <w:t>Ms. Tsao is named individually.</w:t>
            </w:r>
            <w:r>
              <w:rPr>
                <w:b w:val="0"/>
                <w:sz w:val="20"/>
              </w:rPr>
              <w:t xml:space="preserve"> Part (d) is vague ("access to…trading desk").</w:t>
            </w:r>
          </w:p>
        </w:tc>
        <w:tc>
          <w:tcPr>
            <w:tcW w:type="dxa" w:w="3600"/>
          </w:tcPr>
          <w:p>
            <w:r>
              <w:rPr>
                <w:sz w:val="20"/>
              </w:rPr>
            </w:r>
            <w:r>
              <w:rPr>
                <w:b w:val="0"/>
                <w:sz w:val="20"/>
              </w:rPr>
              <w:t>Produce records held in compliance files; confirm we produce only what the Firm possesses. Negotiate (d) down to Opportunity Fund access persons. Ms. Tsao being named supports separate counsel for her (§ VII.C).</w:t>
            </w:r>
          </w:p>
        </w:tc>
      </w:tr>
      <w:tr>
        <w:tc>
          <w:tcPr>
            <w:tcW w:type="dxa" w:w="1872"/>
          </w:tcPr>
          <w:p>
            <w:r>
              <w:rPr>
                <w:sz w:val="20"/>
              </w:rPr>
            </w:r>
            <w:r>
              <w:rPr>
                <w:b w:val="0"/>
                <w:sz w:val="20"/>
              </w:rPr>
              <w:t>5 (compliance records)</w:t>
            </w:r>
          </w:p>
        </w:tc>
        <w:tc>
          <w:tcPr>
            <w:tcW w:type="dxa" w:w="3888"/>
          </w:tcPr>
          <w:p>
            <w:r>
              <w:rPr>
                <w:sz w:val="20"/>
              </w:rPr>
            </w:r>
            <w:r>
              <w:rPr>
                <w:b w:val="0"/>
                <w:sz w:val="20"/>
              </w:rPr>
              <w:t>Relevant. Pre-clearance logs, restricted/watch lists and any Code § VI.C family-relationship disclosure for Ashford are central evidence.</w:t>
            </w:r>
          </w:p>
        </w:tc>
        <w:tc>
          <w:tcPr>
            <w:tcW w:type="dxa" w:w="3600"/>
          </w:tcPr>
          <w:p>
            <w:r>
              <w:rPr>
                <w:sz w:val="20"/>
              </w:rPr>
            </w:r>
            <w:r>
              <w:rPr>
                <w:b w:val="0"/>
                <w:sz w:val="20"/>
              </w:rPr>
              <w:t>Produce. Locate first whether the Ashford relationship was ever disclosed and logged (§ V.E).</w:t>
            </w:r>
          </w:p>
        </w:tc>
      </w:tr>
      <w:tr>
        <w:tc>
          <w:tcPr>
            <w:tcW w:type="dxa" w:w="1872"/>
          </w:tcPr>
          <w:p>
            <w:r>
              <w:rPr>
                <w:sz w:val="20"/>
              </w:rPr>
            </w:r>
            <w:r>
              <w:rPr>
                <w:b w:val="0"/>
                <w:sz w:val="20"/>
              </w:rPr>
              <w:t>6 (communications with Veridian personnel)</w:t>
            </w:r>
          </w:p>
        </w:tc>
        <w:tc>
          <w:tcPr>
            <w:tcW w:type="dxa" w:w="3888"/>
          </w:tcPr>
          <w:p>
            <w:r>
              <w:rPr>
                <w:sz w:val="20"/>
              </w:rPr>
            </w:r>
            <w:r>
              <w:rPr>
                <w:b w:val="0"/>
                <w:sz w:val="20"/>
              </w:rPr>
              <w:t>Includes Ashford (an SAB member). Relevant.</w:t>
            </w:r>
          </w:p>
        </w:tc>
        <w:tc>
          <w:tcPr>
            <w:tcW w:type="dxa" w:w="3600"/>
          </w:tcPr>
          <w:p>
            <w:r>
              <w:rPr>
                <w:sz w:val="20"/>
              </w:rPr>
            </w:r>
            <w:r>
              <w:rPr>
                <w:b w:val="0"/>
                <w:sz w:val="20"/>
              </w:rPr>
              <w:t>Produce; coordinate with Req. 2 and 18.</w:t>
            </w:r>
          </w:p>
        </w:tc>
      </w:tr>
      <w:tr>
        <w:tc>
          <w:tcPr>
            <w:tcW w:type="dxa" w:w="1872"/>
          </w:tcPr>
          <w:p>
            <w:r>
              <w:rPr>
                <w:sz w:val="20"/>
              </w:rPr>
            </w:r>
            <w:r>
              <w:rPr>
                <w:b w:val="0"/>
                <w:sz w:val="20"/>
              </w:rPr>
              <w:t>7 (SEC materials)</w:t>
            </w:r>
          </w:p>
        </w:tc>
        <w:tc>
          <w:tcPr>
            <w:tcW w:type="dxa" w:w="3888"/>
          </w:tcPr>
          <w:p>
            <w:r>
              <w:rPr>
                <w:sz w:val="20"/>
              </w:rPr>
            </w:r>
            <w:r>
              <w:rPr>
                <w:b w:val="0"/>
                <w:sz w:val="20"/>
              </w:rPr>
              <w:t>No privilege in materials already produced to the SEC (selective-waiver doctrine rejected in 2d Cir.; *In re Steinhardt Partners*, 9 F.3d 230 (2d Cir. 1993)).</w:t>
            </w:r>
          </w:p>
        </w:tc>
        <w:tc>
          <w:tcPr>
            <w:tcW w:type="dxa" w:w="3600"/>
          </w:tcPr>
          <w:p>
            <w:r>
              <w:rPr>
                <w:sz w:val="20"/>
              </w:rPr>
            </w:r>
            <w:r>
              <w:rPr>
                <w:b w:val="0"/>
                <w:sz w:val="20"/>
              </w:rPr>
              <w:t>Produce SEC productions and correspondence as they occur. Treat future SEC submissions (e.g., white papers, Wells submissions) as non-privileged.</w:t>
            </w:r>
          </w:p>
        </w:tc>
      </w:tr>
      <w:tr>
        <w:tc>
          <w:tcPr>
            <w:tcW w:type="dxa" w:w="1872"/>
          </w:tcPr>
          <w:p>
            <w:r>
              <w:rPr>
                <w:sz w:val="20"/>
              </w:rPr>
            </w:r>
            <w:r>
              <w:rPr>
                <w:b w:val="0"/>
                <w:sz w:val="20"/>
              </w:rPr>
              <w:t>8 (entire Opportunity Fund blotter, all securities)</w:t>
            </w:r>
          </w:p>
        </w:tc>
        <w:tc>
          <w:tcPr>
            <w:tcW w:type="dxa" w:w="3888"/>
          </w:tcPr>
          <w:p>
            <w:r>
              <w:rPr>
                <w:sz w:val="20"/>
              </w:rPr>
            </w:r>
            <w:r>
              <w:rPr>
                <w:b w:val="0"/>
                <w:sz w:val="20"/>
              </w:rPr>
              <w:t>Broad but likely survives *R. Enterprises*. The government may be looking for a pattern of trading ahead of catalysts involving other Ashford-connected issuers, or other tips.</w:t>
            </w:r>
          </w:p>
        </w:tc>
        <w:tc>
          <w:tcPr>
            <w:tcW w:type="dxa" w:w="3600"/>
          </w:tcPr>
          <w:p>
            <w:r>
              <w:rPr>
                <w:sz w:val="20"/>
              </w:rPr>
            </w:r>
            <w:r>
              <w:rPr>
                <w:b w:val="0"/>
                <w:sz w:val="20"/>
              </w:rPr>
              <w:t>Offer phased production: VRDN first, then full blotter in native form (low burden, since it is structured data). Do not spend capital fighting this one.</w:t>
            </w:r>
          </w:p>
        </w:tc>
      </w:tr>
      <w:tr>
        <w:tc>
          <w:tcPr>
            <w:tcW w:type="dxa" w:w="1872"/>
          </w:tcPr>
          <w:p>
            <w:r>
              <w:rPr>
                <w:sz w:val="20"/>
              </w:rPr>
            </w:r>
            <w:r>
              <w:rPr>
                <w:b w:val="0"/>
                <w:sz w:val="20"/>
              </w:rPr>
              <w:t>9 (formation/governance of any Grayfield entity)</w:t>
            </w:r>
          </w:p>
        </w:tc>
        <w:tc>
          <w:tcPr>
            <w:tcW w:type="dxa" w:w="3888"/>
          </w:tcPr>
          <w:p>
            <w:r>
              <w:rPr>
                <w:sz w:val="20"/>
              </w:rPr>
            </w:r>
            <w:r>
              <w:rPr>
                <w:b w:val="0"/>
                <w:sz w:val="20"/>
              </w:rPr>
              <w:t>Overbroad as to Fund III and Credit Partners, which had no VRDN activity. Side letters and subscription documents implicate investor confidentiality.</w:t>
            </w:r>
          </w:p>
        </w:tc>
        <w:tc>
          <w:tcPr>
            <w:tcW w:type="dxa" w:w="3600"/>
          </w:tcPr>
          <w:p>
            <w:r>
              <w:rPr>
                <w:sz w:val="20"/>
              </w:rPr>
            </w:r>
            <w:r>
              <w:rPr>
                <w:b w:val="0"/>
                <w:sz w:val="20"/>
              </w:rPr>
              <w:t>Narrow to Opportunity Fund and management company governance documents, plus organizational charts. Defer the rest.</w:t>
            </w:r>
          </w:p>
        </w:tc>
      </w:tr>
      <w:tr>
        <w:tc>
          <w:tcPr>
            <w:tcW w:type="dxa" w:w="1872"/>
          </w:tcPr>
          <w:p>
            <w:r>
              <w:rPr>
                <w:sz w:val="20"/>
              </w:rPr>
            </w:r>
            <w:r>
              <w:rPr>
                <w:b w:val="0"/>
                <w:sz w:val="20"/>
              </w:rPr>
              <w:t>10 (phone records, Marcus and Zheng)</w:t>
            </w:r>
          </w:p>
        </w:tc>
        <w:tc>
          <w:tcPr>
            <w:tcW w:type="dxa" w:w="3888"/>
          </w:tcPr>
          <w:p>
            <w:r>
              <w:rPr>
                <w:sz w:val="20"/>
              </w:rPr>
            </w:r>
            <w:r>
              <w:rPr>
                <w:b w:val="0"/>
                <w:sz w:val="20"/>
              </w:rPr>
              <w:t xml:space="preserve">If the lines are Firm-paid, the Firm likely has control and can obtain carrier records. If the lines are personal, the records belong to the individuals. </w:t>
            </w:r>
            <w:r>
              <w:rPr>
                <w:b/>
                <w:sz w:val="20"/>
              </w:rPr>
              <w:t>Carrier records survive the iPhone trade-in and partially mitigate the data loss.</w:t>
            </w:r>
            <w:r>
              <w:rPr>
                <w:b w:val="0"/>
                <w:sz w:val="20"/>
              </w:rPr>
            </w:r>
          </w:p>
        </w:tc>
        <w:tc>
          <w:tcPr>
            <w:tcW w:type="dxa" w:w="3600"/>
          </w:tcPr>
          <w:p>
            <w:r>
              <w:rPr>
                <w:sz w:val="20"/>
              </w:rPr>
            </w:r>
            <w:r>
              <w:rPr>
                <w:b w:val="0"/>
                <w:sz w:val="20"/>
              </w:rPr>
              <w:t>Determine account ownership. Produce Firm-account records. Obtain carrier records promptly; they are the best available substitute for the lost call log.</w:t>
            </w:r>
          </w:p>
        </w:tc>
      </w:tr>
      <w:tr>
        <w:tc>
          <w:tcPr>
            <w:tcW w:type="dxa" w:w="1872"/>
          </w:tcPr>
          <w:p>
            <w:r>
              <w:rPr>
                <w:sz w:val="20"/>
              </w:rPr>
            </w:r>
            <w:r>
              <w:rPr>
                <w:b w:val="0"/>
                <w:sz w:val="20"/>
              </w:rPr>
              <w:t>11 (all electronic communications, including personal email and Signal)</w:t>
            </w:r>
          </w:p>
        </w:tc>
        <w:tc>
          <w:tcPr>
            <w:tcW w:type="dxa" w:w="3888"/>
          </w:tcPr>
          <w:p>
            <w:r>
              <w:rPr>
                <w:sz w:val="20"/>
              </w:rPr>
            </w:r>
            <w:r>
              <w:rPr>
                <w:b w:val="0"/>
                <w:sz w:val="20"/>
              </w:rPr>
              <w:t>Personal email and messaging accounts are generally outside Firm control, except to the extent Code § VIII.A(d) gives the Firm contractual access to Firm-related data on registered personal devices. Individual Fifth Amendment act-of-production issues (*Fisher*; *Hubbell*).</w:t>
            </w:r>
          </w:p>
        </w:tc>
        <w:tc>
          <w:tcPr>
            <w:tcW w:type="dxa" w:w="3600"/>
          </w:tcPr>
          <w:p>
            <w:r>
              <w:rPr>
                <w:sz w:val="20"/>
              </w:rPr>
            </w:r>
            <w:r>
              <w:rPr>
                <w:b w:val="0"/>
                <w:sz w:val="20"/>
              </w:rPr>
              <w:t>Produce Smarsh-captured material. Separately evaluate whether BYOD consent gives the Firm "control" over business communications on personal devices. If it does, we probably must collect them. Coordinate with individual counsel.</w:t>
            </w:r>
          </w:p>
        </w:tc>
      </w:tr>
      <w:tr>
        <w:tc>
          <w:tcPr>
            <w:tcW w:type="dxa" w:w="1872"/>
          </w:tcPr>
          <w:p>
            <w:r>
              <w:rPr>
                <w:sz w:val="20"/>
              </w:rPr>
            </w:r>
            <w:r>
              <w:rPr>
                <w:b w:val="0"/>
                <w:sz w:val="20"/>
              </w:rPr>
              <w:t>12 (bank and wire records, all entities)</w:t>
            </w:r>
          </w:p>
        </w:tc>
        <w:tc>
          <w:tcPr>
            <w:tcW w:type="dxa" w:w="3888"/>
          </w:tcPr>
          <w:p>
            <w:r>
              <w:rPr>
                <w:sz w:val="20"/>
              </w:rPr>
            </w:r>
            <w:r>
              <w:rPr>
                <w:b w:val="0"/>
                <w:sz w:val="20"/>
              </w:rPr>
              <w:t>Overbroad as to Fund III and Credit. Likely aimed at following the money, e.g., payments to Ashford.</w:t>
            </w:r>
          </w:p>
        </w:tc>
        <w:tc>
          <w:tcPr>
            <w:tcW w:type="dxa" w:w="3600"/>
          </w:tcPr>
          <w:p>
            <w:r>
              <w:rPr>
                <w:sz w:val="20"/>
              </w:rPr>
            </w:r>
            <w:r>
              <w:rPr>
                <w:b w:val="0"/>
                <w:sz w:val="20"/>
              </w:rPr>
              <w:t>Offer Opportunity Fund and management company records first. Ask the AUSA whether a targeted search (for example, all payments to Ashford, his wife, or related entities) would satisfy the request as to other entities.</w:t>
            </w:r>
          </w:p>
        </w:tc>
      </w:tr>
      <w:tr>
        <w:tc>
          <w:tcPr>
            <w:tcW w:type="dxa" w:w="1872"/>
          </w:tcPr>
          <w:p>
            <w:r>
              <w:rPr>
                <w:sz w:val="20"/>
              </w:rPr>
            </w:r>
            <w:r>
              <w:rPr>
                <w:b w:val="0"/>
                <w:sz w:val="20"/>
              </w:rPr>
              <w:t>13 (Code of Ethics, versions, waivers, training)</w:t>
            </w:r>
          </w:p>
        </w:tc>
        <w:tc>
          <w:tcPr>
            <w:tcW w:type="dxa" w:w="3888"/>
          </w:tcPr>
          <w:p>
            <w:r>
              <w:rPr>
                <w:sz w:val="20"/>
              </w:rPr>
            </w:r>
            <w:r>
              <w:rPr>
                <w:b w:val="0"/>
                <w:sz w:val="20"/>
              </w:rPr>
              <w:t>Relevant. Note the version discrepancy (the Code says last amended March 1, 2023; Tsao and Clearwater say February 2022).</w:t>
            </w:r>
          </w:p>
        </w:tc>
        <w:tc>
          <w:tcPr>
            <w:tcW w:type="dxa" w:w="3600"/>
          </w:tcPr>
          <w:p>
            <w:r>
              <w:rPr>
                <w:sz w:val="20"/>
              </w:rPr>
            </w:r>
            <w:r>
              <w:rPr>
                <w:b w:val="0"/>
                <w:sz w:val="20"/>
              </w:rPr>
              <w:t>Produce all versions and resolve which was in effect in March 2024.</w:t>
            </w:r>
          </w:p>
        </w:tc>
      </w:tr>
      <w:tr>
        <w:tc>
          <w:tcPr>
            <w:tcW w:type="dxa" w:w="1872"/>
          </w:tcPr>
          <w:p>
            <w:r>
              <w:rPr>
                <w:sz w:val="20"/>
              </w:rPr>
            </w:r>
            <w:r>
              <w:rPr>
                <w:b w:val="0"/>
                <w:sz w:val="20"/>
              </w:rPr>
              <w:t>14 (all Clearwater documents)</w:t>
            </w:r>
          </w:p>
        </w:tc>
        <w:tc>
          <w:tcPr>
            <w:tcW w:type="dxa" w:w="3888"/>
          </w:tcPr>
          <w:p>
            <w:r>
              <w:rPr>
                <w:sz w:val="20"/>
              </w:rPr>
            </w:r>
            <w:r>
              <w:rPr>
                <w:b w:val="0"/>
                <w:sz w:val="20"/>
              </w:rPr>
              <w:t>Privilege question (§ V.A). Also covers the Clearwater "confidential appendix" naming two other MDs, the May 2023 training deck, engagement letters and billing.</w:t>
            </w:r>
          </w:p>
        </w:tc>
        <w:tc>
          <w:tcPr>
            <w:tcW w:type="dxa" w:w="3600"/>
          </w:tcPr>
          <w:p>
            <w:r>
              <w:rPr>
                <w:sz w:val="20"/>
              </w:rPr>
            </w:r>
            <w:r>
              <w:rPr>
                <w:b w:val="0"/>
                <w:sz w:val="20"/>
              </w:rPr>
              <w:t>Produce. Do not log the audit report as privileged absent new facts.</w:t>
            </w:r>
          </w:p>
        </w:tc>
      </w:tr>
      <w:tr>
        <w:tc>
          <w:tcPr>
            <w:tcW w:type="dxa" w:w="1872"/>
          </w:tcPr>
          <w:p>
            <w:r>
              <w:rPr>
                <w:sz w:val="20"/>
              </w:rPr>
            </w:r>
            <w:r>
              <w:rPr>
                <w:b w:val="0"/>
                <w:sz w:val="20"/>
              </w:rPr>
              <w:t>15 (investor identities and balances, 2022–24)</w:t>
            </w:r>
          </w:p>
        </w:tc>
        <w:tc>
          <w:tcPr>
            <w:tcW w:type="dxa" w:w="3888"/>
          </w:tcPr>
          <w:p>
            <w:r>
              <w:rPr>
                <w:sz w:val="20"/>
              </w:rPr>
            </w:r>
            <w:r>
              <w:rPr>
                <w:b w:val="0"/>
                <w:sz w:val="20"/>
              </w:rPr>
              <w:t>Investor privacy and Reg S-P / contractual confidentiality. Marginal relevance.</w:t>
            </w:r>
          </w:p>
        </w:tc>
        <w:tc>
          <w:tcPr>
            <w:tcW w:type="dxa" w:w="3600"/>
          </w:tcPr>
          <w:p>
            <w:r>
              <w:rPr>
                <w:sz w:val="20"/>
              </w:rPr>
            </w:r>
            <w:r>
              <w:rPr>
                <w:b w:val="0"/>
                <w:sz w:val="20"/>
              </w:rPr>
              <w:t>Seek deferral or an attorneys’-eyes-style handling letter. Produce if the government insists (confidentiality is not a privilege).</w:t>
            </w:r>
          </w:p>
        </w:tc>
      </w:tr>
      <w:tr>
        <w:tc>
          <w:tcPr>
            <w:tcW w:type="dxa" w:w="1872"/>
          </w:tcPr>
          <w:p>
            <w:r>
              <w:rPr>
                <w:sz w:val="20"/>
              </w:rPr>
            </w:r>
            <w:r>
              <w:rPr>
                <w:b w:val="0"/>
                <w:sz w:val="20"/>
              </w:rPr>
              <w:t>16 (tax returns and K-1s, 2022–2024)</w:t>
            </w:r>
          </w:p>
        </w:tc>
        <w:tc>
          <w:tcPr>
            <w:tcW w:type="dxa" w:w="3888"/>
          </w:tcPr>
          <w:p>
            <w:r>
              <w:rPr>
                <w:sz w:val="20"/>
              </w:rPr>
            </w:r>
            <w:r>
              <w:rPr>
                <w:b w:val="0"/>
                <w:sz w:val="20"/>
              </w:rPr>
            </w:r>
            <w:r>
              <w:rPr>
                <w:b/>
                <w:sz w:val="20"/>
              </w:rPr>
              <w:t>2024 returns do not yet exist</w:t>
            </w:r>
            <w:r>
              <w:rPr>
                <w:b w:val="0"/>
                <w:sz w:val="20"/>
              </w:rPr>
              <w:t xml:space="preserve"> (the tax year is still open). Tax returns get heightened protection in the civil context, but that carries little weight against a grand jury.</w:t>
            </w:r>
          </w:p>
        </w:tc>
        <w:tc>
          <w:tcPr>
            <w:tcW w:type="dxa" w:w="3600"/>
          </w:tcPr>
          <w:p>
            <w:r>
              <w:rPr>
                <w:sz w:val="20"/>
              </w:rPr>
            </w:r>
            <w:r>
              <w:rPr>
                <w:b w:val="0"/>
                <w:sz w:val="20"/>
              </w:rPr>
              <w:t>Point out that the 2024 portion cannot be complied with. Defer 2022–23 pending narrowing.</w:t>
            </w:r>
          </w:p>
        </w:tc>
      </w:tr>
      <w:tr>
        <w:tc>
          <w:tcPr>
            <w:tcW w:type="dxa" w:w="1872"/>
          </w:tcPr>
          <w:p>
            <w:r>
              <w:rPr>
                <w:sz w:val="20"/>
              </w:rPr>
            </w:r>
            <w:r>
              <w:rPr>
                <w:b w:val="0"/>
                <w:sz w:val="20"/>
              </w:rPr>
              <w:t>17 (experts or consultants re Veridian)</w:t>
            </w:r>
          </w:p>
        </w:tc>
        <w:tc>
          <w:tcPr>
            <w:tcW w:type="dxa" w:w="3888"/>
          </w:tcPr>
          <w:p>
            <w:r>
              <w:rPr>
                <w:sz w:val="20"/>
              </w:rPr>
            </w:r>
            <w:r>
              <w:rPr>
                <w:b w:val="0"/>
                <w:sz w:val="20"/>
              </w:rPr>
              <w:t xml:space="preserve">Read literally, this reaches </w:t>
            </w:r>
            <w:r>
              <w:rPr>
                <w:b/>
                <w:sz w:val="20"/>
              </w:rPr>
              <w:t>Ridgeline and W&amp;C</w:t>
            </w:r>
            <w:r>
              <w:rPr>
                <w:b w:val="0"/>
                <w:sz w:val="20"/>
              </w:rPr>
              <w:t>, which were retained to analyze VRDN trading. It also covers any expert networks, KOL calls or physician consultants Zheng used, which is a potential MNPI channel.</w:t>
            </w:r>
          </w:p>
        </w:tc>
        <w:tc>
          <w:tcPr>
            <w:tcW w:type="dxa" w:w="3600"/>
          </w:tcPr>
          <w:p>
            <w:r>
              <w:rPr>
                <w:sz w:val="20"/>
              </w:rPr>
            </w:r>
            <w:r>
              <w:rPr>
                <w:b w:val="0"/>
                <w:sz w:val="20"/>
              </w:rPr>
              <w:t>Carve out counsel-retained consultants as work product. Separately and urgently find out whether Zheng used expert networks; any such calls are highly relevant.</w:t>
            </w:r>
          </w:p>
        </w:tc>
      </w:tr>
      <w:tr>
        <w:tc>
          <w:tcPr>
            <w:tcW w:type="dxa" w:w="1872"/>
          </w:tcPr>
          <w:p>
            <w:r>
              <w:rPr>
                <w:sz w:val="20"/>
              </w:rPr>
            </w:r>
            <w:r>
              <w:rPr>
                <w:b w:val="0"/>
                <w:sz w:val="20"/>
              </w:rPr>
              <w:t>18 (agreements with Veridian)</w:t>
            </w:r>
          </w:p>
        </w:tc>
        <w:tc>
          <w:tcPr>
            <w:tcW w:type="dxa" w:w="3888"/>
          </w:tcPr>
          <w:p>
            <w:r>
              <w:rPr>
                <w:sz w:val="20"/>
              </w:rPr>
            </w:r>
            <w:r>
              <w:rPr>
                <w:b w:val="0"/>
                <w:sz w:val="20"/>
              </w:rPr>
              <w:t>Likely none at the Firm level. Ashford’s NDA is between Ashford and Veridian.</w:t>
            </w:r>
          </w:p>
        </w:tc>
        <w:tc>
          <w:tcPr>
            <w:tcW w:type="dxa" w:w="3600"/>
          </w:tcPr>
          <w:p>
            <w:r>
              <w:rPr>
                <w:sz w:val="20"/>
              </w:rPr>
            </w:r>
            <w:r>
              <w:rPr>
                <w:b w:val="0"/>
                <w:sz w:val="20"/>
              </w:rPr>
              <w:t>Search and produce. A negative certification may be appropriate.</w:t>
            </w:r>
          </w:p>
        </w:tc>
      </w:tr>
      <w:tr>
        <w:tc>
          <w:tcPr>
            <w:tcW w:type="dxa" w:w="1872"/>
          </w:tcPr>
          <w:p>
            <w:r>
              <w:rPr>
                <w:sz w:val="20"/>
              </w:rPr>
            </w:r>
            <w:r>
              <w:rPr>
                <w:b w:val="0"/>
                <w:sz w:val="20"/>
              </w:rPr>
              <w:t>Instr. 3 (preservation)</w:t>
            </w:r>
          </w:p>
        </w:tc>
        <w:tc>
          <w:tcPr>
            <w:tcW w:type="dxa" w:w="3888"/>
          </w:tcPr>
          <w:p>
            <w:r>
              <w:rPr>
                <w:sz w:val="20"/>
              </w:rPr>
            </w:r>
            <w:r>
              <w:rPr>
                <w:b w:val="0"/>
                <w:sz w:val="20"/>
              </w:rPr>
              <w:t>Extends to personal devices and messaging apps, which the June 6 notice does not cover.</w:t>
            </w:r>
          </w:p>
        </w:tc>
        <w:tc>
          <w:tcPr>
            <w:tcW w:type="dxa" w:w="3600"/>
          </w:tcPr>
          <w:p>
            <w:r>
              <w:rPr>
                <w:sz w:val="20"/>
              </w:rPr>
            </w:r>
            <w:r>
              <w:rPr>
                <w:b w:val="0"/>
                <w:sz w:val="20"/>
              </w:rPr>
              <w:t>Reissue the hold (§ VI.A).</w:t>
            </w:r>
          </w:p>
        </w:tc>
      </w:tr>
      <w:tr>
        <w:tc>
          <w:tcPr>
            <w:tcW w:type="dxa" w:w="1872"/>
          </w:tcPr>
          <w:p>
            <w:r>
              <w:rPr>
                <w:sz w:val="20"/>
              </w:rPr>
            </w:r>
            <w:r>
              <w:rPr>
                <w:b w:val="0"/>
                <w:sz w:val="20"/>
              </w:rPr>
              <w:t>Instr. 5 (continuing obligation / 30-day rolling)</w:t>
            </w:r>
          </w:p>
        </w:tc>
        <w:tc>
          <w:tcPr>
            <w:tcW w:type="dxa" w:w="3888"/>
          </w:tcPr>
          <w:p>
            <w:r>
              <w:rPr>
                <w:sz w:val="20"/>
              </w:rPr>
            </w:r>
            <w:r>
              <w:rPr>
                <w:b w:val="0"/>
                <w:sz w:val="20"/>
              </w:rPr>
              <w:t>A Rule 17(c) subpoena calls for documents in existence at the time of return. A continuing obligation is not standard.</w:t>
            </w:r>
          </w:p>
        </w:tc>
        <w:tc>
          <w:tcPr>
            <w:tcW w:type="dxa" w:w="3600"/>
          </w:tcPr>
          <w:p>
            <w:r>
              <w:rPr>
                <w:sz w:val="20"/>
              </w:rPr>
            </w:r>
            <w:r>
              <w:rPr>
                <w:b w:val="0"/>
                <w:sz w:val="20"/>
              </w:rPr>
              <w:t>Object. Offer reasonable supplementation by agreement.</w:t>
            </w:r>
          </w:p>
        </w:tc>
      </w:tr>
      <w:tr>
        <w:tc>
          <w:tcPr>
            <w:tcW w:type="dxa" w:w="1872"/>
          </w:tcPr>
          <w:p>
            <w:r>
              <w:rPr>
                <w:sz w:val="20"/>
              </w:rPr>
            </w:r>
            <w:r>
              <w:rPr>
                <w:b w:val="0"/>
                <w:sz w:val="20"/>
              </w:rPr>
              <w:t>Instr. 6 (certification of completeness, search methodology)</w:t>
            </w:r>
          </w:p>
        </w:tc>
        <w:tc>
          <w:tcPr>
            <w:tcW w:type="dxa" w:w="3888"/>
          </w:tcPr>
          <w:p>
            <w:r>
              <w:rPr>
                <w:sz w:val="20"/>
              </w:rPr>
            </w:r>
            <w:r>
              <w:rPr>
                <w:b w:val="0"/>
                <w:sz w:val="20"/>
              </w:rPr>
              <w:t>Not required by Rule 17. A detailed certification creates obstruction and false-statement risk for the signer, especially given the iPhone and Signal gaps.</w:t>
            </w:r>
          </w:p>
        </w:tc>
        <w:tc>
          <w:tcPr>
            <w:tcW w:type="dxa" w:w="3600"/>
          </w:tcPr>
          <w:p>
            <w:r>
              <w:rPr>
                <w:sz w:val="20"/>
              </w:rPr>
            </w:r>
            <w:r>
              <w:rPr>
                <w:b w:val="0"/>
                <w:sz w:val="20"/>
              </w:rPr>
              <w:t xml:space="preserve">Offer a counsel letter describing the scope of collection. Any certification should be signed by a non-conflicted person, </w:t>
            </w:r>
            <w:r>
              <w:rPr>
                <w:b/>
                <w:sz w:val="20"/>
              </w:rPr>
              <w:t>not</w:t>
            </w:r>
            <w:r>
              <w:rPr>
                <w:b w:val="0"/>
                <w:sz w:val="20"/>
              </w:rPr>
              <w:t xml:space="preserve"> Marcus or Tsao, and only after the gaps are fully disclosed.</w:t>
            </w:r>
          </w:p>
        </w:tc>
      </w:tr>
      <w:tr>
        <w:tc>
          <w:tcPr>
            <w:tcW w:type="dxa" w:w="1872"/>
          </w:tcPr>
          <w:p>
            <w:r>
              <w:rPr>
                <w:sz w:val="20"/>
              </w:rPr>
            </w:r>
            <w:r>
              <w:rPr>
                <w:b w:val="0"/>
                <w:sz w:val="20"/>
              </w:rPr>
              <w:t>"Relevant Period" (Jan. 1, 2023 to present)</w:t>
            </w:r>
          </w:p>
        </w:tc>
        <w:tc>
          <w:tcPr>
            <w:tcW w:type="dxa" w:w="3888"/>
          </w:tcPr>
          <w:p>
            <w:r>
              <w:rPr>
                <w:sz w:val="20"/>
              </w:rPr>
            </w:r>
            <w:r>
              <w:rPr>
                <w:b w:val="0"/>
                <w:sz w:val="20"/>
              </w:rPr>
              <w:t>"To present" pulls in post-subpoena attorney-client communications.</w:t>
            </w:r>
          </w:p>
        </w:tc>
        <w:tc>
          <w:tcPr>
            <w:tcW w:type="dxa" w:w="3600"/>
          </w:tcPr>
          <w:p>
            <w:r>
              <w:rPr>
                <w:sz w:val="20"/>
              </w:rPr>
            </w:r>
            <w:r>
              <w:rPr>
                <w:b w:val="0"/>
                <w:sz w:val="20"/>
              </w:rPr>
              <w:t>Cap at the date of service (June 5, 2024) for non-trading requests. Agree that post-May 15 communications with counsel need not be logged individually.</w:t>
            </w:r>
          </w:p>
        </w:tc>
      </w:tr>
    </w:tbl>
    <w:p/>
    <w:p>
      <w:pPr>
        <w:pStyle w:val="Heading1"/>
      </w:pPr>
      <w:r>
        <w:t>V. Substantive Document Issues</w:t>
      </w:r>
    </w:p>
    <w:p>
      <w:pPr>
        <w:pStyle w:val="Heading2"/>
      </w:pPr>
      <w:r>
        <w:t>A. Is the Clearwater Audit Report Privileged? (Tsao Question 1)</w:t>
      </w:r>
    </w:p>
    <w:p>
      <w:r>
        <w:rPr>
          <w:b w:val="0"/>
        </w:rPr>
      </w:r>
      <w:r>
        <w:rPr>
          <w:b/>
        </w:rPr>
        <w:t>Short answer: almost certainly not. We should not assert privilege over it.</w:t>
      </w:r>
      <w:r>
        <w:rPr>
          <w:b w:val="0"/>
        </w:rPr>
      </w:r>
    </w:p>
    <w:p>
      <w:pPr>
        <w:pStyle w:val="ListBullet"/>
      </w:pPr>
      <w:r>
        <w:rPr>
          <w:b w:val="0"/>
        </w:rPr>
      </w:r>
      <w:r>
        <w:rPr>
          <w:b/>
        </w:rPr>
        <w:t>Attorney-client privilege</w:t>
      </w:r>
      <w:r>
        <w:rPr>
          <w:b w:val="0"/>
        </w:rPr>
        <w:t xml:space="preserve"> requires a communication with counsel made to obtain legal advice. The report is from a non-lawyer consultant to a non-lawyer CCO. Ms. Tsao concedes that no attorney directed, oversaw or received it. *Kovel* (296 F.2d 918 (2d Cir. 1961)) protects consultants only when they help a lawyer give legal advice, and there was no lawyer here. Under the Second Circuit’s predominant-purpose test (*In re County of Erie*, 473 F.3d 413 (2d Cir. 2007)), the report fails on its face, since it describes itself as "the Firm’s annual compliance review for calendar year 2023." Rule 206(4)-7 requires that review as a regulatory matter; it is a business function.</w:t>
      </w:r>
    </w:p>
    <w:p>
      <w:pPr>
        <w:pStyle w:val="ListBullet"/>
      </w:pPr>
      <w:r>
        <w:rPr>
          <w:b w:val="0"/>
        </w:rPr>
      </w:r>
      <w:r>
        <w:rPr>
          <w:b/>
        </w:rPr>
        <w:t>Work product</w:t>
      </w:r>
      <w:r>
        <w:rPr>
          <w:b w:val="0"/>
        </w:rPr>
        <w:t xml:space="preserve"> requires a document prepared "because of" anticipated litigation (*United States v. Adlman*, 134 F.3d 1194 (2d Cir. 1998)). Clearwater was engaged in September 2023 for a routine annual review, months before any investigation. The report would have been prepared in substantially the same form regardless of litigation.</w:t>
      </w:r>
    </w:p>
    <w:p>
      <w:pPr>
        <w:pStyle w:val="ListBullet"/>
      </w:pPr>
      <w:r>
        <w:rPr>
          <w:b w:val="0"/>
        </w:rPr>
      </w:r>
      <w:r>
        <w:rPr>
          <w:b/>
        </w:rPr>
        <w:t>The legend does not help, and it may hurt.</w:t>
      </w:r>
      <w:r>
        <w:rPr>
          <w:b w:val="0"/>
        </w:rPr>
        <w:t xml:space="preserve"> A "privileged" label does not create privilege. Here the legend states something false ("prepared at the direction of counsel"). Putting the report on a privilege log based on that legend would mislead the government, and the report’s own text ("commissioned at the direction of Ms. Tsao in her capacity as Chief Compliance Officer") would contradict us. Our credibility with the AUSA is more valuable than this document.</w:t>
      </w:r>
    </w:p>
    <w:p>
      <w:pPr>
        <w:pStyle w:val="ListBullet"/>
      </w:pPr>
      <w:r>
        <w:rPr>
          <w:b w:val="0"/>
        </w:rPr>
      </w:r>
      <w:r>
        <w:rPr>
          <w:b/>
        </w:rPr>
        <w:t>Waiver through distribution</w:t>
      </w:r>
      <w:r>
        <w:rPr>
          <w:b w:val="0"/>
        </w:rPr>
        <w:t xml:space="preserve"> is also possible if the report or its findings were shared with Marcus or others, or given to the SEC during examinations.</w:t>
      </w:r>
    </w:p>
    <w:p>
      <w:r>
        <w:rPr>
          <w:b w:val="0"/>
        </w:rPr>
      </w:r>
      <w:r>
        <w:rPr>
          <w:b/>
        </w:rPr>
        <w:t>Substantive impact.</w:t>
      </w:r>
      <w:r>
        <w:rPr>
          <w:b w:val="0"/>
        </w:rPr>
        <w:t xml:space="preserve"> The report cuts both ways. For the entity, it shows that the CCO commissioned an independent review, identified the problem and tried to escalate it. It is also the strongest evidence that the pre-clearance lapses were attributable to Marcus personally ("more of a formality"; "historically resisted"), not to a systemic failure. That directly contradicts the intake memo’s description of "administrative lapses rather than intentional circumvention." Against the entity, it shows the Firm was </w:t>
      </w:r>
      <w:r>
        <w:rPr>
          <w:b/>
        </w:rPr>
        <w:t>on written notice in November 2023</w:t>
      </w:r>
      <w:r>
        <w:rPr>
          <w:b w:val="0"/>
        </w:rPr>
        <w:t xml:space="preserve"> of (i) Marcus’s non-compliance, (ii) the off-channel and ephemeral-messaging gap, and (iii) inadequate compliance staffing. Four months later, Marcus made an unprecleared trade in VRDN during a blackout period. The SEC will use this to support a Rule 206(4)-7 claim, a Section 204A claim (failure to enforce MNPI policies), and failure-to-supervise theories. The DOJ will use it in evaluating the Firm’s compliance program (Justice Manual 9-28.800; the Criminal Division’s Evaluation of Corporate Compliance Programs (updated March 2023), which specifically addresses ephemeral messaging).</w:t>
      </w:r>
    </w:p>
    <w:p>
      <w:r>
        <w:rPr>
          <w:b w:val="0"/>
        </w:rPr>
      </w:r>
      <w:r>
        <w:rPr>
          <w:b/>
        </w:rPr>
        <w:t>Recommendation:</w:t>
      </w:r>
      <w:r>
        <w:rPr>
          <w:b w:val="0"/>
        </w:rPr>
        <w:t xml:space="preserve"> Produce the report and the confidential appendix, and prepare to present the Firm’s remediation history. We should obtain documentary proof of the remediation steps Ms. Tsao claims (the electronic pre-clearance system, and when it went live), because the March 5, 2024 trade suggests they were ineffective or not applied to Marcus. By contrast, the Ridgeline engagement (retained by W&amp;C on June 10) is properly protected work product under *Kovel*. We should confirm the engagement letter runs from W&amp;C and states its litigation purpose.</w:t>
      </w:r>
    </w:p>
    <w:p>
      <w:pPr>
        <w:pStyle w:val="Heading2"/>
      </w:pPr>
      <w:r>
        <w:t>B. The March 23 Email and Other Problem Documents (Tsao Question 4)</w:t>
      </w:r>
    </w:p>
    <w:p>
      <w:r>
        <w:rPr>
          <w:b w:val="0"/>
        </w:rPr>
      </w:r>
      <w:r>
        <w:rPr>
          <w:b/>
        </w:rPr>
        <w:t>There is no basis to withhold the March 23 email.</w:t>
      </w:r>
      <w:r>
        <w:rPr>
          <w:b w:val="0"/>
        </w:rPr>
        <w:t xml:space="preserve"> It is a business communication between two non-lawyers and is responsive to Requests 1, 2 (arguably), 3 and 11. (The intake memo cites Request 6; Request 11 is the better fit.) Withholding, altering or "contextualizing" it through selective production would expose individuals to obstruction liability and would destroy the Firm’s cooperation posture. It must be produced in full, together with the entire thread, which provides some favorable context: Zheng’s March 11 public-information thesis and the Cartagen CRL discussion.</w:t>
      </w:r>
    </w:p>
    <w:p>
      <w:r>
        <w:rPr>
          <w:b w:val="0"/>
        </w:rPr>
        <w:t xml:space="preserve">The email is troubling. It was sent on a Saturday, 11 days after the Ashford call and 10 days before the April 2 topline announcement. "The data will speak for itself" can be read as confidence about a data release that had not yet happened. Ms. Tsao’s benign reading ("publicly available clinical trial information") is possible but untested; only Marcus can explain it, and he should do so through his own counsel. </w:t>
      </w:r>
      <w:r>
        <w:rPr>
          <w:b/>
        </w:rPr>
        <w:t>Beyond this email, my review identified other documents I consider as or more significant:</w:t>
      </w:r>
      <w:r>
        <w:rPr>
          <w:b w:val="0"/>
        </w:rPr>
      </w:r>
    </w:p>
    <w:p>
      <w:pPr>
        <w:pStyle w:val="ListBullet"/>
      </w:pPr>
      <w:r>
        <w:rPr>
          <w:b w:val="0"/>
        </w:rPr>
      </w:r>
      <w:r>
        <w:rPr>
          <w:b/>
        </w:rPr>
        <w:t>Probability jump after the Ashford call.</w:t>
      </w:r>
      <w:r>
        <w:rPr>
          <w:b w:val="0"/>
        </w:rPr>
        <w:t xml:space="preserve"> On March 11, Zheng put approval probability at "60–65% based on publicly available information." On March 14, two days after the Ashford–Grayfield call, the IC memo raises it to "70–75%," citing unspecified "proprietary analysis." We need to establish what new public information, if any, came out between March 11 and 14. The Cartagen CRL (around March 8) predates the March 11 email.</w:t>
      </w:r>
    </w:p>
    <w:p>
      <w:pPr>
        <w:pStyle w:val="ListBullet"/>
      </w:pPr>
      <w:r>
        <w:rPr>
          <w:b w:val="0"/>
        </w:rPr>
      </w:r>
      <w:r>
        <w:rPr>
          <w:b/>
        </w:rPr>
        <w:t>IC memo describes a position not yet reached.</w:t>
      </w:r>
      <w:r>
        <w:rPr>
          <w:b w:val="0"/>
        </w:rPr>
        <w:t xml:space="preserve"> The IC memo dated March 14 describes a current position of "205,000 shares (accumulated March 4–14)." The blotter shows 185,000 shares at the close of March 14, and 205,000 was reached only with the March 15 trade. Zheng’s March 14 (5:22 PM) email also describes 205,000 shares and purchases "March 11–15." Either the blotter dates are wrong or the memo and email were drafted or edited after March 14. </w:t>
      </w:r>
      <w:r>
        <w:rPr>
          <w:b/>
        </w:rPr>
        <w:t>This must be resolved forensically (native metadata, document-management version history, Smarsh header data) before production.</w:t>
      </w:r>
      <w:r>
        <w:rPr>
          <w:b w:val="0"/>
        </w:rPr>
        <w:t xml:space="preserve"> If documents were backdated, the matter changes fundamentally.</w:t>
      </w:r>
    </w:p>
    <w:p>
      <w:pPr>
        <w:pStyle w:val="ListBullet"/>
      </w:pPr>
      <w:r>
        <w:rPr>
          <w:b w:val="0"/>
        </w:rPr>
      </w:r>
      <w:r>
        <w:rPr>
          <w:b/>
        </w:rPr>
        <w:t>Missing content suggests another version exists.</w:t>
      </w:r>
      <w:r>
        <w:rPr>
          <w:b w:val="0"/>
        </w:rPr>
        <w:t xml:space="preserve"> Marcus’s March 18 email praises the IC memo’s "framing on the competitive dynamics especially in light of the CRL news." The IC memo we have never mentions the Cartagen CRL. Its competitive section describes existing approved therapies only. That suggests there is another version of the memo.</w:t>
      </w:r>
    </w:p>
    <w:p>
      <w:pPr>
        <w:pStyle w:val="ListBullet"/>
      </w:pPr>
      <w:r>
        <w:rPr>
          <w:b w:val="0"/>
        </w:rPr>
      </w:r>
      <w:r>
        <w:rPr>
          <w:b/>
        </w:rPr>
        <w:t>Internal factual inconsistencies in the "independent research."</w:t>
      </w:r>
      <w:r>
        <w:rPr>
          <w:b w:val="0"/>
        </w:rPr>
        <w:t xml:space="preserve"> (i) Zheng’s March 11 email cites "Phase 3 data published in the Journal of Clinical Oncology," while the IC memo describes the pivotal study as a single-arm Phase 2 trial with only Phase 1/1b data public. (ii) The emails put average daily volume at about 1.8–2.2M shares, while the IC memo says 120,000–150,000 shares, which would make the fund’s 20,000–35,000-share daily purchases a very large share of volume. The government will check every such statement against public data. Inconsistencies will undercut the "independent research" defense the intake memo relies on.</w:t>
      </w:r>
    </w:p>
    <w:p>
      <w:pPr>
        <w:pStyle w:val="ListBullet"/>
      </w:pPr>
      <w:r>
        <w:rPr>
          <w:b w:val="0"/>
        </w:rPr>
      </w:r>
      <w:r>
        <w:rPr>
          <w:b/>
        </w:rPr>
        <w:t>No documented research predates March 4.</w:t>
      </w:r>
      <w:r>
        <w:rPr>
          <w:b w:val="0"/>
        </w:rPr>
        <w:t xml:space="preserve"> Ms. Tsao says Zheng "had been tracking Veridian for several months." The Firm had no VRDN position before March 4, and the earliest written thesis we have is dated March 11, a week after buying began. </w:t>
      </w:r>
      <w:r>
        <w:rPr>
          <w:b/>
        </w:rPr>
        <w:t>Contemporaneous pre-March 3 research (models, notes, sell-side downloads, expert-network calls, Bloomberg history) is the single most important exculpatory evidence we could find.</w:t>
      </w:r>
      <w:r>
        <w:rPr>
          <w:b w:val="0"/>
        </w:rPr>
        <w:t xml:space="preserve"> We should look for it immediately.</w:t>
      </w:r>
    </w:p>
    <w:p>
      <w:pPr>
        <w:pStyle w:val="ListBullet"/>
      </w:pPr>
      <w:r>
        <w:rPr>
          <w:b w:val="0"/>
        </w:rPr>
      </w:r>
      <w:r>
        <w:rPr>
          <w:b/>
        </w:rPr>
        <w:t>The IC memo’s own exit plan matches what happened.</w:t>
      </w:r>
      <w:r>
        <w:rPr>
          <w:b w:val="0"/>
        </w:rPr>
        <w:t xml:space="preserve"> The memo planned to "begin systematic position reduction within 48 hours" of approval and sell 60–75% in week one, and the fund sold about 73% (400,000/550,000) that week. This supports a pre-planned event-driven strategy, which is modestly helpful.</w:t>
      </w:r>
    </w:p>
    <w:p>
      <w:pPr>
        <w:pStyle w:val="Heading2"/>
      </w:pPr>
      <w:r>
        <w:t>C. The Trading Blotter Extract and the Financial Figures</w:t>
      </w:r>
    </w:p>
    <w:p>
      <w:r>
        <w:rPr>
          <w:b w:val="0"/>
        </w:rPr>
        <w:t xml:space="preserve">The Ridgeline extract is labeled work product and contains counsel-directed annotations, for example "Increased order size — day of Ashford-Grayfield phone call" and "Potential disgorgement amount per SEC calculation methodology." </w:t>
      </w:r>
      <w:r>
        <w:rPr>
          <w:b/>
        </w:rPr>
        <w:t>It must not be produced.</w:t>
      </w:r>
      <w:r>
        <w:rPr>
          <w:b w:val="0"/>
        </w:rPr>
        <w:t xml:space="preserve"> The underlying trade data is not privileged and should be produced from native source systems (Eze OMS, Fielding &amp; Strauss confirmations). Two cautions:</w:t>
      </w:r>
    </w:p>
    <w:p>
      <w:pPr>
        <w:pStyle w:val="ListBullet"/>
      </w:pPr>
      <w:r>
        <w:rPr>
          <w:b w:val="0"/>
        </w:rPr>
        <w:t xml:space="preserve">The March 12 annotation is </w:t>
      </w:r>
      <w:r>
        <w:rPr>
          <w:b/>
        </w:rPr>
        <w:t>factually wrong</w:t>
      </w:r>
      <w:r>
        <w:rPr>
          <w:b w:val="0"/>
        </w:rPr>
        <w:t>. The March 12 order (25,000 sh) was smaller than March 11’s (30,000 sh). Work product should be accurate even if it is never produced.</w:t>
      </w:r>
    </w:p>
    <w:p>
      <w:pPr>
        <w:pStyle w:val="ListBullet"/>
      </w:pPr>
      <w:r>
        <w:rPr>
          <w:b w:val="0"/>
        </w:rPr>
        <w:t xml:space="preserve">The extract is dated June 10, yet the intake memo dated </w:t>
      </w:r>
      <w:r>
        <w:rPr>
          <w:b/>
        </w:rPr>
        <w:t>June 7</w:t>
      </w:r>
      <w:r>
        <w:rPr>
          <w:b w:val="0"/>
        </w:rPr>
        <w:t xml:space="preserve"> quotes its exact figures ($6,645,500, $9,186,500) and also describes the June 8 Mehta email and the June 10 Ridgeline retention. Either the intake memo was revised after June 7 without being re-dated, or the date is wrong. We should confirm with Ms. Tsao and correct the date on our privilege log. A misdated document looks bad if its provenance is ever at issue.</w:t>
      </w:r>
    </w:p>
    <w:p>
      <w:r>
        <w:rPr>
          <w:b w:val="0"/>
        </w:rPr>
      </w:r>
      <w:r>
        <w:rPr>
          <w:b/>
        </w:rPr>
        <w:t>The client’s P&amp;L figures should not be adopted.</w:t>
      </w:r>
      <w:r>
        <w:rPr>
          <w:b w:val="0"/>
        </w:rPr>
        <w:t xml:space="preserve"> Recomputing from the trade-level data in the extract:</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2F3"/>
          </w:tcPr>
          <w:p>
            <w:r/>
            <w:r>
              <w:rPr>
                <w:b/>
                <w:sz w:val="20"/>
              </w:rPr>
              <w:t>Item</w:t>
            </w:r>
          </w:p>
        </w:tc>
        <w:tc>
          <w:tcPr>
            <w:tcW w:type="dxa" w:w="2304"/>
            <w:shd w:val="clear" w:color="auto" w:fill="D9E2F3"/>
          </w:tcPr>
          <w:p>
            <w:r/>
            <w:r>
              <w:rPr>
                <w:b/>
                <w:sz w:val="20"/>
              </w:rPr>
              <w:t>Intake memo / extract summary</w:t>
            </w:r>
          </w:p>
        </w:tc>
        <w:tc>
          <w:tcPr>
            <w:tcW w:type="dxa" w:w="2592"/>
            <w:shd w:val="clear" w:color="auto" w:fill="D9E2F3"/>
          </w:tcPr>
          <w:p>
            <w:r/>
            <w:r>
              <w:rPr>
                <w:b/>
                <w:sz w:val="20"/>
              </w:rPr>
              <w:t>Recomputed from trade detail</w:t>
            </w:r>
          </w:p>
        </w:tc>
        <w:tc>
          <w:tcPr>
            <w:tcW w:type="dxa" w:w="2304"/>
            <w:shd w:val="clear" w:color="auto" w:fill="D9E2F3"/>
          </w:tcPr>
          <w:p>
            <w:r/>
            <w:r>
              <w:rPr>
                <w:b/>
                <w:sz w:val="20"/>
              </w:rPr>
              <w:t>Comment</w:t>
            </w:r>
          </w:p>
        </w:tc>
      </w:tr>
      <w:tr>
        <w:tc>
          <w:tcPr>
            <w:tcW w:type="dxa" w:w="2160"/>
          </w:tcPr>
          <w:p>
            <w:r>
              <w:rPr>
                <w:sz w:val="20"/>
              </w:rPr>
            </w:r>
            <w:r>
              <w:rPr>
                <w:b w:val="0"/>
                <w:sz w:val="20"/>
              </w:rPr>
              <w:t>Number of purchase transactions</w:t>
            </w:r>
          </w:p>
        </w:tc>
        <w:tc>
          <w:tcPr>
            <w:tcW w:type="dxa" w:w="2304"/>
          </w:tcPr>
          <w:p>
            <w:r>
              <w:rPr>
                <w:sz w:val="20"/>
              </w:rPr>
            </w:r>
            <w:r>
              <w:rPr>
                <w:b w:val="0"/>
                <w:sz w:val="20"/>
              </w:rPr>
              <w:t>14</w:t>
            </w:r>
          </w:p>
        </w:tc>
        <w:tc>
          <w:tcPr>
            <w:tcW w:type="dxa" w:w="2592"/>
          </w:tcPr>
          <w:p>
            <w:r>
              <w:rPr>
                <w:sz w:val="20"/>
              </w:rPr>
            </w:r>
            <w:r>
              <w:rPr>
                <w:b w:val="0"/>
                <w:sz w:val="20"/>
              </w:rPr>
            </w:r>
            <w:r>
              <w:rPr>
                <w:b/>
                <w:sz w:val="20"/>
              </w:rPr>
              <w:t>26</w:t>
            </w:r>
            <w:r>
              <w:rPr>
                <w:b w:val="0"/>
                <w:sz w:val="20"/>
              </w:rPr>
            </w:r>
          </w:p>
        </w:tc>
        <w:tc>
          <w:tcPr>
            <w:tcW w:type="dxa" w:w="2304"/>
          </w:tcPr>
          <w:p>
            <w:r>
              <w:rPr>
                <w:sz w:val="20"/>
              </w:rPr>
            </w:r>
            <w:r>
              <w:rPr>
                <w:b w:val="0"/>
                <w:sz w:val="20"/>
              </w:rPr>
              <w:t>The intake memo understates the count.</w:t>
            </w:r>
          </w:p>
        </w:tc>
      </w:tr>
      <w:tr>
        <w:tc>
          <w:tcPr>
            <w:tcW w:type="dxa" w:w="2160"/>
          </w:tcPr>
          <w:p>
            <w:r>
              <w:rPr>
                <w:sz w:val="20"/>
              </w:rPr>
            </w:r>
            <w:r>
              <w:rPr>
                <w:b w:val="0"/>
                <w:sz w:val="20"/>
              </w:rPr>
              <w:t>Gross purchase cost</w:t>
            </w:r>
          </w:p>
        </w:tc>
        <w:tc>
          <w:tcPr>
            <w:tcW w:type="dxa" w:w="2304"/>
          </w:tcPr>
          <w:p>
            <w:r>
              <w:rPr>
                <w:sz w:val="20"/>
              </w:rPr>
            </w:r>
            <w:r>
              <w:rPr>
                <w:b w:val="0"/>
                <w:sz w:val="20"/>
              </w:rPr>
              <w:t>$23,903,500</w:t>
            </w:r>
          </w:p>
        </w:tc>
        <w:tc>
          <w:tcPr>
            <w:tcW w:type="dxa" w:w="2592"/>
          </w:tcPr>
          <w:p>
            <w:r>
              <w:rPr>
                <w:sz w:val="20"/>
              </w:rPr>
            </w:r>
            <w:r>
              <w:rPr>
                <w:b w:val="0"/>
                <w:sz w:val="20"/>
              </w:rPr>
              <w:t>$23,906,950 (gross); $23,935,644 (net of commissions)</w:t>
            </w:r>
          </w:p>
        </w:tc>
        <w:tc>
          <w:tcPr>
            <w:tcW w:type="dxa" w:w="2304"/>
          </w:tcPr>
          <w:p>
            <w:r>
              <w:rPr>
                <w:sz w:val="20"/>
              </w:rPr>
            </w:r>
            <w:r>
              <w:rPr>
                <w:b w:val="0"/>
                <w:sz w:val="20"/>
              </w:rPr>
              <w:t>The extract "reconciles" to a "canonical" figure using weekly rounded averages.</w:t>
            </w:r>
          </w:p>
        </w:tc>
      </w:tr>
      <w:tr>
        <w:tc>
          <w:tcPr>
            <w:tcW w:type="dxa" w:w="2160"/>
          </w:tcPr>
          <w:p>
            <w:r>
              <w:rPr>
                <w:sz w:val="20"/>
              </w:rPr>
            </w:r>
            <w:r>
              <w:rPr>
                <w:b w:val="0"/>
                <w:sz w:val="20"/>
              </w:rPr>
              <w:t>Gross sale proceeds</w:t>
            </w:r>
          </w:p>
        </w:tc>
        <w:tc>
          <w:tcPr>
            <w:tcW w:type="dxa" w:w="2304"/>
          </w:tcPr>
          <w:p>
            <w:r>
              <w:rPr>
                <w:sz w:val="20"/>
              </w:rPr>
            </w:r>
            <w:r>
              <w:rPr>
                <w:b w:val="0"/>
                <w:sz w:val="20"/>
              </w:rPr>
              <w:t>$24,120,000 (400,000 × $60.30)</w:t>
            </w:r>
          </w:p>
        </w:tc>
        <w:tc>
          <w:tcPr>
            <w:tcW w:type="dxa" w:w="2592"/>
          </w:tcPr>
          <w:p>
            <w:r>
              <w:rPr>
                <w:sz w:val="20"/>
              </w:rPr>
            </w:r>
            <w:r>
              <w:rPr>
                <w:b w:val="0"/>
                <w:sz w:val="20"/>
              </w:rPr>
            </w:r>
            <w:r>
              <w:rPr>
                <w:b/>
                <w:sz w:val="20"/>
              </w:rPr>
              <w:t>$24,162,250</w:t>
            </w:r>
            <w:r>
              <w:rPr>
                <w:b w:val="0"/>
                <w:sz w:val="20"/>
              </w:rPr>
              <w:t xml:space="preserve"> (weighted average ≈ $60.41)</w:t>
            </w:r>
          </w:p>
        </w:tc>
        <w:tc>
          <w:tcPr>
            <w:tcW w:type="dxa" w:w="2304"/>
          </w:tcPr>
          <w:p>
            <w:r>
              <w:rPr>
                <w:sz w:val="20"/>
              </w:rPr>
            </w:r>
            <w:r>
              <w:rPr>
                <w:b w:val="0"/>
                <w:sz w:val="20"/>
              </w:rPr>
              <w:t>The $60.30 average is wrong.</w:t>
            </w:r>
          </w:p>
        </w:tc>
      </w:tr>
      <w:tr>
        <w:tc>
          <w:tcPr>
            <w:tcW w:type="dxa" w:w="2160"/>
          </w:tcPr>
          <w:p>
            <w:r>
              <w:rPr>
                <w:sz w:val="20"/>
              </w:rPr>
            </w:r>
            <w:r>
              <w:rPr>
                <w:b w:val="0"/>
                <w:sz w:val="20"/>
              </w:rPr>
              <w:t>FIFO cost of shares sold</w:t>
            </w:r>
          </w:p>
        </w:tc>
        <w:tc>
          <w:tcPr>
            <w:tcW w:type="dxa" w:w="2304"/>
          </w:tcPr>
          <w:p>
            <w:r>
              <w:rPr>
                <w:sz w:val="20"/>
              </w:rPr>
            </w:r>
            <w:r>
              <w:rPr>
                <w:b w:val="0"/>
                <w:sz w:val="20"/>
              </w:rPr>
              <w:t>$17,474,500 (rounded lot averages)</w:t>
            </w:r>
          </w:p>
        </w:tc>
        <w:tc>
          <w:tcPr>
            <w:tcW w:type="dxa" w:w="2592"/>
          </w:tcPr>
          <w:p>
            <w:r>
              <w:rPr>
                <w:sz w:val="20"/>
              </w:rPr>
            </w:r>
            <w:r>
              <w:rPr>
                <w:b w:val="0"/>
                <w:sz w:val="20"/>
              </w:rPr>
              <w:t>$17,477,700 (actual trade prices)</w:t>
            </w:r>
          </w:p>
        </w:tc>
        <w:tc>
          <w:tcPr>
            <w:tcW w:type="dxa" w:w="2304"/>
          </w:tcPr>
          <w:p>
            <w:r>
              <w:rPr>
                <w:sz w:val="20"/>
              </w:rPr>
            </w:r>
            <w:r>
              <w:rPr>
                <w:b w:val="0"/>
                <w:sz w:val="20"/>
              </w:rPr>
            </w:r>
          </w:p>
        </w:tc>
      </w:tr>
      <w:tr>
        <w:tc>
          <w:tcPr>
            <w:tcW w:type="dxa" w:w="2160"/>
          </w:tcPr>
          <w:p>
            <w:r>
              <w:rPr>
                <w:sz w:val="20"/>
              </w:rPr>
            </w:r>
            <w:r>
              <w:rPr>
                <w:b w:val="0"/>
                <w:sz w:val="20"/>
              </w:rPr>
              <w:t>Realized gain</w:t>
            </w:r>
          </w:p>
        </w:tc>
        <w:tc>
          <w:tcPr>
            <w:tcW w:type="dxa" w:w="2304"/>
          </w:tcPr>
          <w:p>
            <w:r>
              <w:rPr>
                <w:sz w:val="20"/>
              </w:rPr>
            </w:r>
            <w:r>
              <w:rPr>
                <w:b w:val="0"/>
                <w:sz w:val="20"/>
              </w:rPr>
              <w:t>$6,645,500 (labeled "inclusive of commission impact")</w:t>
            </w:r>
          </w:p>
        </w:tc>
        <w:tc>
          <w:tcPr>
            <w:tcW w:type="dxa" w:w="2592"/>
          </w:tcPr>
          <w:p>
            <w:r>
              <w:rPr>
                <w:sz w:val="20"/>
              </w:rPr>
            </w:r>
            <w:r>
              <w:rPr>
                <w:b w:val="0"/>
                <w:sz w:val="20"/>
              </w:rPr>
              <w:t>$6,684,550 gross; approx. $6,655,555 after sale commissions</w:t>
            </w:r>
          </w:p>
        </w:tc>
        <w:tc>
          <w:tcPr>
            <w:tcW w:type="dxa" w:w="2304"/>
          </w:tcPr>
          <w:p>
            <w:r>
              <w:rPr>
                <w:sz w:val="20"/>
              </w:rPr>
            </w:r>
            <w:r>
              <w:rPr>
                <w:b w:val="0"/>
                <w:sz w:val="20"/>
              </w:rPr>
              <w:t>The label is inaccurate; the $6,645,500 figure matches neither method.</w:t>
            </w:r>
          </w:p>
        </w:tc>
      </w:tr>
      <w:tr>
        <w:tc>
          <w:tcPr>
            <w:tcW w:type="dxa" w:w="2160"/>
          </w:tcPr>
          <w:p>
            <w:r>
              <w:rPr>
                <w:sz w:val="20"/>
              </w:rPr>
            </w:r>
            <w:r>
              <w:rPr>
                <w:b w:val="0"/>
                <w:sz w:val="20"/>
              </w:rPr>
              <w:t>Unrealized gain on 150,000 sh (Apr. 12 @ $59.80)</w:t>
            </w:r>
          </w:p>
        </w:tc>
        <w:tc>
          <w:tcPr>
            <w:tcW w:type="dxa" w:w="2304"/>
          </w:tcPr>
          <w:p>
            <w:r>
              <w:rPr>
                <w:sz w:val="20"/>
              </w:rPr>
            </w:r>
            <w:r>
              <w:rPr>
                <w:b w:val="0"/>
                <w:sz w:val="20"/>
              </w:rPr>
              <w:t>$2,541,000</w:t>
            </w:r>
          </w:p>
        </w:tc>
        <w:tc>
          <w:tcPr>
            <w:tcW w:type="dxa" w:w="2592"/>
          </w:tcPr>
          <w:p>
            <w:r>
              <w:rPr>
                <w:sz w:val="20"/>
              </w:rPr>
            </w:r>
            <w:r>
              <w:rPr>
                <w:b w:val="0"/>
                <w:sz w:val="20"/>
              </w:rPr>
              <w:t>$2,540,750</w:t>
            </w:r>
          </w:p>
        </w:tc>
        <w:tc>
          <w:tcPr>
            <w:tcW w:type="dxa" w:w="2304"/>
          </w:tcPr>
          <w:p>
            <w:r>
              <w:rPr>
                <w:sz w:val="20"/>
              </w:rPr>
            </w:r>
            <w:r>
              <w:rPr>
                <w:b w:val="0"/>
                <w:sz w:val="20"/>
              </w:rPr>
            </w:r>
          </w:p>
        </w:tc>
      </w:tr>
      <w:tr>
        <w:tc>
          <w:tcPr>
            <w:tcW w:type="dxa" w:w="2160"/>
          </w:tcPr>
          <w:p>
            <w:r>
              <w:rPr>
                <w:sz w:val="20"/>
              </w:rPr>
            </w:r>
            <w:r>
              <w:rPr>
                <w:b w:val="0"/>
                <w:sz w:val="20"/>
              </w:rPr>
              <w:t>Total fund gain</w:t>
            </w:r>
          </w:p>
        </w:tc>
        <w:tc>
          <w:tcPr>
            <w:tcW w:type="dxa" w:w="2304"/>
          </w:tcPr>
          <w:p>
            <w:r>
              <w:rPr>
                <w:sz w:val="20"/>
              </w:rPr>
            </w:r>
            <w:r>
              <w:rPr>
                <w:b w:val="0"/>
                <w:sz w:val="20"/>
              </w:rPr>
              <w:t>$9,186,500</w:t>
            </w:r>
          </w:p>
        </w:tc>
        <w:tc>
          <w:tcPr>
            <w:tcW w:type="dxa" w:w="2592"/>
          </w:tcPr>
          <w:p>
            <w:r>
              <w:rPr>
                <w:sz w:val="20"/>
              </w:rPr>
            </w:r>
            <w:r>
              <w:rPr>
                <w:b w:val="0"/>
                <w:sz w:val="20"/>
              </w:rPr>
              <w:t xml:space="preserve">≈ </w:t>
            </w:r>
            <w:r>
              <w:rPr>
                <w:b/>
                <w:sz w:val="20"/>
              </w:rPr>
              <w:t>$9.2 million</w:t>
            </w:r>
            <w:r>
              <w:rPr>
                <w:b w:val="0"/>
                <w:sz w:val="20"/>
              </w:rPr>
              <w:t xml:space="preserve"> (≈ $9,225,300 gross)</w:t>
            </w:r>
          </w:p>
        </w:tc>
        <w:tc>
          <w:tcPr>
            <w:tcW w:type="dxa" w:w="2304"/>
          </w:tcPr>
          <w:p>
            <w:r>
              <w:rPr>
                <w:sz w:val="20"/>
              </w:rPr>
            </w:r>
            <w:r>
              <w:rPr>
                <w:b w:val="0"/>
                <w:sz w:val="20"/>
              </w:rPr>
              <w:t>Relevant to disgorgement and to Guidelines § 2B1.4 gain.</w:t>
            </w:r>
          </w:p>
        </w:tc>
      </w:tr>
      <w:tr>
        <w:tc>
          <w:tcPr>
            <w:tcW w:type="dxa" w:w="2160"/>
          </w:tcPr>
          <w:p>
            <w:r>
              <w:rPr>
                <w:sz w:val="20"/>
              </w:rPr>
            </w:r>
            <w:r>
              <w:rPr>
                <w:b w:val="0"/>
                <w:sz w:val="20"/>
              </w:rPr>
              <w:t>Marcus personal</w:t>
            </w:r>
          </w:p>
        </w:tc>
        <w:tc>
          <w:tcPr>
            <w:tcW w:type="dxa" w:w="2304"/>
          </w:tcPr>
          <w:p>
            <w:r>
              <w:rPr>
                <w:sz w:val="20"/>
              </w:rPr>
            </w:r>
            <w:r>
              <w:rPr>
                <w:b w:val="0"/>
                <w:sz w:val="20"/>
              </w:rPr>
              <w:t>$186,000 realized; 5,000 sh held</w:t>
            </w:r>
          </w:p>
        </w:tc>
        <w:tc>
          <w:tcPr>
            <w:tcW w:type="dxa" w:w="2592"/>
          </w:tcPr>
          <w:p>
            <w:r>
              <w:rPr>
                <w:sz w:val="20"/>
              </w:rPr>
            </w:r>
            <w:r>
              <w:rPr>
                <w:b w:val="0"/>
                <w:sz w:val="20"/>
              </w:rPr>
              <w:t>$186,000 realized + ≈ $89,500 unrealized on 5,000 sh at $59.80</w:t>
            </w:r>
          </w:p>
        </w:tc>
        <w:tc>
          <w:tcPr>
            <w:tcW w:type="dxa" w:w="2304"/>
          </w:tcPr>
          <w:p>
            <w:r>
              <w:rPr>
                <w:sz w:val="20"/>
              </w:rPr>
            </w:r>
            <w:r>
              <w:rPr>
                <w:b w:val="0"/>
                <w:sz w:val="20"/>
              </w:rPr>
              <w:t>Consistent.</w:t>
            </w:r>
          </w:p>
        </w:tc>
      </w:tr>
    </w:tbl>
    <w:p/>
    <w:p>
      <w:r>
        <w:rPr>
          <w:b w:val="0"/>
        </w:rPr>
        <w:t>The differences are modest, but figures presented to the government must be exact. Ridgeline should rebuild the analysis from source data, including purchase commissions and specific-lot identification, and should model gain as of the approval date as well as the current position.</w:t>
      </w:r>
    </w:p>
    <w:p>
      <w:pPr>
        <w:pStyle w:val="Heading2"/>
      </w:pPr>
      <w:r>
        <w:t>D. The March 5 Fund Fill That Matches Marcus’s Personal Trade</w:t>
      </w:r>
    </w:p>
    <w:p>
      <w:r>
        <w:rPr>
          <w:b w:val="0"/>
        </w:rPr>
        <w:t xml:space="preserve">The blotter records a fund purchase on March 5, 2024 (GOF-240305-001) of </w:t>
      </w:r>
      <w:r>
        <w:rPr>
          <w:b/>
        </w:rPr>
        <w:t>15,000 shares at $41.90 for $628,500, through Fielding &amp; Strauss</w:t>
      </w:r>
      <w:r>
        <w:rPr>
          <w:b w:val="0"/>
        </w:rPr>
        <w:t xml:space="preserve">. Marcus’s personal purchase that same day, through the same broker, was </w:t>
      </w:r>
      <w:r>
        <w:rPr>
          <w:b/>
        </w:rPr>
        <w:t>15,000 shares at $41.90 for $628,500</w:t>
      </w:r>
      <w:r>
        <w:rPr>
          <w:b w:val="0"/>
        </w:rPr>
        <w:t xml:space="preserve">. Possible explanations include (i) a coincidence, (ii) a booking error that recorded Marcus’s personal trade in the fund blotter, which would mean the fund’s true position and P&amp;L differ from what we have been told, or (iii) an allocation problem in which a block was split between the fund and Marcus’s account, potentially after the fact ("cherry-picking"). That would be a separate Advisers Act § 206 fraud on the fund’s investors. </w:t>
      </w:r>
      <w:r>
        <w:rPr>
          <w:b/>
        </w:rPr>
        <w:t>We need to obtain Fielding &amp; Strauss order-entry, allocation and account records for both accounts for March 4–5 immediately, before producing anything on this point.</w:t>
      </w:r>
      <w:r>
        <w:rPr>
          <w:b w:val="0"/>
        </w:rPr>
      </w:r>
    </w:p>
    <w:p>
      <w:pPr>
        <w:pStyle w:val="Heading2"/>
      </w:pPr>
      <w:r>
        <w:t>E. Code of Ethics Violations Beyond Pre-Clearance</w:t>
      </w:r>
    </w:p>
    <w:p>
      <w:r>
        <w:rPr>
          <w:b w:val="0"/>
        </w:rPr>
        <w:t>The intake memo presents Marcus’s March 5 trade as a pre-clearance "oversight" by his assistant. The Code shows broader violations:</w:t>
      </w:r>
    </w:p>
    <w:p>
      <w:pPr>
        <w:pStyle w:val="ListBullet"/>
      </w:pPr>
      <w:r>
        <w:rPr>
          <w:b w:val="0"/>
        </w:rPr>
      </w:r>
      <w:r>
        <w:rPr>
          <w:b/>
        </w:rPr>
        <w:t>Blackout period (Code § IV.C).</w:t>
      </w:r>
      <w:r>
        <w:rPr>
          <w:b w:val="0"/>
        </w:rPr>
        <w:t xml:space="preserve"> Access persons may not trade while the Firm is trading or contemplating trading the same security, until two business days after the Firm finishes. Marcus bought on March 5 while the fund was accumulating and sold on April 9 while the fund was selling. Both trades violate § IV.C whether or not pre-clearance was sought. Ms. Tsao’s remark that "Marcus often follows the fund into positions" describes a </w:t>
      </w:r>
      <w:r>
        <w:rPr>
          <w:b/>
        </w:rPr>
        <w:t>pattern</w:t>
      </w:r>
      <w:r>
        <w:rPr>
          <w:b w:val="0"/>
        </w:rPr>
        <w:t xml:space="preserve"> of blackout violations, not a mitigating factor.</w:t>
      </w:r>
    </w:p>
    <w:p>
      <w:pPr>
        <w:pStyle w:val="ListBullet"/>
      </w:pPr>
      <w:r>
        <w:rPr>
          <w:b w:val="0"/>
        </w:rPr>
      </w:r>
      <w:r>
        <w:rPr>
          <w:b/>
        </w:rPr>
        <w:t>Family relationship disclosure (Code § VI.C).</w:t>
      </w:r>
      <w:r>
        <w:rPr>
          <w:b w:val="0"/>
        </w:rPr>
        <w:t xml:space="preserve"> Marcus had to disclose his brother-in-law’s Veridian SAB role, and the CCO was to consider restricting or watch-listing VRDN. The IC memo certifies that VRDN was on neither list. Either (i) Marcus never disclosed the relationship, which is a standalone Code violation, or (ii) he disclosed it and compliance took no action, which is a significant program failure given that Ms. Tsao says the relationship was "well known within the firm." Ms. Tsao signed the IC memo compliance review. </w:t>
      </w:r>
      <w:r>
        <w:rPr>
          <w:b/>
        </w:rPr>
        <w:t>We need to know which it is.</w:t>
      </w:r>
      <w:r>
        <w:rPr>
          <w:b w:val="0"/>
        </w:rPr>
      </w:r>
    </w:p>
    <w:p>
      <w:pPr>
        <w:pStyle w:val="ListBullet"/>
      </w:pPr>
      <w:r>
        <w:rPr>
          <w:b w:val="0"/>
        </w:rPr>
      </w:r>
      <w:r>
        <w:rPr>
          <w:b/>
        </w:rPr>
        <w:t>Off-channel communications (Code § VIII.B).</w:t>
      </w:r>
      <w:r>
        <w:rPr>
          <w:b w:val="0"/>
        </w:rPr>
        <w:t xml:space="preserve"> The intake memo says the policy "does not specifically address ephemeral messaging." But § VIII.B </w:t>
      </w:r>
      <w:r>
        <w:rPr>
          <w:b/>
        </w:rPr>
        <w:t>prohibits</w:t>
      </w:r>
      <w:r>
        <w:rPr>
          <w:b w:val="0"/>
        </w:rPr>
        <w:t xml:space="preserve"> conducting Firm business on any non-archived channel unless the CCO authorizes it in writing, and the Code’s definition of Electronic Communications covers personal devices. If Zheng used Signal for business, he violated the Code, and Ms. Tsao’s knowledge of it without action is a supervisory problem.</w:t>
      </w:r>
    </w:p>
    <w:p>
      <w:pPr>
        <w:pStyle w:val="ListBullet"/>
      </w:pPr>
      <w:r>
        <w:rPr>
          <w:b w:val="0"/>
        </w:rPr>
      </w:r>
      <w:r>
        <w:rPr>
          <w:b/>
        </w:rPr>
        <w:t>Device replacement (Code § VIII.C).</w:t>
      </w:r>
      <w:r>
        <w:rPr>
          <w:b w:val="0"/>
        </w:rPr>
        <w:t xml:space="preserve"> Marcus’s trade-in without IT extraction violated an express Code provision (§ VI.A below).</w:t>
      </w:r>
    </w:p>
    <w:p>
      <w:pPr>
        <w:pStyle w:val="ListBullet"/>
      </w:pPr>
      <w:r>
        <w:rPr>
          <w:b w:val="0"/>
        </w:rPr>
      </w:r>
      <w:r>
        <w:rPr>
          <w:b/>
        </w:rPr>
        <w:t>Annual training (Code § XII.B).</w:t>
      </w:r>
      <w:r>
        <w:rPr>
          <w:b w:val="0"/>
        </w:rPr>
        <w:t xml:space="preserve"> Marcus skipped both the 2023 training and the make-up session (Clearwater § III.D).</w:t>
      </w:r>
    </w:p>
    <w:p>
      <w:pPr>
        <w:pStyle w:val="Heading2"/>
      </w:pPr>
      <w:r>
        <w:t>F. How Does Ms. Tsao Know the 89% ORR Figure?</w:t>
      </w:r>
    </w:p>
    <w:p>
      <w:r>
        <w:rPr>
          <w:b w:val="0"/>
        </w:rPr>
        <w:t xml:space="preserve">The intake memo says the March 3 SAB data "included results showing an 89% overall response rate," based on "publicly available proxy materials and my own review." Proxy materials would not ordinarily disclose data presented confidentially to a scientific advisory board. If the 89% figure was later publicly disclosed (for example, in the April 2 8-K or FDA labeling), we should document that. If it was not, </w:t>
      </w:r>
      <w:r>
        <w:rPr>
          <w:b/>
        </w:rPr>
        <w:t>we must find out, carefully and under Upjohn warnings, where Ms. Tsao learned it.</w:t>
      </w:r>
      <w:r>
        <w:rPr>
          <w:b w:val="0"/>
        </w:rPr>
        <w:t xml:space="preserve"> Knowledge inside the Firm of the precise confidential figure would be highly significant evidence.</w:t>
      </w:r>
    </w:p>
    <w:p>
      <w:pPr>
        <w:pStyle w:val="Heading2"/>
      </w:pPr>
      <w:r>
        <w:t>G. Other Discrepancies to Resolve</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E2F3"/>
          </w:tcPr>
          <w:p>
            <w:r/>
            <w:r>
              <w:rPr>
                <w:b/>
                <w:sz w:val="20"/>
              </w:rPr>
              <w:t>Issue</w:t>
            </w:r>
          </w:p>
        </w:tc>
        <w:tc>
          <w:tcPr>
            <w:tcW w:type="dxa" w:w="2592"/>
            <w:shd w:val="clear" w:color="auto" w:fill="D9E2F3"/>
          </w:tcPr>
          <w:p>
            <w:r/>
            <w:r>
              <w:rPr>
                <w:b/>
                <w:sz w:val="20"/>
              </w:rPr>
              <w:t>Documents</w:t>
            </w:r>
          </w:p>
        </w:tc>
        <w:tc>
          <w:tcPr>
            <w:tcW w:type="dxa" w:w="4032"/>
            <w:shd w:val="clear" w:color="auto" w:fill="D9E2F3"/>
          </w:tcPr>
          <w:p>
            <w:r/>
            <w:r>
              <w:rPr>
                <w:b/>
                <w:sz w:val="20"/>
              </w:rPr>
              <w:t>Why it matters</w:t>
            </w:r>
          </w:p>
        </w:tc>
      </w:tr>
      <w:tr>
        <w:tc>
          <w:tcPr>
            <w:tcW w:type="dxa" w:w="2736"/>
          </w:tcPr>
          <w:p>
            <w:r>
              <w:rPr>
                <w:sz w:val="20"/>
              </w:rPr>
            </w:r>
            <w:r>
              <w:rPr>
                <w:b w:val="0"/>
                <w:sz w:val="20"/>
              </w:rPr>
              <w:t>iPhone model: "iPhone 13 Pro" vs. "iPhone 14 Pro"</w:t>
            </w:r>
          </w:p>
        </w:tc>
        <w:tc>
          <w:tcPr>
            <w:tcW w:type="dxa" w:w="2592"/>
          </w:tcPr>
          <w:p>
            <w:r>
              <w:rPr>
                <w:sz w:val="20"/>
              </w:rPr>
            </w:r>
            <w:r>
              <w:rPr>
                <w:b w:val="0"/>
                <w:sz w:val="20"/>
              </w:rPr>
              <w:t>Intake memo vs. Mehta email</w:t>
            </w:r>
          </w:p>
        </w:tc>
        <w:tc>
          <w:tcPr>
            <w:tcW w:type="dxa" w:w="4032"/>
          </w:tcPr>
          <w:p>
            <w:r>
              <w:rPr>
                <w:sz w:val="20"/>
              </w:rPr>
            </w:r>
            <w:r>
              <w:rPr>
                <w:b w:val="0"/>
                <w:sz w:val="20"/>
              </w:rPr>
              <w:t>Needed for any Apple or forensic inquiry. Identifying the device by serial or IMEI (from the Apple receipt Mehta offered) is essential.</w:t>
            </w:r>
          </w:p>
        </w:tc>
      </w:tr>
      <w:tr>
        <w:tc>
          <w:tcPr>
            <w:tcW w:type="dxa" w:w="2736"/>
          </w:tcPr>
          <w:p>
            <w:r>
              <w:rPr>
                <w:sz w:val="20"/>
              </w:rPr>
            </w:r>
            <w:r>
              <w:rPr>
                <w:b w:val="0"/>
                <w:sz w:val="20"/>
              </w:rPr>
              <w:t>Firm address: 605 vs. 599 Lexington Ave.</w:t>
            </w:r>
          </w:p>
        </w:tc>
        <w:tc>
          <w:tcPr>
            <w:tcW w:type="dxa" w:w="2592"/>
          </w:tcPr>
          <w:p>
            <w:r>
              <w:rPr>
                <w:sz w:val="20"/>
              </w:rPr>
            </w:r>
            <w:r>
              <w:rPr>
                <w:b w:val="0"/>
                <w:sz w:val="20"/>
              </w:rPr>
              <w:t>Intake memo, blotter vs. Code, Clearwater, hold notice</w:t>
            </w:r>
          </w:p>
        </w:tc>
        <w:tc>
          <w:tcPr>
            <w:tcW w:type="dxa" w:w="4032"/>
          </w:tcPr>
          <w:p>
            <w:r>
              <w:rPr>
                <w:sz w:val="20"/>
              </w:rPr>
            </w:r>
            <w:r>
              <w:rPr>
                <w:b w:val="0"/>
                <w:sz w:val="20"/>
              </w:rPr>
              <w:t>Confirm which is correct for Form ADV and production cover letters; may indicate an office move with off-site records.</w:t>
            </w:r>
          </w:p>
        </w:tc>
      </w:tr>
      <w:tr>
        <w:tc>
          <w:tcPr>
            <w:tcW w:type="dxa" w:w="2736"/>
          </w:tcPr>
          <w:p>
            <w:r>
              <w:rPr>
                <w:sz w:val="20"/>
              </w:rPr>
            </w:r>
            <w:r>
              <w:rPr>
                <w:b w:val="0"/>
                <w:sz w:val="20"/>
              </w:rPr>
              <w:t>Code last amended Feb. 2022 vs. Mar. 1, 2023</w:t>
            </w:r>
          </w:p>
        </w:tc>
        <w:tc>
          <w:tcPr>
            <w:tcW w:type="dxa" w:w="2592"/>
          </w:tcPr>
          <w:p>
            <w:r>
              <w:rPr>
                <w:sz w:val="20"/>
              </w:rPr>
            </w:r>
            <w:r>
              <w:rPr>
                <w:b w:val="0"/>
                <w:sz w:val="20"/>
              </w:rPr>
              <w:t>Intake memo, Clearwater vs. Code</w:t>
            </w:r>
          </w:p>
        </w:tc>
        <w:tc>
          <w:tcPr>
            <w:tcW w:type="dxa" w:w="4032"/>
          </w:tcPr>
          <w:p>
            <w:r>
              <w:rPr>
                <w:sz w:val="20"/>
              </w:rPr>
            </w:r>
            <w:r>
              <w:rPr>
                <w:b w:val="0"/>
                <w:sz w:val="20"/>
              </w:rPr>
              <w:t>Must identify which version governed in March 2024 (Request 13).</w:t>
            </w:r>
          </w:p>
        </w:tc>
      </w:tr>
      <w:tr>
        <w:tc>
          <w:tcPr>
            <w:tcW w:type="dxa" w:w="2736"/>
          </w:tcPr>
          <w:p>
            <w:r>
              <w:rPr>
                <w:sz w:val="20"/>
              </w:rPr>
            </w:r>
            <w:r>
              <w:rPr>
                <w:b w:val="0"/>
                <w:sz w:val="20"/>
              </w:rPr>
              <w:t>Veridian stock path around Apr. 2 (close $43.90 after 8-K) vs. fund fills at $42.60–$42.90 on Apr. 2–5 and ~$42.15 before approval</w:t>
            </w:r>
          </w:p>
        </w:tc>
        <w:tc>
          <w:tcPr>
            <w:tcW w:type="dxa" w:w="2592"/>
          </w:tcPr>
          <w:p>
            <w:r>
              <w:rPr>
                <w:sz w:val="20"/>
              </w:rPr>
            </w:r>
            <w:r>
              <w:rPr>
                <w:b w:val="0"/>
                <w:sz w:val="20"/>
              </w:rPr>
              <w:t>Intake memo vs. blotter</w:t>
            </w:r>
          </w:p>
        </w:tc>
        <w:tc>
          <w:tcPr>
            <w:tcW w:type="dxa" w:w="4032"/>
          </w:tcPr>
          <w:p>
            <w:r>
              <w:rPr>
                <w:sz w:val="20"/>
              </w:rPr>
            </w:r>
            <w:r>
              <w:rPr>
                <w:b w:val="0"/>
                <w:sz w:val="20"/>
              </w:rPr>
              <w:t>Verify against consolidated tape. Fund purchases after the 8-K are defensible as public-information-driven, but prices must reconcile.</w:t>
            </w:r>
          </w:p>
        </w:tc>
      </w:tr>
      <w:tr>
        <w:tc>
          <w:tcPr>
            <w:tcW w:type="dxa" w:w="2736"/>
          </w:tcPr>
          <w:p>
            <w:r>
              <w:rPr>
                <w:sz w:val="20"/>
              </w:rPr>
            </w:r>
            <w:r>
              <w:rPr>
                <w:b w:val="0"/>
                <w:sz w:val="20"/>
              </w:rPr>
              <w:t>IC approver "David Hargrove, Partner" vs. Dr. Ashford’s counsel "Hargrove &amp; Associates LLP"</w:t>
            </w:r>
          </w:p>
        </w:tc>
        <w:tc>
          <w:tcPr>
            <w:tcW w:type="dxa" w:w="2592"/>
          </w:tcPr>
          <w:p>
            <w:r>
              <w:rPr>
                <w:sz w:val="20"/>
              </w:rPr>
            </w:r>
            <w:r>
              <w:rPr>
                <w:b w:val="0"/>
                <w:sz w:val="20"/>
              </w:rPr>
              <w:t>IC memo; intake memo</w:t>
            </w:r>
          </w:p>
        </w:tc>
        <w:tc>
          <w:tcPr>
            <w:tcW w:type="dxa" w:w="4032"/>
          </w:tcPr>
          <w:p>
            <w:r>
              <w:rPr>
                <w:sz w:val="20"/>
              </w:rPr>
            </w:r>
            <w:r>
              <w:rPr>
                <w:b w:val="0"/>
                <w:sz w:val="20"/>
              </w:rPr>
              <w:t>Determine whether there is any relationship. Relevant to conflicts, to whom we share information with, and to who can sit on any special committee.</w:t>
            </w:r>
          </w:p>
        </w:tc>
      </w:tr>
      <w:tr>
        <w:tc>
          <w:tcPr>
            <w:tcW w:type="dxa" w:w="2736"/>
          </w:tcPr>
          <w:p>
            <w:r>
              <w:rPr>
                <w:sz w:val="20"/>
              </w:rPr>
            </w:r>
            <w:r>
              <w:rPr>
                <w:b w:val="0"/>
                <w:sz w:val="20"/>
              </w:rPr>
              <w:t>Source of the Ashford–Grayfield call record</w:t>
            </w:r>
          </w:p>
        </w:tc>
        <w:tc>
          <w:tcPr>
            <w:tcW w:type="dxa" w:w="2592"/>
          </w:tcPr>
          <w:p>
            <w:r>
              <w:rPr>
                <w:sz w:val="20"/>
              </w:rPr>
            </w:r>
            <w:r>
              <w:rPr>
                <w:b w:val="0"/>
                <w:sz w:val="20"/>
              </w:rPr>
              <w:t>Intake memo</w:t>
            </w:r>
          </w:p>
        </w:tc>
        <w:tc>
          <w:tcPr>
            <w:tcW w:type="dxa" w:w="4032"/>
          </w:tcPr>
          <w:p>
            <w:r>
              <w:rPr>
                <w:sz w:val="20"/>
              </w:rPr>
            </w:r>
            <w:r>
              <w:rPr>
                <w:b w:val="0"/>
                <w:sz w:val="20"/>
              </w:rPr>
              <w:t>If Ms. Tsao reviewed Marcus’s cell records, the Firm may have "control" over them (Req. 10). If she did not, we need to know how the Firm has Ashford-call data.</w:t>
            </w:r>
          </w:p>
        </w:tc>
      </w:tr>
    </w:tbl>
    <w:p/>
    <w:p>
      <w:pPr>
        <w:pStyle w:val="Heading1"/>
      </w:pPr>
      <w:r>
        <w:t>VI. Preservation, Spoliation and Disclosure (Tsao Question 2)</w:t>
      </w:r>
    </w:p>
    <w:p>
      <w:pPr>
        <w:pStyle w:val="Heading2"/>
      </w:pPr>
      <w:r>
        <w:t>A. Deficiencies in the June 6 Preservation Notice</w:t>
      </w:r>
    </w:p>
    <w:p>
      <w:pPr>
        <w:pStyle w:val="ListBullet"/>
      </w:pPr>
      <w:r>
        <w:rPr>
          <w:b w:val="0"/>
        </w:rPr>
      </w:r>
      <w:r>
        <w:rPr>
          <w:b/>
        </w:rPr>
        <w:t>Late.</w:t>
      </w:r>
      <w:r>
        <w:rPr>
          <w:b w:val="0"/>
        </w:rPr>
        <w:t xml:space="preserve"> The duty to preserve attached no later than May 15, 2024, when the SEC Formal Order was served (arguably earlier, if an investigation was reasonably anticipated after the April trading). The Code (§ X.C) required the CCO to issue a hold upon a regulatory investigation. None was issued for 22 days, and the iPhone was traded in during that gap.</w:t>
      </w:r>
    </w:p>
    <w:p>
      <w:pPr>
        <w:pStyle w:val="ListBullet"/>
      </w:pPr>
      <w:r>
        <w:rPr>
          <w:b w:val="0"/>
        </w:rPr>
      </w:r>
      <w:r>
        <w:rPr>
          <w:b/>
        </w:rPr>
        <w:t>Scope gaps.</w:t>
      </w:r>
      <w:r>
        <w:rPr>
          <w:b w:val="0"/>
        </w:rPr>
        <w:t xml:space="preserve"> The notice covers Firm systems and Firm-issued devices only. It does not expressly reach personal devices, personal email, text or iMessage, Signal, WhatsApp or other messaging apps. It does not tell anyone to disable auto-delete or disappearing-message settings. The subpoena (Instr. 3) expressly demands all of these. The notice’s general line that employees are "individually responsible" for materials outside Firm systems is not enough.</w:t>
      </w:r>
    </w:p>
    <w:p>
      <w:pPr>
        <w:pStyle w:val="ListBullet"/>
      </w:pPr>
      <w:r>
        <w:rPr>
          <w:b w:val="0"/>
        </w:rPr>
      </w:r>
      <w:r>
        <w:rPr>
          <w:b/>
        </w:rPr>
        <w:t>Subject-matter scope is narrower than the subpoena.</w:t>
      </w:r>
      <w:r>
        <w:rPr>
          <w:b w:val="0"/>
        </w:rPr>
        <w:t xml:space="preserve"> The notice is limited to Veridian topics. The subpoena reaches the entire Opportunity Fund blotter, entity governance, bank records, tax returns, investor records and all Marcus and Zheng communications.</w:t>
      </w:r>
    </w:p>
    <w:p>
      <w:pPr>
        <w:pStyle w:val="ListBullet"/>
      </w:pPr>
      <w:r>
        <w:rPr>
          <w:b w:val="0"/>
        </w:rPr>
      </w:r>
      <w:r>
        <w:rPr>
          <w:b/>
        </w:rPr>
        <w:t>The CCO as gatekeeper.</w:t>
      </w:r>
      <w:r>
        <w:rPr>
          <w:b w:val="0"/>
        </w:rPr>
        <w:t xml:space="preserve"> The notice directs that "the Compliance Office will make all relevance determinations." Ms. Tsao is a fact witness, is individually named in Request 4, and reports to Marcus. Relevance and collection decisions must move to counsel and an independent vendor.</w:t>
      </w:r>
    </w:p>
    <w:p>
      <w:pPr>
        <w:pStyle w:val="ListBullet"/>
      </w:pPr>
      <w:r>
        <w:rPr>
          <w:b w:val="0"/>
        </w:rPr>
      </w:r>
      <w:r>
        <w:rPr>
          <w:b/>
        </w:rPr>
        <w:t>Whistleblower-impeding language.</w:t>
      </w:r>
      <w:r>
        <w:rPr>
          <w:b w:val="0"/>
        </w:rPr>
        <w:t xml:space="preserve"> The notice prohibits discussing the investigation with "any person outside the Firm" without Compliance authorization, and Code § IX.C bars responding to any government inquiry without CCO or counsel authorization. Neither has a carve-out for communications with the SEC, DOJ or other regulators. </w:t>
      </w:r>
      <w:r>
        <w:rPr>
          <w:b/>
        </w:rPr>
        <w:t>This language risks violating Exchange Act Rule 21F-17(a)</w:t>
      </w:r>
      <w:r>
        <w:rPr>
          <w:b w:val="0"/>
        </w:rPr>
        <w:t>, which the SEC has enforced in standalone actions. In a criminal investigation it could also be portrayed as an effort to discourage witness cooperation.</w:t>
      </w:r>
    </w:p>
    <w:p>
      <w:pPr>
        <w:pStyle w:val="ListBullet"/>
      </w:pPr>
      <w:r>
        <w:rPr>
          <w:b w:val="0"/>
        </w:rPr>
      </w:r>
      <w:r>
        <w:rPr>
          <w:b/>
        </w:rPr>
        <w:t>Privilege legend.</w:t>
      </w:r>
      <w:r>
        <w:rPr>
          <w:b w:val="0"/>
        </w:rPr>
        <w:t xml:space="preserve"> The notice claims privilege, but it was issued by a non-lawyer to all employees. Given the spoliation issues, expect the notice and its acknowledgments to become discoverable.</w:t>
      </w:r>
    </w:p>
    <w:p>
      <w:r>
        <w:rPr>
          <w:b w:val="0"/>
        </w:rPr>
      </w:r>
      <w:r>
        <w:rPr>
          <w:b/>
        </w:rPr>
        <w:t>Recommendation:</w:t>
      </w:r>
      <w:r>
        <w:rPr>
          <w:b w:val="0"/>
        </w:rPr>
        <w:t xml:space="preserve"> W&amp;C should issue a superseding hold notice within 24–48 hours. It should (i) cover all subpoena categories; (ii) expressly cover personal devices, personal email, SMS/iMessage and all messaging apps; (iii) direct custodians to </w:t>
      </w:r>
      <w:r>
        <w:rPr>
          <w:b/>
        </w:rPr>
        <w:t>disable disappearing-message and auto-delete settings immediately</w:t>
      </w:r>
      <w:r>
        <w:rPr>
          <w:b w:val="0"/>
        </w:rPr>
        <w:t xml:space="preserve"> and not to delete apps, reset or replace devices; (iv) include a clear Rule 21F-17 carve-out confirming that nothing restricts communications with any government agency; (v) direct questions to W&amp;C; and (vi) require written acknowledgment. Code § IX.C and the confidentiality provisions should be amended accordingly. We should also confirm IT actually suspended Exchange auto-deletion and backup rotation, and preserve Smarsh exports.</w:t>
      </w:r>
    </w:p>
    <w:p>
      <w:pPr>
        <w:pStyle w:val="Heading2"/>
      </w:pPr>
      <w:r>
        <w:t>B. Marcus Grayfield’s iPhone</w:t>
      </w:r>
    </w:p>
    <w:p>
      <w:r>
        <w:rPr>
          <w:b w:val="0"/>
        </w:rPr>
      </w:r>
      <w:r>
        <w:rPr>
          <w:b/>
        </w:rPr>
        <w:t>Facts creating exposure:</w:t>
      </w:r>
      <w:r>
        <w:rPr>
          <w:b w:val="0"/>
        </w:rPr>
        <w:t xml:space="preserve"> Marcus received written notice of the SEC investigation on May 16. He traded in his phone on May 20 with iCloud backup disabled, contrary to Code § VIII.C. He then had his new phone set up as a fresh device. His reported explanation ("routine upgrade"; "not aware of the SEC investigation") appears to be contradicted by Ms. Tsao’s May 16 email. The phone was his primary channel for personal-device communications with Ashford. The government will view the trade-in as potential obstruction under 18 U.S.C. § 1519 (destruction of records in contemplation of a federal matter) or § 1512(c). Separately, a false exculpatory explanation given to investigators would create § 1001 exposure. Whether Marcus actually read the May 16 email, when backup was turned off, and whether this was his first upgrade in years are all important facts that are not yet known.</w:t>
      </w:r>
    </w:p>
    <w:p>
      <w:r>
        <w:rPr>
          <w:b w:val="0"/>
        </w:rPr>
      </w:r>
      <w:r>
        <w:rPr>
          <w:b/>
        </w:rPr>
        <w:t>Recovery options (recommend retaining a forensic vendor through W&amp;C immediately):</w:t>
      </w:r>
      <w:r>
        <w:rPr>
          <w:b w:val="0"/>
        </w:rPr>
      </w:r>
    </w:p>
    <w:p>
      <w:pPr>
        <w:pStyle w:val="ListBullet"/>
      </w:pPr>
      <w:r>
        <w:rPr>
          <w:b w:val="0"/>
        </w:rPr>
        <w:t>Ask Apple immediately, through counsel, whether the traded-in device (identified by IMEI or serial from the receipt) has been wiped, refurbished or resold. Recovery is unlikely because Apple securely erases trade-ins, but the inquiry must be made and documented.</w:t>
      </w:r>
    </w:p>
    <w:p>
      <w:pPr>
        <w:pStyle w:val="ListBullet"/>
      </w:pPr>
      <w:r>
        <w:rPr>
          <w:b w:val="0"/>
        </w:rPr>
        <w:t xml:space="preserve">Check whether iCloud still holds data even though device backup was off: Messages in iCloud, iCloud Photos, iCloud Drive, Notes, Contacts, and </w:t>
      </w:r>
      <w:r>
        <w:rPr>
          <w:b/>
        </w:rPr>
        <w:t>WhatsApp or Signal backups</w:t>
      </w:r>
      <w:r>
        <w:rPr>
          <w:b w:val="0"/>
        </w:rPr>
        <w:t>. Check Marcus’s other Apple devices (Mac, iPad, Apple Watch), which may hold synced iMessage history, and any computer-based iTunes/Finder backups.</w:t>
      </w:r>
    </w:p>
    <w:p>
      <w:pPr>
        <w:pStyle w:val="ListBullet"/>
      </w:pPr>
      <w:r>
        <w:rPr>
          <w:b w:val="0"/>
        </w:rPr>
      </w:r>
      <w:r>
        <w:rPr>
          <w:b/>
        </w:rPr>
        <w:t>Carrier records</w:t>
      </w:r>
      <w:r>
        <w:rPr>
          <w:b w:val="0"/>
        </w:rPr>
        <w:t xml:space="preserve"> (call detail records and SMS metadata, but not iMessage content) for both Marcus’s and Ashford’s lines through subscriber requests. These reconstruct the March 3–4 and March 12 contacts.</w:t>
      </w:r>
    </w:p>
    <w:p>
      <w:pPr>
        <w:pStyle w:val="ListBullet"/>
      </w:pPr>
      <w:r>
        <w:rPr>
          <w:b w:val="0"/>
        </w:rPr>
      </w:r>
      <w:r>
        <w:rPr>
          <w:b/>
        </w:rPr>
        <w:t>Counterparty devices:</w:t>
      </w:r>
      <w:r>
        <w:rPr>
          <w:b w:val="0"/>
        </w:rPr>
        <w:t xml:space="preserve"> Zheng, Mehta and other employees may hold the other side of Marcus’s text messages. Smarsh captures Firm email and Bloomberg, and captures texts only on Firm-issued phones. Find out whether Marcus had a Firm-issued phone and whether his personal device was BYOD-registered.</w:t>
      </w:r>
    </w:p>
    <w:p>
      <w:pPr>
        <w:pStyle w:val="ListBullet"/>
      </w:pPr>
      <w:r>
        <w:rPr>
          <w:b w:val="0"/>
        </w:rPr>
        <w:t>Imaging of Marcus’s new iPhone should be coordinated with his separate counsel, which is another reason he needs counsel now.</w:t>
      </w:r>
    </w:p>
    <w:p>
      <w:r>
        <w:rPr>
          <w:b w:val="0"/>
        </w:rPr>
      </w:r>
      <w:r>
        <w:rPr>
          <w:b/>
        </w:rPr>
        <w:t>Disclosure recommendation:</w:t>
      </w:r>
      <w:r>
        <w:rPr>
          <w:b w:val="0"/>
        </w:rPr>
        <w:t xml:space="preserve"> We should disclose the device loss to the AUSA and the SEC </w:t>
      </w:r>
      <w:r>
        <w:rPr>
          <w:b/>
        </w:rPr>
        <w:t>proactively and promptly</w:t>
      </w:r>
      <w:r>
        <w:rPr>
          <w:b w:val="0"/>
        </w:rPr>
        <w:t>, ideally in our first substantive call and before July 8. The disclosure should be factual (dates, device, backup status, recovery steps) and should not adopt or characterize Marcus’s explanation or intent. The government will learn of the loss anyway: it will emerge from production gaps, carrier records, Apple records, the Mehta email and Topic 9 testimony. Discovery by the government would be far worse than self-disclosure, both for cooperation credit (JM 9-28.700; SEC *Seaboard* factors) and for the credibility of everything else we say. Because disclosure will harm Marcus’s personal interests, he should hear from us that it is coming, and he should have his own counsel before we make it. That is a further reason joint representation is impossible.</w:t>
      </w:r>
    </w:p>
    <w:p>
      <w:pPr>
        <w:pStyle w:val="Heading2"/>
      </w:pPr>
      <w:r>
        <w:t>C. Kevin Zheng’s Signal Messages</w:t>
      </w:r>
    </w:p>
    <w:p>
      <w:pPr>
        <w:pStyle w:val="ListBullet"/>
      </w:pPr>
      <w:r>
        <w:rPr>
          <w:b w:val="0"/>
        </w:rPr>
      </w:r>
      <w:r>
        <w:rPr>
          <w:b/>
        </w:rPr>
        <w:t>Stop further loss today.</w:t>
      </w:r>
      <w:r>
        <w:rPr>
          <w:b w:val="0"/>
        </w:rPr>
        <w:t xml:space="preserve"> Every day with the 24-hour timer running may destroy evidence. Through counsel, direct Zheng in writing to disable disappearing messages on all Signal conversations, not to delete the app or any messages, and not to change or reset devices. He should do this now, before imaging. Changing the setting prevents future loss and alters nothing already stored.</w:t>
      </w:r>
    </w:p>
    <w:p>
      <w:pPr>
        <w:pStyle w:val="ListBullet"/>
      </w:pPr>
      <w:r>
        <w:rPr>
          <w:b w:val="0"/>
        </w:rPr>
      </w:r>
      <w:r>
        <w:rPr>
          <w:b/>
        </w:rPr>
        <w:t>Forensic imaging</w:t>
      </w:r>
      <w:r>
        <w:rPr>
          <w:b w:val="0"/>
        </w:rPr>
        <w:t xml:space="preserve"> of Zheng’s phone (and any Signal Desktop linked device, which may keep messages that have not yet expired) by a W&amp;C-retained vendor. Expired disappearing messages are generally unrecoverable, but notifications, database fragments, linked-device caches and counterparties’ devices may preserve some content.</w:t>
      </w:r>
    </w:p>
    <w:p>
      <w:pPr>
        <w:pStyle w:val="ListBullet"/>
      </w:pPr>
      <w:r>
        <w:rPr>
          <w:b w:val="0"/>
        </w:rPr>
      </w:r>
      <w:r>
        <w:rPr>
          <w:b/>
        </w:rPr>
        <w:t>Control.</w:t>
      </w:r>
      <w:r>
        <w:rPr>
          <w:b w:val="0"/>
        </w:rPr>
        <w:t xml:space="preserve"> If Zheng’s device is BYOD-registered, Code § VIII.A(d) gives the Firm a contractual right to access Firm-related data. That supports both the Firm’s authority to collect and the government’s argument that the data is within the Firm’s "control" for Requests 2, 6 and 11.</w:t>
      </w:r>
    </w:p>
    <w:p>
      <w:pPr>
        <w:pStyle w:val="ListBullet"/>
      </w:pPr>
      <w:r>
        <w:rPr>
          <w:b w:val="0"/>
        </w:rPr>
      </w:r>
      <w:r>
        <w:rPr>
          <w:b/>
        </w:rPr>
        <w:t>Zheng needs his own counsel before any of this.</w:t>
      </w:r>
      <w:r>
        <w:rPr>
          <w:b w:val="0"/>
        </w:rPr>
        <w:t xml:space="preserve"> He is unrepresented and the SEC has subpoenaed him personally. Instructions to him, and any interview, must come with clear Upjohn warnings. The Firm should offer to advance his fees if the LLC agreement permits (Del. LLC Act § 18-108).</w:t>
      </w:r>
    </w:p>
    <w:p>
      <w:pPr>
        <w:pStyle w:val="ListBullet"/>
      </w:pPr>
      <w:r>
        <w:rPr>
          <w:b w:val="0"/>
        </w:rPr>
      </w:r>
      <w:r>
        <w:rPr>
          <w:b/>
        </w:rPr>
        <w:t>Disclosure.</w:t>
      </w:r>
      <w:r>
        <w:rPr>
          <w:b w:val="0"/>
        </w:rPr>
        <w:t xml:space="preserve"> Disclose the Signal practice (existence, 24-hour setting, lack of Smarsh capture, the steps taken on June [__]) together with the iPhone disclosure. The Clearwater report, which we will produce, already documents the Firm’s awareness of the off-channel gap.</w:t>
      </w:r>
    </w:p>
    <w:p>
      <w:pPr>
        <w:pStyle w:val="ListBullet"/>
      </w:pPr>
      <w:r>
        <w:rPr>
          <w:b w:val="0"/>
        </w:rPr>
      </w:r>
      <w:r>
        <w:rPr>
          <w:b/>
        </w:rPr>
        <w:t>Wider inquiry.</w:t>
      </w:r>
      <w:r>
        <w:rPr>
          <w:b w:val="0"/>
        </w:rPr>
        <w:t xml:space="preserve"> Survey all Opportunity Fund access persons, plus Marcus, Tsao and Mehta, on their use of non-archived channels. SEC off-channel recordkeeping violations (Advisers Act Rule 204-2) are an additional, largely strict-liability exposure with well-established penalty ranges.</w:t>
      </w:r>
    </w:p>
    <w:p>
      <w:pPr>
        <w:pStyle w:val="Heading1"/>
      </w:pPr>
      <w:r>
        <w:t>VII. Representation, Conflicts and Governance (Tsao Question 3)</w:t>
      </w:r>
    </w:p>
    <w:p>
      <w:pPr>
        <w:pStyle w:val="Heading2"/>
      </w:pPr>
      <w:r>
        <w:t>A. Marcus Grayfield Cannot Be Jointly Represented by W&amp;C</w:t>
      </w:r>
    </w:p>
    <w:p>
      <w:r>
        <w:rPr>
          <w:b w:val="0"/>
        </w:rPr>
        <w:t xml:space="preserve">Under NY Rule of Professional Conduct 1.13(a), W&amp;C represents the entity, acting through its duly authorized constituents. Joint representation of a constituent is permitted under Rule 1.13(d) only if Rule 1.7 is satisfied. Here the conflict is concurrent, direct and, in my view, </w:t>
      </w:r>
      <w:r>
        <w:rPr>
          <w:b/>
        </w:rPr>
        <w:t>non-consentable</w:t>
      </w:r>
      <w:r>
        <w:rPr>
          <w:b w:val="0"/>
        </w:rPr>
        <w:t xml:space="preserve"> under Rule 1.7(b), because no lawyer could reasonably believe we could provide competent and diligent representation to both:</w:t>
      </w:r>
    </w:p>
    <w:p>
      <w:pPr>
        <w:pStyle w:val="ListBullet"/>
      </w:pPr>
      <w:r>
        <w:rPr>
          <w:b w:val="0"/>
        </w:rPr>
        <w:t>The entity’s best defense is that it had a reasonable compliance program that flagged Marcus, and that any misconduct was his individual conduct outside the scope of Firm policy. That is exactly what the Clearwater report supports. Marcus’s best defense is the opposite: that failures were systemic and administrative.</w:t>
      </w:r>
    </w:p>
    <w:p>
      <w:pPr>
        <w:pStyle w:val="ListBullet"/>
      </w:pPr>
      <w:r>
        <w:rPr>
          <w:b w:val="0"/>
        </w:rPr>
        <w:t>The entity’s route to cooperation credit may require providing the government with facts about Marcus (JM 9-28.700: all relevant facts about individuals involved) and disclosing his iPhone trade-in.</w:t>
      </w:r>
    </w:p>
    <w:p>
      <w:pPr>
        <w:pStyle w:val="ListBullet"/>
      </w:pPr>
      <w:r>
        <w:rPr>
          <w:b w:val="0"/>
        </w:rPr>
        <w:t>Marcus holds personal Fifth Amendment rights. The entity has none and may need to produce records he considers incriminating (*Braswell*).</w:t>
      </w:r>
    </w:p>
    <w:p>
      <w:pPr>
        <w:pStyle w:val="ListBullet"/>
      </w:pPr>
      <w:r>
        <w:rPr>
          <w:b w:val="0"/>
        </w:rPr>
        <w:t>Marcus is a potential tippee under *Salman v. United States*, 580 U.S. 39 (2016): a gift of confidential information to a family member satisfies the personal-benefit element. His personal trading, the call, the email and the device loss make him a likely subject or target.</w:t>
      </w:r>
    </w:p>
    <w:p>
      <w:r>
        <w:rPr>
          <w:b w:val="0"/>
        </w:rPr>
      </w:r>
      <w:r>
        <w:rPr>
          <w:b/>
        </w:rPr>
        <w:t>Recommendations:</w:t>
      </w:r>
      <w:r>
        <w:rPr>
          <w:b w:val="0"/>
        </w:rPr>
        <w:t xml:space="preserve"> (1) Send Marcus a letter confirming that W&amp;C represents only the entity, that he should retain independent counsel immediately, and that his communications with us are privileged only as to the entity and the privilege belongs to the entity. (2) Give Upjohn warnings (*Upjohn Co. v. United States*, 449 U.S. 383 (1981)) at the start of every interview with any employee, and document them. (3) Review the LLC agreement and fund documents for indemnification and advancement rights, and offer to pay for independent counsel for Marcus, Zheng, and others as appropriate. (4) Notify the Firm’s D&amp;O/E&amp;O insurers now: the Formal Order, the subpoena and the individual SEC subpoenas are likely "claims" or "investigations" under typical policies, and late notice can forfeit coverage.</w:t>
      </w:r>
    </w:p>
    <w:p>
      <w:pPr>
        <w:pStyle w:val="Heading2"/>
      </w:pPr>
      <w:r>
        <w:t>B. Who Directs the Entity’s Response?</w:t>
      </w:r>
    </w:p>
    <w:p>
      <w:r>
        <w:rPr>
          <w:b w:val="0"/>
        </w:rPr>
        <w:t xml:space="preserve">Marcus is Founder and Managing Partner and controls the Firm. The CCO reports directly to him. Under the Code, the CCO sets sanctions "in consultation with the Managing Partner." A subject of the investigation cannot direct the entity’s response to it, decide on disclosures about his own conduct, or supervise collection of his own documents. </w:t>
      </w:r>
      <w:r>
        <w:rPr>
          <w:b/>
        </w:rPr>
        <w:t>We should recommend that the Firm form a special committee of partners who are not implicated</w:t>
      </w:r>
      <w:r>
        <w:rPr>
          <w:b w:val="0"/>
        </w:rPr>
        <w:t xml:space="preserve"> (for example, Sarah Lindquist, after confirming she is independent; David Hargrove only after the Hargrove &amp; Associates question is resolved) to direct W&amp;C, with authority over disclosure and cooperation decisions. Marcus should also be walled off from the document collection process.</w:t>
      </w:r>
    </w:p>
    <w:p>
      <w:pPr>
        <w:pStyle w:val="Heading2"/>
      </w:pPr>
      <w:r>
        <w:t>C. Rebecca Tsao</w:t>
      </w:r>
    </w:p>
    <w:p>
      <w:r>
        <w:rPr>
          <w:b w:val="0"/>
        </w:rPr>
        <w:t>Ms. Tsao is the Firm’s main liaison to us, but she is also (i) individually named in Request 4, (ii) a fact witness on the IC memo compliance sign-off, the Ashford relationship disclosure, the pre-clearance lapses and the late hold, (iii) the source of the unexplained 89% ORR figure, and (iv) potentially exposed to CCO liability. Her intake memo, while candid in places, consistently characterizes facts in Marcus’s favor, which is understandable given she reports to him. We should (1) move collection and relevance decisions away from her, (2) interview her promptly with Upjohn warnings, and (3) consider recommending separate (Firm-funded) counsel for her. Priya Mehta, who scheduled the trade-in, handles Marcus’s pre-clearance submissions and set up the new phone, is also a key witness and may need counsel as well.</w:t>
      </w:r>
    </w:p>
    <w:p>
      <w:pPr>
        <w:pStyle w:val="Heading1"/>
      </w:pPr>
      <w:r>
        <w:t>VIII. Substantive Exposure — Tipper-Tippee Analysis (Tsao Question 5)</w:t>
      </w:r>
    </w:p>
    <w:p>
      <w:r>
        <w:rPr>
          <w:b w:val="0"/>
        </w:rPr>
      </w:r>
      <w:r>
        <w:rPr>
          <w:b/>
        </w:rPr>
        <w:t>Theories.</w:t>
      </w:r>
      <w:r>
        <w:rPr>
          <w:b w:val="0"/>
        </w:rPr>
        <w:t xml:space="preserve"> The government has two paths. (1) </w:t>
      </w:r>
      <w:r>
        <w:rPr>
          <w:b/>
        </w:rPr>
        <w:t>Misappropriation</w:t>
      </w:r>
      <w:r>
        <w:rPr>
          <w:b w:val="0"/>
        </w:rPr>
        <w:t xml:space="preserve"> (*United States v. O’Hagan*, 521 U.S. 642 (1997); Rule 10b5-2): Ashford owed Veridian a duty of trust and confidence under his SAB confidentiality agreement and misappropriated the SAB data by tipping it. (2) </w:t>
      </w:r>
      <w:r>
        <w:rPr>
          <w:b/>
        </w:rPr>
        <w:t>Classical/tipper-tippee</w:t>
      </w:r>
      <w:r>
        <w:rPr>
          <w:b w:val="0"/>
        </w:rPr>
        <w:t xml:space="preserve"> (*Dirks*): as an SAB member, Ashford may be treated as a temporary insider. Under either theory, tippee liability requires that the tipper received a personal benefit and that the tippee knew or should have known of the breach. </w:t>
      </w:r>
      <w:r>
        <w:rPr>
          <w:b/>
        </w:rPr>
        <w:t>Salman</w:t>
      </w:r>
      <w:r>
        <w:rPr>
          <w:b w:val="0"/>
        </w:rPr>
        <w:t xml:space="preserve"> makes personal benefit easy to establish where the tip is a gift to a relative, and a brother-in-law fits comfortably (*see also United States v. Martoma*, 894 F.3d 64 (2d Cir. 2017)). The government may also charge under 18 U.S.C. § 1348 (Title 18 securities fraud), which in the Second Circuit does not carry the *Dirks* personal-benefit requirement for corporate confidential information (*United States v. Blaszczak*, 947 F.3d 19 (2d Cir. 2019), vacated on other grounds as to government information after *Kelly*; the corporate-property theory of *Carpenter* remains intact).</w:t>
      </w:r>
    </w:p>
    <w:p>
      <w:r>
        <w:rPr>
          <w:b w:val="0"/>
        </w:rPr>
      </w:r>
      <w:r>
        <w:rPr>
          <w:b/>
        </w:rPr>
        <w:t>Entity exposure.</w:t>
      </w:r>
      <w:r>
        <w:rPr>
          <w:b w:val="0"/>
        </w:rPr>
        <w:t xml:space="preserve"> Grayfield can be held criminally liable under respondeat superior for employees acting within the scope of employment and at least partly to benefit the entity. Trading for the fund plainly meets that test. The Firm also faces civil exposure: disgorgement of approximately $9.2 million in fund gains; civil penalties under Exchange Act § 21A, including controlling-person penalties of up to the greater of $1 million or three times the profit gained if the Firm knowingly or recklessly failed to take appropriate steps to prevent the violation (§ 21A(b)(1)), which the Clearwater report makes a live risk; Advisers Act §§ 204A, 206(4) / Rule 206(4)-7, and Rule 204-2 (recordkeeping) violations; possible § 206 violations if the March 5 allocation was improper; and investor claims and redemptions.</w:t>
      </w:r>
    </w:p>
    <w:p>
      <w:r>
        <w:rPr>
          <w:b w:val="0"/>
        </w:rPr>
      </w:r>
      <w:r>
        <w:rPr>
          <w:b/>
        </w:rPr>
        <w:t>The "one-day gap" (March 3 SAB meeting to March 4 first trade).</w:t>
      </w:r>
      <w:r>
        <w:rPr>
          <w:b w:val="0"/>
        </w:rPr>
        <w:t xml:space="preserve"> This is the government’s strongest timing fact, and the intake memo’s answer ("Zheng’s independent research") is currently undocumented. Key points:</w:t>
      </w:r>
    </w:p>
    <w:p>
      <w:pPr>
        <w:pStyle w:val="ListBullet"/>
      </w:pPr>
      <w:r>
        <w:rPr>
          <w:b w:val="0"/>
        </w:rPr>
        <w:t xml:space="preserve">The March 12 call </w:t>
      </w:r>
      <w:r>
        <w:rPr>
          <w:b/>
        </w:rPr>
        <w:t>cannot explain</w:t>
      </w:r>
      <w:r>
        <w:rPr>
          <w:b w:val="0"/>
        </w:rPr>
        <w:t xml:space="preserve"> the March 4 trade. The critical question is whether Ashford and Marcus (or Zheng) communicated on March 3–4, a Sunday and Monday. Carrier records will answer this, and the government likely already has them. The call record we know about is only the one Ms. Tsao identified.</w:t>
      </w:r>
    </w:p>
    <w:p>
      <w:pPr>
        <w:pStyle w:val="ListBullet"/>
      </w:pPr>
      <w:r>
        <w:rPr>
          <w:b w:val="0"/>
        </w:rPr>
        <w:t>Who made the March 4 decision? We need to establish whether Marcus directed Zheng to begin buying on March 3 or 4, and through what channel (the lost iPhone, Signal, in person).</w:t>
      </w:r>
    </w:p>
    <w:p>
      <w:pPr>
        <w:pStyle w:val="ListBullet"/>
      </w:pPr>
      <w:r>
        <w:rPr>
          <w:b w:val="0"/>
        </w:rPr>
        <w:t>Exculpatory evidence would include pre-March 3 research files, model timestamps, sell-side research downloads, expert-network logs, Bloomberg alerts, earlier watch lists or pipeline documents mentioning VRDN, and any public catalyst on or around March 1–4 (for example, a conference presentation or public PDUFA date confirmation). Ridgeline should also examine market-wide VRDN volume and price on March 4 and review Zheng’s other biotech event-driven trades for a consistent approach (Request 8 may actually help here).</w:t>
      </w:r>
    </w:p>
    <w:p>
      <w:pPr>
        <w:pStyle w:val="ListBullet"/>
      </w:pPr>
      <w:r>
        <w:rPr>
          <w:b w:val="0"/>
        </w:rPr>
        <w:t xml:space="preserve">The fund kept buying 140,000 shares </w:t>
      </w:r>
      <w:r>
        <w:rPr>
          <w:b/>
        </w:rPr>
        <w:t>after</w:t>
      </w:r>
      <w:r>
        <w:rPr>
          <w:b w:val="0"/>
        </w:rPr>
        <w:t xml:space="preserve"> the public April 2 8-K, and the IC memo’s exit strategy was set out in advance. Both are helpful. Nevertheless, the concentration (the largest single-name biotech bet we are aware of), the timing and the family relationship make this a case the government will likely pursue at least against individuals.</w:t>
      </w:r>
    </w:p>
    <w:p>
      <w:r>
        <w:rPr>
          <w:b w:val="0"/>
        </w:rPr>
      </w:r>
      <w:r>
        <w:rPr>
          <w:b/>
        </w:rPr>
        <w:t>Preliminary assessment:</w:t>
      </w:r>
      <w:r>
        <w:rPr>
          <w:b w:val="0"/>
        </w:rPr>
        <w:t xml:space="preserve"> Criminal exposure for Marcus is serious. Zheng’s exposure depends on what he knew about the source of the information. The entity’s exposure is significant, and its best mitigation lies in prompt, credible cooperation and remediation: independent governance, disclosure of the data loss, a genuine investigation, and personnel action if warranted. SDNY’s corporate voluntary self-disclosure and cooperation policies, and the DOJ Criminal Division Corporate Enforcement Policy, should be evaluated as the facts develop, since the entity’s interests may favor early cooperation.</w:t>
      </w:r>
    </w:p>
    <w:p>
      <w:pPr>
        <w:pStyle w:val="Heading1"/>
      </w:pPr>
      <w:r>
        <w:t>IX. Return Date and Extension Strategy (Tsao Question 6)</w:t>
      </w:r>
    </w:p>
    <w:p>
      <w:r>
        <w:rPr>
          <w:b w:val="0"/>
        </w:rPr>
        <w:t>After we verify the AUSA’s identity (§ III.A), I recommend the following:</w:t>
      </w:r>
    </w:p>
    <w:p>
      <w:pPr>
        <w:pStyle w:val="ListBullet"/>
      </w:pPr>
      <w:r>
        <w:rPr>
          <w:b w:val="0"/>
        </w:rPr>
      </w:r>
      <w:r>
        <w:rPr>
          <w:b/>
        </w:rPr>
        <w:t>Initial call this week</w:t>
      </w:r>
      <w:r>
        <w:rPr>
          <w:b w:val="0"/>
        </w:rPr>
        <w:t xml:space="preserve"> from you to the AUSA to (a) confirm our representation of the entity only, (b) confirm the Firm is preserving and will comply, (c) propose a rolling production schedule, (d) seek adjournment of Attachment B, and (e) raise, at an appropriate point, the device and Signal disclosure (§ VI). Confirm everything in a follow-up letter.</w:t>
      </w:r>
    </w:p>
    <w:p>
      <w:pPr>
        <w:pStyle w:val="ListBullet"/>
      </w:pPr>
      <w:r>
        <w:rPr>
          <w:b w:val="0"/>
        </w:rPr>
      </w:r>
      <w:r>
        <w:rPr>
          <w:b/>
        </w:rPr>
        <w:t>Proposed rolling schedule:</w:t>
      </w:r>
      <w:r>
        <w:rPr>
          <w:b w:val="0"/>
        </w:rPr>
        <w:t xml:space="preserve"> Tranche 1 (by July 8, showing good faith): VRDN trading records from native OMS and broker records (Req. 1), IC memo and VRDN research with metadata (Req. 3), Marcus–Zheng Smarsh email on VRDN, the Code of Ethics (all versions), and VRDN-related compliance records (Req. 5, 13), plus SEC productions to date (Req. 7). Tranche 2 (about 30 days): remaining Smarsh email for agreed custodians and search terms, Clearwater materials, phone records, personal-trading records. Tranche 3 (about 60 days): full blotter, narrowed bank, governance and investor materials. Defer or withdraw: Request 16 (2024), Request 15, Fund III and Credit materials.</w:t>
      </w:r>
    </w:p>
    <w:p>
      <w:pPr>
        <w:pStyle w:val="ListBullet"/>
      </w:pPr>
      <w:r>
        <w:rPr>
          <w:b w:val="0"/>
        </w:rPr>
      </w:r>
      <w:r>
        <w:rPr>
          <w:b/>
        </w:rPr>
        <w:t>Negotiation terms:</w:t>
      </w:r>
      <w:r>
        <w:rPr>
          <w:b w:val="0"/>
        </w:rPr>
        <w:t xml:space="preserve"> custodians and search terms by agreement; date cutoff of June 5, 2024; no logging of post-May 15 counsel communications; a written clawback agreement for inadvertently produced privileged material (there is no Rule 502(d) order in the grand jury context, so FRE 502(b) and a letter agreement will govern); confidential treatment of investor data; and production format consistent with Instruction 2.</w:t>
      </w:r>
    </w:p>
    <w:p>
      <w:pPr>
        <w:pStyle w:val="ListBullet"/>
      </w:pPr>
      <w:r>
        <w:rPr>
          <w:b w:val="0"/>
        </w:rPr>
      </w:r>
      <w:r>
        <w:rPr>
          <w:b/>
        </w:rPr>
        <w:t>Do not</w:t>
      </w:r>
      <w:r>
        <w:rPr>
          <w:b w:val="0"/>
        </w:rPr>
        <w:t xml:space="preserve"> let the extension request imply delay tactics. Given the preservation problems, visible speed and transparency are worth more than extra weeks.</w:t>
      </w:r>
    </w:p>
    <w:p>
      <w:pPr>
        <w:pStyle w:val="Heading1"/>
      </w:pPr>
      <w:r>
        <w:t>X. Coordination with Dr. Ashford’s Counsel (Tsao Question 7)</w:t>
      </w:r>
    </w:p>
    <w:p>
      <w:r>
        <w:rPr>
          <w:b w:val="0"/>
        </w:rPr>
      </w:r>
      <w:r>
        <w:rPr>
          <w:b/>
        </w:rPr>
        <w:t>Recommendation: keep our distance for now. No joint-defense or common-interest agreement.</w:t>
      </w:r>
      <w:r>
        <w:rPr>
          <w:b w:val="0"/>
        </w:rPr>
        <w:t xml:space="preserve"> Ashford is the alleged tipper. His interests may become sharply adverse to the Firm, for example if he cooperates and says he tipped Marcus, or claims the Firm pressured him. A common-interest agreement would limit the entity’s freedom to cooperate. It would also likely be scrutinized as coordination of stories and could create disqualification problems if Ashford later becomes a government witness. Limited, documented contacts on logistics only (for example, avoiding duplicative productions) are acceptable. We should also:</w:t>
      </w:r>
    </w:p>
    <w:p>
      <w:pPr>
        <w:pStyle w:val="ListBullet"/>
      </w:pPr>
      <w:r>
        <w:rPr>
          <w:b w:val="0"/>
        </w:rPr>
        <w:t xml:space="preserve">Instruct, through Marcus’s new counsel and in the revised hold and communications guidance, that Marcus </w:t>
      </w:r>
      <w:r>
        <w:rPr>
          <w:b/>
        </w:rPr>
        <w:t>must not discuss Veridian, the trades or the investigations with Dr. Ashford or Elena Grayfield-Ashford</w:t>
      </w:r>
      <w:r>
        <w:rPr>
          <w:b w:val="0"/>
        </w:rPr>
        <w:t>, including at family gatherings or on regular family calls. Any such discussion risks witness-tampering (18 U.S.C. § 1512(b)) and obstruction allegations. Ordinary family contact should continue but be kept strictly away from these subjects.</w:t>
      </w:r>
    </w:p>
    <w:p>
      <w:pPr>
        <w:pStyle w:val="ListBullet"/>
      </w:pPr>
      <w:r>
        <w:rPr>
          <w:b w:val="0"/>
        </w:rPr>
        <w:t xml:space="preserve">Resolve whether IC member </w:t>
      </w:r>
      <w:r>
        <w:rPr>
          <w:b/>
        </w:rPr>
        <w:t>David Hargrove</w:t>
      </w:r>
      <w:r>
        <w:rPr>
          <w:b w:val="0"/>
        </w:rPr>
        <w:t xml:space="preserve"> has any connection to Hargrove &amp; Associates LLP before sharing any information with him.</w:t>
      </w:r>
    </w:p>
    <w:p>
      <w:pPr>
        <w:pStyle w:val="Heading1"/>
      </w:pPr>
      <w:r>
        <w:t>XI. Recommended Immediate Action Items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D9E2F3"/>
          </w:tcPr>
          <w:p>
            <w:r/>
            <w:r>
              <w:rPr>
                <w:b/>
                <w:sz w:val="20"/>
              </w:rPr>
              <w:t>#</w:t>
            </w:r>
          </w:p>
        </w:tc>
        <w:tc>
          <w:tcPr>
            <w:tcW w:type="dxa" w:w="5472"/>
            <w:shd w:val="clear" w:color="auto" w:fill="D9E2F3"/>
          </w:tcPr>
          <w:p>
            <w:r/>
            <w:r>
              <w:rPr>
                <w:b/>
                <w:sz w:val="20"/>
              </w:rPr>
              <w:t>Action</w:t>
            </w:r>
          </w:p>
        </w:tc>
        <w:tc>
          <w:tcPr>
            <w:tcW w:type="dxa" w:w="1872"/>
            <w:shd w:val="clear" w:color="auto" w:fill="D9E2F3"/>
          </w:tcPr>
          <w:p>
            <w:r/>
            <w:r>
              <w:rPr>
                <w:b/>
                <w:sz w:val="20"/>
              </w:rPr>
              <w:t>Owner</w:t>
            </w:r>
          </w:p>
        </w:tc>
        <w:tc>
          <w:tcPr>
            <w:tcW w:type="dxa" w:w="1584"/>
            <w:shd w:val="clear" w:color="auto" w:fill="D9E2F3"/>
          </w:tcPr>
          <w:p>
            <w:r/>
            <w:r>
              <w:rPr>
                <w:b/>
                <w:sz w:val="20"/>
              </w:rPr>
              <w:t>Timing</w:t>
            </w:r>
          </w:p>
        </w:tc>
      </w:tr>
      <w:tr>
        <w:tc>
          <w:tcPr>
            <w:tcW w:type="dxa" w:w="432"/>
          </w:tcPr>
          <w:p>
            <w:r>
              <w:rPr>
                <w:sz w:val="20"/>
              </w:rPr>
            </w:r>
            <w:r>
              <w:rPr>
                <w:b w:val="0"/>
                <w:sz w:val="20"/>
              </w:rPr>
              <w:t>1</w:t>
            </w:r>
          </w:p>
        </w:tc>
        <w:tc>
          <w:tcPr>
            <w:tcW w:type="dxa" w:w="5472"/>
          </w:tcPr>
          <w:p>
            <w:r>
              <w:rPr>
                <w:sz w:val="20"/>
              </w:rPr>
            </w:r>
            <w:r>
              <w:rPr>
                <w:b w:val="0"/>
                <w:sz w:val="20"/>
              </w:rPr>
              <w:t>Instruct Zheng (in writing, via counsel) to disable Signal disappearing messages and preserve all devices; retain forensic vendor to image his phone and Signal Desktop</w:t>
            </w:r>
          </w:p>
        </w:tc>
        <w:tc>
          <w:tcPr>
            <w:tcW w:type="dxa" w:w="1872"/>
          </w:tcPr>
          <w:p>
            <w:r>
              <w:rPr>
                <w:sz w:val="20"/>
              </w:rPr>
            </w:r>
            <w:r>
              <w:rPr>
                <w:b w:val="0"/>
                <w:sz w:val="20"/>
              </w:rPr>
              <w:t>W&amp;C / vendor</w:t>
            </w:r>
          </w:p>
        </w:tc>
        <w:tc>
          <w:tcPr>
            <w:tcW w:type="dxa" w:w="1584"/>
          </w:tcPr>
          <w:p>
            <w:r>
              <w:rPr>
                <w:sz w:val="20"/>
              </w:rPr>
            </w:r>
            <w:r>
              <w:rPr>
                <w:b w:val="0"/>
                <w:sz w:val="20"/>
              </w:rPr>
              <w:t>Today</w:t>
            </w:r>
          </w:p>
        </w:tc>
      </w:tr>
      <w:tr>
        <w:tc>
          <w:tcPr>
            <w:tcW w:type="dxa" w:w="432"/>
          </w:tcPr>
          <w:p>
            <w:r>
              <w:rPr>
                <w:sz w:val="20"/>
              </w:rPr>
            </w:r>
            <w:r>
              <w:rPr>
                <w:b w:val="0"/>
                <w:sz w:val="20"/>
              </w:rPr>
              <w:t>2</w:t>
            </w:r>
          </w:p>
        </w:tc>
        <w:tc>
          <w:tcPr>
            <w:tcW w:type="dxa" w:w="5472"/>
          </w:tcPr>
          <w:p>
            <w:r>
              <w:rPr>
                <w:sz w:val="20"/>
              </w:rPr>
            </w:r>
            <w:r>
              <w:rPr>
                <w:b w:val="0"/>
                <w:sz w:val="20"/>
              </w:rPr>
              <w:t>Issue superseding W&amp;C hold notice (personal devices, apps, auto-delete, full subpoena scope, Rule 21F-17 carve-out); confirm IT suspension of deletion and backups</w:t>
            </w:r>
          </w:p>
        </w:tc>
        <w:tc>
          <w:tcPr>
            <w:tcW w:type="dxa" w:w="1872"/>
          </w:tcPr>
          <w:p>
            <w:r>
              <w:rPr>
                <w:sz w:val="20"/>
              </w:rPr>
            </w:r>
            <w:r>
              <w:rPr>
                <w:b w:val="0"/>
                <w:sz w:val="20"/>
              </w:rPr>
              <w:t>W&amp;C</w:t>
            </w:r>
          </w:p>
        </w:tc>
        <w:tc>
          <w:tcPr>
            <w:tcW w:type="dxa" w:w="1584"/>
          </w:tcPr>
          <w:p>
            <w:r>
              <w:rPr>
                <w:sz w:val="20"/>
              </w:rPr>
            </w:r>
            <w:r>
              <w:rPr>
                <w:b w:val="0"/>
                <w:sz w:val="20"/>
              </w:rPr>
              <w:t>24–48 hrs</w:t>
            </w:r>
          </w:p>
        </w:tc>
      </w:tr>
      <w:tr>
        <w:tc>
          <w:tcPr>
            <w:tcW w:type="dxa" w:w="432"/>
          </w:tcPr>
          <w:p>
            <w:r>
              <w:rPr>
                <w:sz w:val="20"/>
              </w:rPr>
            </w:r>
            <w:r>
              <w:rPr>
                <w:b w:val="0"/>
                <w:sz w:val="20"/>
              </w:rPr>
              <w:t>3</w:t>
            </w:r>
          </w:p>
        </w:tc>
        <w:tc>
          <w:tcPr>
            <w:tcW w:type="dxa" w:w="5472"/>
          </w:tcPr>
          <w:p>
            <w:r>
              <w:rPr>
                <w:sz w:val="20"/>
              </w:rPr>
            </w:r>
            <w:r>
              <w:rPr>
                <w:b w:val="0"/>
                <w:sz w:val="20"/>
              </w:rPr>
              <w:t>Verify AUSA identity and contact details through the independent USAO switchboard</w:t>
            </w:r>
          </w:p>
        </w:tc>
        <w:tc>
          <w:tcPr>
            <w:tcW w:type="dxa" w:w="1872"/>
          </w:tcPr>
          <w:p>
            <w:r>
              <w:rPr>
                <w:sz w:val="20"/>
              </w:rPr>
            </w:r>
            <w:r>
              <w:rPr>
                <w:b w:val="0"/>
                <w:sz w:val="20"/>
              </w:rPr>
              <w:t>W&amp;C</w:t>
            </w:r>
          </w:p>
        </w:tc>
        <w:tc>
          <w:tcPr>
            <w:tcW w:type="dxa" w:w="1584"/>
          </w:tcPr>
          <w:p>
            <w:r>
              <w:rPr>
                <w:sz w:val="20"/>
              </w:rPr>
            </w:r>
            <w:r>
              <w:rPr>
                <w:b w:val="0"/>
                <w:sz w:val="20"/>
              </w:rPr>
              <w:t>24 hrs</w:t>
            </w:r>
          </w:p>
        </w:tc>
      </w:tr>
      <w:tr>
        <w:tc>
          <w:tcPr>
            <w:tcW w:type="dxa" w:w="432"/>
          </w:tcPr>
          <w:p>
            <w:r>
              <w:rPr>
                <w:sz w:val="20"/>
              </w:rPr>
            </w:r>
            <w:r>
              <w:rPr>
                <w:b w:val="0"/>
                <w:sz w:val="20"/>
              </w:rPr>
              <w:t>4</w:t>
            </w:r>
          </w:p>
        </w:tc>
        <w:tc>
          <w:tcPr>
            <w:tcW w:type="dxa" w:w="5472"/>
          </w:tcPr>
          <w:p>
            <w:r>
              <w:rPr>
                <w:sz w:val="20"/>
              </w:rPr>
            </w:r>
            <w:r>
              <w:rPr>
                <w:b w:val="0"/>
                <w:sz w:val="20"/>
              </w:rPr>
              <w:t>Letter to Marcus: entity-only representation; retain separate counsel; do not discuss the matter with Ashford; preserve all devices and accounts</w:t>
            </w:r>
          </w:p>
        </w:tc>
        <w:tc>
          <w:tcPr>
            <w:tcW w:type="dxa" w:w="1872"/>
          </w:tcPr>
          <w:p>
            <w:r>
              <w:rPr>
                <w:sz w:val="20"/>
              </w:rPr>
            </w:r>
            <w:r>
              <w:rPr>
                <w:b w:val="0"/>
                <w:sz w:val="20"/>
              </w:rPr>
              <w:t>CW</w:t>
            </w:r>
          </w:p>
        </w:tc>
        <w:tc>
          <w:tcPr>
            <w:tcW w:type="dxa" w:w="1584"/>
          </w:tcPr>
          <w:p>
            <w:r>
              <w:rPr>
                <w:sz w:val="20"/>
              </w:rPr>
            </w:r>
            <w:r>
              <w:rPr>
                <w:b w:val="0"/>
                <w:sz w:val="20"/>
              </w:rPr>
              <w:t>24–48 hrs</w:t>
            </w:r>
          </w:p>
        </w:tc>
      </w:tr>
      <w:tr>
        <w:tc>
          <w:tcPr>
            <w:tcW w:type="dxa" w:w="432"/>
          </w:tcPr>
          <w:p>
            <w:r>
              <w:rPr>
                <w:sz w:val="20"/>
              </w:rPr>
            </w:r>
            <w:r>
              <w:rPr>
                <w:b w:val="0"/>
                <w:sz w:val="20"/>
              </w:rPr>
              <w:t>5</w:t>
            </w:r>
          </w:p>
        </w:tc>
        <w:tc>
          <w:tcPr>
            <w:tcW w:type="dxa" w:w="5472"/>
          </w:tcPr>
          <w:p>
            <w:r>
              <w:rPr>
                <w:sz w:val="20"/>
              </w:rPr>
            </w:r>
            <w:r>
              <w:rPr>
                <w:b w:val="0"/>
                <w:sz w:val="20"/>
              </w:rPr>
              <w:t>Recommend special committee of non-implicated partners; wall Marcus off from collection; move relevance and collection decisions away from Tsao</w:t>
            </w:r>
          </w:p>
        </w:tc>
        <w:tc>
          <w:tcPr>
            <w:tcW w:type="dxa" w:w="1872"/>
          </w:tcPr>
          <w:p>
            <w:r>
              <w:rPr>
                <w:sz w:val="20"/>
              </w:rPr>
            </w:r>
            <w:r>
              <w:rPr>
                <w:b w:val="0"/>
                <w:sz w:val="20"/>
              </w:rPr>
              <w:t>CW / Firm</w:t>
            </w:r>
          </w:p>
        </w:tc>
        <w:tc>
          <w:tcPr>
            <w:tcW w:type="dxa" w:w="1584"/>
          </w:tcPr>
          <w:p>
            <w:r>
              <w:rPr>
                <w:sz w:val="20"/>
              </w:rPr>
            </w:r>
            <w:r>
              <w:rPr>
                <w:b w:val="0"/>
                <w:sz w:val="20"/>
              </w:rPr>
              <w:t>This week</w:t>
            </w:r>
          </w:p>
        </w:tc>
      </w:tr>
      <w:tr>
        <w:tc>
          <w:tcPr>
            <w:tcW w:type="dxa" w:w="432"/>
          </w:tcPr>
          <w:p>
            <w:r>
              <w:rPr>
                <w:sz w:val="20"/>
              </w:rPr>
            </w:r>
            <w:r>
              <w:rPr>
                <w:b w:val="0"/>
                <w:sz w:val="20"/>
              </w:rPr>
              <w:t>6</w:t>
            </w:r>
          </w:p>
        </w:tc>
        <w:tc>
          <w:tcPr>
            <w:tcW w:type="dxa" w:w="5472"/>
          </w:tcPr>
          <w:p>
            <w:r>
              <w:rPr>
                <w:sz w:val="20"/>
              </w:rPr>
            </w:r>
            <w:r>
              <w:rPr>
                <w:b w:val="0"/>
                <w:sz w:val="20"/>
              </w:rPr>
              <w:t>Apple inquiry (device IMEI from receipt); iCloud and other-device review; request carrier records for Marcus and Zheng lines</w:t>
            </w:r>
          </w:p>
        </w:tc>
        <w:tc>
          <w:tcPr>
            <w:tcW w:type="dxa" w:w="1872"/>
          </w:tcPr>
          <w:p>
            <w:r>
              <w:rPr>
                <w:sz w:val="20"/>
              </w:rPr>
            </w:r>
            <w:r>
              <w:rPr>
                <w:b w:val="0"/>
                <w:sz w:val="20"/>
              </w:rPr>
              <w:t>Vendor / Marcus’s counsel</w:t>
            </w:r>
          </w:p>
        </w:tc>
        <w:tc>
          <w:tcPr>
            <w:tcW w:type="dxa" w:w="1584"/>
          </w:tcPr>
          <w:p>
            <w:r>
              <w:rPr>
                <w:sz w:val="20"/>
              </w:rPr>
            </w:r>
            <w:r>
              <w:rPr>
                <w:b w:val="0"/>
                <w:sz w:val="20"/>
              </w:rPr>
              <w:t>This week</w:t>
            </w:r>
          </w:p>
        </w:tc>
      </w:tr>
      <w:tr>
        <w:tc>
          <w:tcPr>
            <w:tcW w:type="dxa" w:w="432"/>
          </w:tcPr>
          <w:p>
            <w:r>
              <w:rPr>
                <w:sz w:val="20"/>
              </w:rPr>
            </w:r>
            <w:r>
              <w:rPr>
                <w:b w:val="0"/>
                <w:sz w:val="20"/>
              </w:rPr>
              <w:t>7</w:t>
            </w:r>
          </w:p>
        </w:tc>
        <w:tc>
          <w:tcPr>
            <w:tcW w:type="dxa" w:w="5472"/>
          </w:tcPr>
          <w:p>
            <w:r>
              <w:rPr>
                <w:sz w:val="20"/>
              </w:rPr>
            </w:r>
            <w:r>
              <w:rPr>
                <w:b w:val="0"/>
                <w:sz w:val="20"/>
              </w:rPr>
              <w:t>Obtain Fielding &amp; Strauss records for fund and Marcus accounts for Mar. 4–5 and Apr. 8–9 (allocation issue)</w:t>
            </w:r>
          </w:p>
        </w:tc>
        <w:tc>
          <w:tcPr>
            <w:tcW w:type="dxa" w:w="1872"/>
          </w:tcPr>
          <w:p>
            <w:r>
              <w:rPr>
                <w:sz w:val="20"/>
              </w:rPr>
            </w:r>
            <w:r>
              <w:rPr>
                <w:b w:val="0"/>
                <w:sz w:val="20"/>
              </w:rPr>
              <w:t>W&amp;C / Ridgeline</w:t>
            </w:r>
          </w:p>
        </w:tc>
        <w:tc>
          <w:tcPr>
            <w:tcW w:type="dxa" w:w="1584"/>
          </w:tcPr>
          <w:p>
            <w:r>
              <w:rPr>
                <w:sz w:val="20"/>
              </w:rPr>
            </w:r>
            <w:r>
              <w:rPr>
                <w:b w:val="0"/>
                <w:sz w:val="20"/>
              </w:rPr>
              <w:t>This week</w:t>
            </w:r>
          </w:p>
        </w:tc>
      </w:tr>
      <w:tr>
        <w:tc>
          <w:tcPr>
            <w:tcW w:type="dxa" w:w="432"/>
          </w:tcPr>
          <w:p>
            <w:r>
              <w:rPr>
                <w:sz w:val="20"/>
              </w:rPr>
            </w:r>
            <w:r>
              <w:rPr>
                <w:b w:val="0"/>
                <w:sz w:val="20"/>
              </w:rPr>
              <w:t>8</w:t>
            </w:r>
          </w:p>
        </w:tc>
        <w:tc>
          <w:tcPr>
            <w:tcW w:type="dxa" w:w="5472"/>
          </w:tcPr>
          <w:p>
            <w:r>
              <w:rPr>
                <w:sz w:val="20"/>
              </w:rPr>
            </w:r>
            <w:r>
              <w:rPr>
                <w:b w:val="0"/>
                <w:sz w:val="20"/>
              </w:rPr>
              <w:t>Forensic collection of IC memo drafts and version history; Smarsh metadata for the Mar. 11–25 thread; resolve the 205,000-share dating anomaly</w:t>
            </w:r>
          </w:p>
        </w:tc>
        <w:tc>
          <w:tcPr>
            <w:tcW w:type="dxa" w:w="1872"/>
          </w:tcPr>
          <w:p>
            <w:r>
              <w:rPr>
                <w:sz w:val="20"/>
              </w:rPr>
            </w:r>
            <w:r>
              <w:rPr>
                <w:b w:val="0"/>
                <w:sz w:val="20"/>
              </w:rPr>
              <w:t>Vendor / Ridgeline</w:t>
            </w:r>
          </w:p>
        </w:tc>
        <w:tc>
          <w:tcPr>
            <w:tcW w:type="dxa" w:w="1584"/>
          </w:tcPr>
          <w:p>
            <w:r>
              <w:rPr>
                <w:sz w:val="20"/>
              </w:rPr>
            </w:r>
            <w:r>
              <w:rPr>
                <w:b w:val="0"/>
                <w:sz w:val="20"/>
              </w:rPr>
              <w:t>Before any production</w:t>
            </w:r>
          </w:p>
        </w:tc>
      </w:tr>
      <w:tr>
        <w:tc>
          <w:tcPr>
            <w:tcW w:type="dxa" w:w="432"/>
          </w:tcPr>
          <w:p>
            <w:r>
              <w:rPr>
                <w:sz w:val="20"/>
              </w:rPr>
            </w:r>
            <w:r>
              <w:rPr>
                <w:b w:val="0"/>
                <w:sz w:val="20"/>
              </w:rPr>
              <w:t>9</w:t>
            </w:r>
          </w:p>
        </w:tc>
        <w:tc>
          <w:tcPr>
            <w:tcW w:type="dxa" w:w="5472"/>
          </w:tcPr>
          <w:p>
            <w:r>
              <w:rPr>
                <w:sz w:val="20"/>
              </w:rPr>
            </w:r>
            <w:r>
              <w:rPr>
                <w:b w:val="0"/>
                <w:sz w:val="20"/>
              </w:rPr>
              <w:t>Search for pre-March 3 VRDN research by Zheng; expert-network usage</w:t>
            </w:r>
          </w:p>
        </w:tc>
        <w:tc>
          <w:tcPr>
            <w:tcW w:type="dxa" w:w="1872"/>
          </w:tcPr>
          <w:p>
            <w:r>
              <w:rPr>
                <w:sz w:val="20"/>
              </w:rPr>
            </w:r>
            <w:r>
              <w:rPr>
                <w:b w:val="0"/>
                <w:sz w:val="20"/>
              </w:rPr>
              <w:t>W&amp;C / Ridgeline</w:t>
            </w:r>
          </w:p>
        </w:tc>
        <w:tc>
          <w:tcPr>
            <w:tcW w:type="dxa" w:w="1584"/>
          </w:tcPr>
          <w:p>
            <w:r>
              <w:rPr>
                <w:sz w:val="20"/>
              </w:rPr>
            </w:r>
            <w:r>
              <w:rPr>
                <w:b w:val="0"/>
                <w:sz w:val="20"/>
              </w:rPr>
              <w:t>1–2 weeks</w:t>
            </w:r>
          </w:p>
        </w:tc>
      </w:tr>
      <w:tr>
        <w:tc>
          <w:tcPr>
            <w:tcW w:type="dxa" w:w="432"/>
          </w:tcPr>
          <w:p>
            <w:r>
              <w:rPr>
                <w:sz w:val="20"/>
              </w:rPr>
            </w:r>
            <w:r>
              <w:rPr>
                <w:b w:val="0"/>
                <w:sz w:val="20"/>
              </w:rPr>
              <w:t>10</w:t>
            </w:r>
          </w:p>
        </w:tc>
        <w:tc>
          <w:tcPr>
            <w:tcW w:type="dxa" w:w="5472"/>
          </w:tcPr>
          <w:p>
            <w:r>
              <w:rPr>
                <w:sz w:val="20"/>
              </w:rPr>
            </w:r>
            <w:r>
              <w:rPr>
                <w:b w:val="0"/>
                <w:sz w:val="20"/>
              </w:rPr>
              <w:t>Locate Code § VI.C disclosure (if any) of Ashford relationship; restricted/watch list history; pre-clearance logs; remediation evidence post-Clearwater</w:t>
            </w:r>
          </w:p>
        </w:tc>
        <w:tc>
          <w:tcPr>
            <w:tcW w:type="dxa" w:w="1872"/>
          </w:tcPr>
          <w:p>
            <w:r>
              <w:rPr>
                <w:sz w:val="20"/>
              </w:rPr>
            </w:r>
            <w:r>
              <w:rPr>
                <w:b w:val="0"/>
                <w:sz w:val="20"/>
              </w:rPr>
              <w:t>W&amp;C</w:t>
            </w:r>
          </w:p>
        </w:tc>
        <w:tc>
          <w:tcPr>
            <w:tcW w:type="dxa" w:w="1584"/>
          </w:tcPr>
          <w:p>
            <w:r>
              <w:rPr>
                <w:sz w:val="20"/>
              </w:rPr>
            </w:r>
            <w:r>
              <w:rPr>
                <w:b w:val="0"/>
                <w:sz w:val="20"/>
              </w:rPr>
              <w:t>1 week</w:t>
            </w:r>
          </w:p>
        </w:tc>
      </w:tr>
      <w:tr>
        <w:tc>
          <w:tcPr>
            <w:tcW w:type="dxa" w:w="432"/>
          </w:tcPr>
          <w:p>
            <w:r>
              <w:rPr>
                <w:sz w:val="20"/>
              </w:rPr>
            </w:r>
            <w:r>
              <w:rPr>
                <w:b w:val="0"/>
                <w:sz w:val="20"/>
              </w:rPr>
              <w:t>11</w:t>
            </w:r>
          </w:p>
        </w:tc>
        <w:tc>
          <w:tcPr>
            <w:tcW w:type="dxa" w:w="5472"/>
          </w:tcPr>
          <w:p>
            <w:r>
              <w:rPr>
                <w:sz w:val="20"/>
              </w:rPr>
            </w:r>
            <w:r>
              <w:rPr>
                <w:b w:val="0"/>
                <w:sz w:val="20"/>
              </w:rPr>
              <w:t>Upjohn-warned interviews: Tsao, Mehta, Zheng (after counsel), IC members; Marcus through his counsel</w:t>
            </w:r>
          </w:p>
        </w:tc>
        <w:tc>
          <w:tcPr>
            <w:tcW w:type="dxa" w:w="1872"/>
          </w:tcPr>
          <w:p>
            <w:r>
              <w:rPr>
                <w:sz w:val="20"/>
              </w:rPr>
            </w:r>
            <w:r>
              <w:rPr>
                <w:b w:val="0"/>
                <w:sz w:val="20"/>
              </w:rPr>
              <w:t>W&amp;C</w:t>
            </w:r>
          </w:p>
        </w:tc>
        <w:tc>
          <w:tcPr>
            <w:tcW w:type="dxa" w:w="1584"/>
          </w:tcPr>
          <w:p>
            <w:r>
              <w:rPr>
                <w:sz w:val="20"/>
              </w:rPr>
            </w:r>
            <w:r>
              <w:rPr>
                <w:b w:val="0"/>
                <w:sz w:val="20"/>
              </w:rPr>
              <w:t>Starting this week</w:t>
            </w:r>
          </w:p>
        </w:tc>
      </w:tr>
      <w:tr>
        <w:tc>
          <w:tcPr>
            <w:tcW w:type="dxa" w:w="432"/>
          </w:tcPr>
          <w:p>
            <w:r>
              <w:rPr>
                <w:sz w:val="20"/>
              </w:rPr>
            </w:r>
            <w:r>
              <w:rPr>
                <w:b w:val="0"/>
                <w:sz w:val="20"/>
              </w:rPr>
              <w:t>12</w:t>
            </w:r>
          </w:p>
        </w:tc>
        <w:tc>
          <w:tcPr>
            <w:tcW w:type="dxa" w:w="5472"/>
          </w:tcPr>
          <w:p>
            <w:r>
              <w:rPr>
                <w:sz w:val="20"/>
              </w:rPr>
            </w:r>
            <w:r>
              <w:rPr>
                <w:b w:val="0"/>
                <w:sz w:val="20"/>
              </w:rPr>
              <w:t>Notify D&amp;O/E&amp;O insurers; review LLC agreement for indemnification and advancement</w:t>
            </w:r>
          </w:p>
        </w:tc>
        <w:tc>
          <w:tcPr>
            <w:tcW w:type="dxa" w:w="1872"/>
          </w:tcPr>
          <w:p>
            <w:r>
              <w:rPr>
                <w:sz w:val="20"/>
              </w:rPr>
            </w:r>
            <w:r>
              <w:rPr>
                <w:b w:val="0"/>
                <w:sz w:val="20"/>
              </w:rPr>
              <w:t>W&amp;C / Firm</w:t>
            </w:r>
          </w:p>
        </w:tc>
        <w:tc>
          <w:tcPr>
            <w:tcW w:type="dxa" w:w="1584"/>
          </w:tcPr>
          <w:p>
            <w:r>
              <w:rPr>
                <w:sz w:val="20"/>
              </w:rPr>
            </w:r>
            <w:r>
              <w:rPr>
                <w:b w:val="0"/>
                <w:sz w:val="20"/>
              </w:rPr>
              <w:t>This week</w:t>
            </w:r>
          </w:p>
        </w:tc>
      </w:tr>
      <w:tr>
        <w:tc>
          <w:tcPr>
            <w:tcW w:type="dxa" w:w="432"/>
          </w:tcPr>
          <w:p>
            <w:r>
              <w:rPr>
                <w:sz w:val="20"/>
              </w:rPr>
            </w:r>
            <w:r>
              <w:rPr>
                <w:b w:val="0"/>
                <w:sz w:val="20"/>
              </w:rPr>
              <w:t>13</w:t>
            </w:r>
          </w:p>
        </w:tc>
        <w:tc>
          <w:tcPr>
            <w:tcW w:type="dxa" w:w="5472"/>
          </w:tcPr>
          <w:p>
            <w:r>
              <w:rPr>
                <w:sz w:val="20"/>
              </w:rPr>
            </w:r>
            <w:r>
              <w:rPr>
                <w:b w:val="0"/>
                <w:sz w:val="20"/>
              </w:rPr>
              <w:t>Initial AUSA call: rolling production, Attachment B adjournment, device and Signal disclosure; confirming letter</w:t>
            </w:r>
          </w:p>
        </w:tc>
        <w:tc>
          <w:tcPr>
            <w:tcW w:type="dxa" w:w="1872"/>
          </w:tcPr>
          <w:p>
            <w:r>
              <w:rPr>
                <w:sz w:val="20"/>
              </w:rPr>
            </w:r>
            <w:r>
              <w:rPr>
                <w:b w:val="0"/>
                <w:sz w:val="20"/>
              </w:rPr>
              <w:t>CW</w:t>
            </w:r>
          </w:p>
        </w:tc>
        <w:tc>
          <w:tcPr>
            <w:tcW w:type="dxa" w:w="1584"/>
          </w:tcPr>
          <w:p>
            <w:r>
              <w:rPr>
                <w:sz w:val="20"/>
              </w:rPr>
            </w:r>
            <w:r>
              <w:rPr>
                <w:b w:val="0"/>
                <w:sz w:val="20"/>
              </w:rPr>
              <w:t>After items 3–4</w:t>
            </w:r>
          </w:p>
        </w:tc>
      </w:tr>
      <w:tr>
        <w:tc>
          <w:tcPr>
            <w:tcW w:type="dxa" w:w="432"/>
          </w:tcPr>
          <w:p>
            <w:r>
              <w:rPr>
                <w:sz w:val="20"/>
              </w:rPr>
            </w:r>
            <w:r>
              <w:rPr>
                <w:b w:val="0"/>
                <w:sz w:val="20"/>
              </w:rPr>
              <w:t>14</w:t>
            </w:r>
          </w:p>
        </w:tc>
        <w:tc>
          <w:tcPr>
            <w:tcW w:type="dxa" w:w="5472"/>
          </w:tcPr>
          <w:p>
            <w:r>
              <w:rPr>
                <w:sz w:val="20"/>
              </w:rPr>
            </w:r>
            <w:r>
              <w:rPr>
                <w:b w:val="0"/>
                <w:sz w:val="20"/>
              </w:rPr>
              <w:t>Ridgeline to rebuild P&amp;L from source data; do not use or produce the annotated extract; correct its annotations</w:t>
            </w:r>
          </w:p>
        </w:tc>
        <w:tc>
          <w:tcPr>
            <w:tcW w:type="dxa" w:w="1872"/>
          </w:tcPr>
          <w:p>
            <w:r>
              <w:rPr>
                <w:sz w:val="20"/>
              </w:rPr>
            </w:r>
            <w:r>
              <w:rPr>
                <w:b w:val="0"/>
                <w:sz w:val="20"/>
              </w:rPr>
              <w:t>Ridgeline</w:t>
            </w:r>
          </w:p>
        </w:tc>
        <w:tc>
          <w:tcPr>
            <w:tcW w:type="dxa" w:w="1584"/>
          </w:tcPr>
          <w:p>
            <w:r>
              <w:rPr>
                <w:sz w:val="20"/>
              </w:rPr>
            </w:r>
            <w:r>
              <w:rPr>
                <w:b w:val="0"/>
                <w:sz w:val="20"/>
              </w:rPr>
              <w:t>2 weeks</w:t>
            </w:r>
          </w:p>
        </w:tc>
      </w:tr>
      <w:tr>
        <w:tc>
          <w:tcPr>
            <w:tcW w:type="dxa" w:w="432"/>
          </w:tcPr>
          <w:p>
            <w:r>
              <w:rPr>
                <w:sz w:val="20"/>
              </w:rPr>
            </w:r>
            <w:r>
              <w:rPr>
                <w:b w:val="0"/>
                <w:sz w:val="20"/>
              </w:rPr>
              <w:t>15</w:t>
            </w:r>
          </w:p>
        </w:tc>
        <w:tc>
          <w:tcPr>
            <w:tcW w:type="dxa" w:w="5472"/>
          </w:tcPr>
          <w:p>
            <w:r>
              <w:rPr>
                <w:sz w:val="20"/>
              </w:rPr>
            </w:r>
            <w:r>
              <w:rPr>
                <w:b w:val="0"/>
                <w:sz w:val="20"/>
              </w:rPr>
              <w:t>Place VRDN on restricted list; freeze Marcus’s remaining 5,000 shares; consider whether the fund should trade its remaining 150,000 shares while the investigation is pending (any sale should be documented and discussed with counsel)</w:t>
            </w:r>
          </w:p>
        </w:tc>
        <w:tc>
          <w:tcPr>
            <w:tcW w:type="dxa" w:w="1872"/>
          </w:tcPr>
          <w:p>
            <w:r>
              <w:rPr>
                <w:sz w:val="20"/>
              </w:rPr>
            </w:r>
            <w:r>
              <w:rPr>
                <w:b w:val="0"/>
                <w:sz w:val="20"/>
              </w:rPr>
              <w:t>Firm / W&amp;C</w:t>
            </w:r>
          </w:p>
        </w:tc>
        <w:tc>
          <w:tcPr>
            <w:tcW w:type="dxa" w:w="1584"/>
          </w:tcPr>
          <w:p>
            <w:r>
              <w:rPr>
                <w:sz w:val="20"/>
              </w:rPr>
            </w:r>
            <w:r>
              <w:rPr>
                <w:b w:val="0"/>
                <w:sz w:val="20"/>
              </w:rPr>
              <w:t>Immediately</w:t>
            </w:r>
          </w:p>
        </w:tc>
      </w:tr>
      <w:tr>
        <w:tc>
          <w:tcPr>
            <w:tcW w:type="dxa" w:w="432"/>
          </w:tcPr>
          <w:p>
            <w:r>
              <w:rPr>
                <w:sz w:val="20"/>
              </w:rPr>
            </w:r>
            <w:r>
              <w:rPr>
                <w:b w:val="0"/>
                <w:sz w:val="20"/>
              </w:rPr>
              <w:t>16</w:t>
            </w:r>
          </w:p>
        </w:tc>
        <w:tc>
          <w:tcPr>
            <w:tcW w:type="dxa" w:w="5472"/>
          </w:tcPr>
          <w:p>
            <w:r>
              <w:rPr>
                <w:sz w:val="20"/>
              </w:rPr>
            </w:r>
            <w:r>
              <w:rPr>
                <w:b w:val="0"/>
                <w:sz w:val="20"/>
              </w:rPr>
              <w:t>Revise Code § IX.C and confidentiality provisions for Rule 21F-17 compliance; adopt an ephemeral-messaging prohibition</w:t>
            </w:r>
          </w:p>
        </w:tc>
        <w:tc>
          <w:tcPr>
            <w:tcW w:type="dxa" w:w="1872"/>
          </w:tcPr>
          <w:p>
            <w:r>
              <w:rPr>
                <w:sz w:val="20"/>
              </w:rPr>
            </w:r>
            <w:r>
              <w:rPr>
                <w:b w:val="0"/>
                <w:sz w:val="20"/>
              </w:rPr>
              <w:t>Firm / W&amp;C</w:t>
            </w:r>
          </w:p>
        </w:tc>
        <w:tc>
          <w:tcPr>
            <w:tcW w:type="dxa" w:w="1584"/>
          </w:tcPr>
          <w:p>
            <w:r>
              <w:rPr>
                <w:sz w:val="20"/>
              </w:rPr>
            </w:r>
            <w:r>
              <w:rPr>
                <w:b w:val="0"/>
                <w:sz w:val="20"/>
              </w:rPr>
              <w:t>30 days</w:t>
            </w:r>
          </w:p>
        </w:tc>
      </w:tr>
    </w:tbl>
    <w:p/>
    <w:p>
      <w:pPr>
        <w:pStyle w:val="Heading1"/>
      </w:pPr>
      <w:r>
        <w:t>XII. Open Questions for the Client</w:t>
      </w:r>
    </w:p>
    <w:p>
      <w:pPr>
        <w:pStyle w:val="ListNumber"/>
      </w:pPr>
      <w:r>
        <w:rPr>
          <w:b w:val="0"/>
        </w:rPr>
        <w:t>Did Marcus actually read Ms. Tsao’s May 16 email, and when? When was iCloud backup turned off (Apple account logs may show this)? Was the upgrade scheduled before May 15 (for example, a Mehta calendar entry)?</w:t>
      </w:r>
    </w:p>
    <w:p>
      <w:pPr>
        <w:pStyle w:val="ListNumber"/>
      </w:pPr>
      <w:r>
        <w:rPr>
          <w:b w:val="0"/>
        </w:rPr>
        <w:t>Was the Ashford SAB relationship ever disclosed under Code § VI.C, and to whom?</w:t>
      </w:r>
    </w:p>
    <w:p>
      <w:pPr>
        <w:pStyle w:val="ListNumber"/>
      </w:pPr>
      <w:r>
        <w:rPr>
          <w:b w:val="0"/>
        </w:rPr>
        <w:t>Did Marcus, Zheng or anyone else communicate with Ashford on March 3–4?</w:t>
      </w:r>
    </w:p>
    <w:p>
      <w:pPr>
        <w:pStyle w:val="ListNumber"/>
      </w:pPr>
      <w:r>
        <w:rPr>
          <w:b w:val="0"/>
        </w:rPr>
        <w:t>What research did Zheng perform before March 4, and where is it stored? Does he use expert networks or physician consultants?</w:t>
      </w:r>
    </w:p>
    <w:p>
      <w:pPr>
        <w:pStyle w:val="ListNumber"/>
      </w:pPr>
      <w:r>
        <w:rPr>
          <w:b w:val="0"/>
        </w:rPr>
        <w:t>Is Zheng’s Signal used for any business communication? Is his phone BYOD-registered? Did Marcus have a Firm-issued or BYOD-registered phone?</w:t>
      </w:r>
    </w:p>
    <w:p>
      <w:pPr>
        <w:pStyle w:val="ListNumber"/>
      </w:pPr>
      <w:r>
        <w:rPr>
          <w:b w:val="0"/>
        </w:rPr>
        <w:t>Explain the March 5 fund/personal trade match and Fielding &amp; Strauss allocation practices.</w:t>
      </w:r>
    </w:p>
    <w:p>
      <w:pPr>
        <w:pStyle w:val="ListNumber"/>
      </w:pPr>
      <w:r>
        <w:rPr>
          <w:b w:val="0"/>
        </w:rPr>
        <w:t>Were the March 14 IC memo and email edited after March 14? Is there a version mentioning the Cartagen CRL?</w:t>
      </w:r>
    </w:p>
    <w:p>
      <w:pPr>
        <w:pStyle w:val="ListNumber"/>
      </w:pPr>
      <w:r>
        <w:rPr>
          <w:b w:val="0"/>
        </w:rPr>
        <w:t>What is the source of the 89% ORR figure in the intake memo, and of the Ashford call record?</w:t>
      </w:r>
    </w:p>
    <w:p>
      <w:pPr>
        <w:pStyle w:val="ListNumber"/>
      </w:pPr>
      <w:r>
        <w:rPr>
          <w:b w:val="0"/>
        </w:rPr>
        <w:t>What remediation was actually implemented after Clearwater, and when? Did Marcus pre-clear any personal trades after November 2023?</w:t>
      </w:r>
    </w:p>
    <w:p>
      <w:pPr>
        <w:pStyle w:val="ListNumber"/>
      </w:pPr>
      <w:r>
        <w:rPr>
          <w:b w:val="0"/>
        </w:rPr>
        <w:t>Has the Firm made any statements to the SEC to date, and have Marcus or Zheng scheduled SEC testimony?</w:t>
      </w:r>
    </w:p>
    <w:p>
      <w:r>
        <w:rPr>
          <w:b w:val="0"/>
        </w:rPr>
        <w:t>I am available to discuss at your convenience and can prepare the superseding hold notice, the Marcus representation letter and a draft letter to the AUSA on your instruction.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