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17365D"/>
          <w:sz w:val="42"/>
        </w:rPr>
        <w:t>DEFENSE ISSUE-IDENTIFICATION MEMORANDUM</w:t>
      </w:r>
    </w:p>
    <w:p>
      <w:pPr>
        <w:spacing w:after="20"/>
      </w:pPr>
      <w:r>
        <w:rPr>
          <w:b/>
          <w:color w:val="1F4E79"/>
          <w:sz w:val="24"/>
        </w:rPr>
        <w:t>Crescent Ridge Distribution LLC v. Eastbrook Manufacturing, Inc.</w:t>
      </w:r>
    </w:p>
    <w:p>
      <w:pPr>
        <w:spacing w:after="120"/>
      </w:pPr>
      <w:r>
        <w:rPr>
          <w:color w:val="555555"/>
          <w:sz w:val="19"/>
        </w:rPr>
        <w:t>No. 1:24-cv-02187  |  U.S. District Court, Northern District of Ohio</w:t>
      </w:r>
    </w:p>
    <w:tbl>
      <w:tblPr>
        <w:tblStyle w:val="TableGrid"/>
        <w:tblW w:type="auto" w:w="0"/>
        <w:jc w:val="left"/>
        <w:tblLayout w:type="fixed"/>
        <w:tblLook w:firstColumn="1" w:firstRow="1" w:lastColumn="0" w:lastRow="0" w:noHBand="0" w:noVBand="1" w:val="04A0"/>
      </w:tblPr>
      <w:tblGrid>
        <w:gridCol w:w="4997"/>
        <w:gridCol w:w="4997"/>
      </w:tblGrid>
      <w:tr>
        <w:trPr>
          <w:cantSplit/>
        </w:trPr>
        <w:tc>
          <w:tcPr>
            <w:tcW w:type="dxa" w:w="1152"/>
            <w:vAlign w:val="center"/>
            <w:tcMar>
              <w:top w:w="80" w:type="dxa"/>
              <w:start w:w="95" w:type="dxa"/>
              <w:bottom w:w="80" w:type="dxa"/>
              <w:end w:w="95" w:type="dxa"/>
            </w:tcMar>
            <w:shd w:fill="D9EAF4"/>
          </w:tcPr>
          <w:p>
            <w:pPr>
              <w:spacing w:after="0" w:line="240" w:lineRule="auto"/>
            </w:pPr>
            <w:r/>
            <w:r>
              <w:rPr>
                <w:rFonts w:ascii="Calibri" w:hAnsi="Calibri"/>
                <w:b/>
                <w:color w:val="17365D"/>
                <w:sz w:val="17"/>
              </w:rPr>
              <w:t>TO</w:t>
            </w:r>
          </w:p>
        </w:tc>
        <w:tc>
          <w:tcPr>
            <w:tcW w:type="dxa" w:w="9432"/>
            <w:vAlign w:val="center"/>
            <w:tcMar>
              <w:top w:w="80" w:type="dxa"/>
              <w:start w:w="95" w:type="dxa"/>
              <w:bottom w:w="80" w:type="dxa"/>
              <w:end w:w="95" w:type="dxa"/>
            </w:tcMar>
          </w:tcPr>
          <w:p>
            <w:pPr>
              <w:spacing w:after="0" w:line="240" w:lineRule="auto"/>
            </w:pPr>
            <w:r/>
            <w:r>
              <w:rPr>
                <w:rFonts w:ascii="Calibri" w:hAnsi="Calibri"/>
                <w:b w:val="0"/>
                <w:sz w:val="17"/>
              </w:rPr>
              <w:t>Eastbrook Manufacturing, Inc. / Defense Team</w:t>
            </w:r>
          </w:p>
        </w:tc>
      </w:tr>
      <w:tr>
        <w:trPr>
          <w:cantSplit/>
        </w:trPr>
        <w:tc>
          <w:tcPr>
            <w:tcW w:type="dxa" w:w="1152"/>
            <w:vAlign w:val="center"/>
            <w:tcMar>
              <w:top w:w="80" w:type="dxa"/>
              <w:start w:w="95" w:type="dxa"/>
              <w:bottom w:w="80" w:type="dxa"/>
              <w:end w:w="95" w:type="dxa"/>
            </w:tcMar>
            <w:shd w:fill="D9EAF4"/>
          </w:tcPr>
          <w:p>
            <w:pPr>
              <w:spacing w:after="0" w:line="240" w:lineRule="auto"/>
            </w:pPr>
            <w:r/>
            <w:r>
              <w:rPr>
                <w:rFonts w:ascii="Calibri" w:hAnsi="Calibri"/>
                <w:b/>
                <w:color w:val="17365D"/>
                <w:sz w:val="17"/>
              </w:rPr>
              <w:t>RE</w:t>
            </w:r>
          </w:p>
        </w:tc>
        <w:tc>
          <w:tcPr>
            <w:tcW w:type="dxa" w:w="9432"/>
            <w:vAlign w:val="center"/>
            <w:tcMar>
              <w:top w:w="80" w:type="dxa"/>
              <w:start w:w="95" w:type="dxa"/>
              <w:bottom w:w="80" w:type="dxa"/>
              <w:end w:w="95" w:type="dxa"/>
            </w:tcMar>
          </w:tcPr>
          <w:p>
            <w:pPr>
              <w:spacing w:after="0" w:line="240" w:lineRule="auto"/>
            </w:pPr>
            <w:r/>
            <w:r>
              <w:rPr>
                <w:rFonts w:ascii="Calibri" w:hAnsi="Calibri"/>
                <w:b w:val="0"/>
                <w:sz w:val="17"/>
              </w:rPr>
              <w:t>Verified Complaint; distribution agreement, amendment, notices, objection letter, email, and lis pendens</w:t>
            </w:r>
          </w:p>
        </w:tc>
      </w:tr>
      <w:tr>
        <w:trPr>
          <w:cantSplit/>
        </w:trPr>
        <w:tc>
          <w:tcPr>
            <w:tcW w:type="dxa" w:w="1152"/>
            <w:vAlign w:val="center"/>
            <w:tcMar>
              <w:top w:w="80" w:type="dxa"/>
              <w:start w:w="95" w:type="dxa"/>
              <w:bottom w:w="80" w:type="dxa"/>
              <w:end w:w="95" w:type="dxa"/>
            </w:tcMar>
            <w:shd w:fill="D9EAF4"/>
          </w:tcPr>
          <w:p>
            <w:pPr>
              <w:spacing w:after="0" w:line="240" w:lineRule="auto"/>
            </w:pPr>
            <w:r/>
            <w:r>
              <w:rPr>
                <w:rFonts w:ascii="Calibri" w:hAnsi="Calibri"/>
                <w:b/>
                <w:color w:val="17365D"/>
                <w:sz w:val="17"/>
              </w:rPr>
              <w:t>BASIS</w:t>
            </w:r>
          </w:p>
        </w:tc>
        <w:tc>
          <w:tcPr>
            <w:tcW w:type="dxa" w:w="9432"/>
            <w:vAlign w:val="center"/>
            <w:tcMar>
              <w:top w:w="80" w:type="dxa"/>
              <w:start w:w="95" w:type="dxa"/>
              <w:bottom w:w="80" w:type="dxa"/>
              <w:end w:w="95" w:type="dxa"/>
            </w:tcMar>
          </w:tcPr>
          <w:p>
            <w:pPr>
              <w:spacing w:after="0" w:line="240" w:lineRule="auto"/>
            </w:pPr>
            <w:r/>
            <w:r>
              <w:rPr>
                <w:rFonts w:ascii="Calibri" w:hAnsi="Calibri"/>
                <w:b w:val="0"/>
                <w:sz w:val="17"/>
              </w:rPr>
              <w:t>Preliminary review of supplied documents only; complaint alleges filing June 3, 2024 and service June 10, 2024</w:t>
            </w:r>
          </w:p>
        </w:tc>
      </w:tr>
    </w:tbl>
    <w:p>
      <w:pPr>
        <w:pStyle w:val="SmallNote"/>
      </w:pPr>
      <w:r>
        <w:t>CONFIDENTIALITY NOTE: Prepared for internal defense strategy. Update against the complete ECF docket, executed contract counterparts, and client evidence before taking a position or filing. This is issue identification, not a final merits or damages opinion.</w:t>
      </w:r>
    </w:p>
    <w:p>
      <w:pPr>
        <w:pStyle w:val="Heading1"/>
      </w:pPr>
      <w:r>
        <w:t>Executive assessment</w:t>
      </w:r>
    </w:p>
    <w:p>
      <w:r>
        <w:t>The best immediate leverage is procedural: the Agreement contains mandatory mediation followed by binding arbitration for disputes arising out of or relating to the Agreement, and the complaint’s own contract allegations place all seven counts within that broad clause. Separately, the recorded lis pendens appears disconnected from any pleaded claim to Eastbrook’s real property. On the merits, Eastbrook’s January 10, 2024 cause notice is vulnerable as to the sales rationale: the contract expressly requires calendar-year measurement and forbids quarterly extrapolation, while the notice annualizes only Q3–Q4. The complaint’s asserted $24.3 million FY2023 sales figure, if it matches calendar-year contract sales, makes the stated sales shortfall especially difficult to defend.</w:t>
      </w:r>
    </w:p>
    <w:p>
      <w:r>
        <w:t>The plaintiff’s liability and damages case is not established by this packet. The CRM was described as jointly usable during the Agreement; no access log, customer correspondence, diverted-account schedule, sales playbook, or Ridgeline expert report was supplied. Still, an unauthorized export and targeted post-termination solicitation, if substantiated, create material exposure—particularly under the confidentiality and trade-secret provisions, whose alleged willful-misconduct exceptions may defeat contractual limitations. The October convenience notice also expressly acknowledged the termination-fee obligation, creating an avoidable admission and a significant fee risk if the cause termination fails.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Mar>
              <w:top w:w="80" w:type="dxa"/>
              <w:start w:w="95" w:type="dxa"/>
              <w:bottom w:w="80" w:type="dxa"/>
              <w:end w:w="95" w:type="dxa"/>
            </w:tcMar>
            <w:shd w:fill="17365D"/>
          </w:tcPr>
          <w:p>
            <w:pPr>
              <w:spacing w:after="0" w:line="240" w:lineRule="auto"/>
            </w:pPr>
            <w:r/>
            <w:r>
              <w:rPr>
                <w:rFonts w:ascii="Calibri" w:hAnsi="Calibri"/>
                <w:b/>
                <w:color w:val="FFFFFF"/>
                <w:sz w:val="16"/>
              </w:rPr>
              <w:t>Priority</w:t>
            </w:r>
          </w:p>
        </w:tc>
        <w:tc>
          <w:tcPr>
            <w:tcW w:type="dxa" w:w="4392"/>
            <w:vAlign w:val="center"/>
            <w:tcMar>
              <w:top w:w="80" w:type="dxa"/>
              <w:start w:w="95" w:type="dxa"/>
              <w:bottom w:w="80" w:type="dxa"/>
              <w:end w:w="95" w:type="dxa"/>
            </w:tcMar>
            <w:shd w:fill="17365D"/>
          </w:tcPr>
          <w:p>
            <w:pPr>
              <w:spacing w:after="0" w:line="240" w:lineRule="auto"/>
            </w:pPr>
            <w:r/>
            <w:r>
              <w:rPr>
                <w:rFonts w:ascii="Calibri" w:hAnsi="Calibri"/>
                <w:b/>
                <w:color w:val="FFFFFF"/>
                <w:sz w:val="16"/>
              </w:rPr>
              <w:t>Recommended action</w:t>
            </w:r>
          </w:p>
        </w:tc>
        <w:tc>
          <w:tcPr>
            <w:tcW w:type="dxa" w:w="4824"/>
            <w:vAlign w:val="center"/>
            <w:tcMar>
              <w:top w:w="80" w:type="dxa"/>
              <w:start w:w="95" w:type="dxa"/>
              <w:bottom w:w="80" w:type="dxa"/>
              <w:end w:w="95" w:type="dxa"/>
            </w:tcMar>
            <w:shd w:fill="17365D"/>
          </w:tcPr>
          <w:p>
            <w:pPr>
              <w:spacing w:after="0" w:line="240" w:lineRule="auto"/>
            </w:pPr>
            <w:r/>
            <w:r>
              <w:rPr>
                <w:rFonts w:ascii="Calibri" w:hAnsi="Calibri"/>
                <w:b/>
                <w:color w:val="FFFFFF"/>
                <w:sz w:val="16"/>
              </w:rPr>
              <w:t>Initial assessment</w:t>
            </w:r>
          </w:p>
        </w:tc>
      </w:tr>
      <w:tr>
        <w:trPr>
          <w:cantSplit/>
        </w:trPr>
        <w:tc>
          <w:tcPr>
            <w:tcW w:type="dxa" w:w="1440"/>
            <w:vAlign w:val="center"/>
            <w:tcMar>
              <w:top w:w="80" w:type="dxa"/>
              <w:start w:w="95" w:type="dxa"/>
              <w:bottom w:w="80" w:type="dxa"/>
              <w:end w:w="95" w:type="dxa"/>
            </w:tcMar>
          </w:tcPr>
          <w:p>
            <w:pPr>
              <w:spacing w:after="0" w:line="240" w:lineRule="auto"/>
            </w:pPr>
            <w:r/>
            <w:r>
              <w:rPr>
                <w:rFonts w:ascii="Calibri" w:hAnsi="Calibri"/>
                <w:b w:val="0"/>
                <w:sz w:val="16"/>
              </w:rPr>
              <w:t>1 — Immediate</w:t>
            </w:r>
          </w:p>
        </w:tc>
        <w:tc>
          <w:tcPr>
            <w:tcW w:type="dxa" w:w="4392"/>
            <w:vAlign w:val="center"/>
            <w:tcMar>
              <w:top w:w="80" w:type="dxa"/>
              <w:start w:w="95" w:type="dxa"/>
              <w:bottom w:w="80" w:type="dxa"/>
              <w:end w:w="95" w:type="dxa"/>
            </w:tcMar>
          </w:tcPr>
          <w:p>
            <w:pPr>
              <w:spacing w:after="0" w:line="240" w:lineRule="auto"/>
            </w:pPr>
            <w:r/>
            <w:r>
              <w:rPr>
                <w:rFonts w:ascii="Calibri" w:hAnsi="Calibri"/>
                <w:b w:val="0"/>
                <w:sz w:val="16"/>
              </w:rPr>
              <w:t>Compel mediation/arbitration and seek a stay. Preserve the contractual forum right; confirm no waiver through litigation conduct.</w:t>
            </w:r>
          </w:p>
        </w:tc>
        <w:tc>
          <w:tcPr>
            <w:tcW w:type="dxa" w:w="4824"/>
            <w:vAlign w:val="center"/>
            <w:tcMar>
              <w:top w:w="80" w:type="dxa"/>
              <w:start w:w="95" w:type="dxa"/>
              <w:bottom w:w="80" w:type="dxa"/>
              <w:end w:w="95" w:type="dxa"/>
            </w:tcMar>
          </w:tcPr>
          <w:p>
            <w:pPr>
              <w:spacing w:after="0" w:line="240" w:lineRule="auto"/>
            </w:pPr>
            <w:r/>
            <w:r>
              <w:rPr>
                <w:rFonts w:ascii="Calibri" w:hAnsi="Calibri"/>
                <w:b w:val="0"/>
                <w:sz w:val="16"/>
              </w:rPr>
              <w:t>High leverage if executed agreement is valid; no mediation/arbitration filing appears in packet.</w:t>
            </w:r>
          </w:p>
        </w:tc>
      </w:tr>
      <w:tr>
        <w:trPr>
          <w:cantSplit/>
        </w:trPr>
        <w:tc>
          <w:tcPr>
            <w:tcW w:type="dxa" w:w="1440"/>
            <w:vAlign w:val="center"/>
            <w:tcMar>
              <w:top w:w="80" w:type="dxa"/>
              <w:start w:w="95" w:type="dxa"/>
              <w:bottom w:w="80" w:type="dxa"/>
              <w:end w:w="95" w:type="dxa"/>
            </w:tcMar>
            <w:shd w:fill="F5F8FB"/>
          </w:tcPr>
          <w:p>
            <w:pPr>
              <w:spacing w:after="0" w:line="240" w:lineRule="auto"/>
            </w:pPr>
            <w:r/>
            <w:r>
              <w:rPr>
                <w:rFonts w:ascii="Calibri" w:hAnsi="Calibri"/>
                <w:b w:val="0"/>
                <w:sz w:val="16"/>
              </w:rPr>
              <w:t>2 — Immediate</w:t>
            </w:r>
          </w:p>
        </w:tc>
        <w:tc>
          <w:tcPr>
            <w:tcW w:type="dxa" w:w="4392"/>
            <w:vAlign w:val="center"/>
            <w:tcMar>
              <w:top w:w="80" w:type="dxa"/>
              <w:start w:w="95" w:type="dxa"/>
              <w:bottom w:w="80" w:type="dxa"/>
              <w:end w:w="95" w:type="dxa"/>
            </w:tcMar>
            <w:shd w:fill="F5F8FB"/>
          </w:tcPr>
          <w:p>
            <w:pPr>
              <w:spacing w:after="0" w:line="240" w:lineRule="auto"/>
            </w:pPr>
            <w:r/>
            <w:r>
              <w:rPr>
                <w:rFonts w:ascii="Calibri" w:hAnsi="Calibri"/>
                <w:b w:val="0"/>
                <w:sz w:val="16"/>
              </w:rPr>
              <w:t>Move to cancel/release lis pendens against Parcel 67-04421.</w:t>
            </w:r>
          </w:p>
        </w:tc>
        <w:tc>
          <w:tcPr>
            <w:tcW w:type="dxa" w:w="4824"/>
            <w:vAlign w:val="center"/>
            <w:tcMar>
              <w:top w:w="80" w:type="dxa"/>
              <w:start w:w="95" w:type="dxa"/>
              <w:bottom w:w="80" w:type="dxa"/>
              <w:end w:w="95" w:type="dxa"/>
            </w:tcMar>
            <w:shd w:fill="F5F8FB"/>
          </w:tcPr>
          <w:p>
            <w:pPr>
              <w:spacing w:after="0" w:line="240" w:lineRule="auto"/>
            </w:pPr>
            <w:r/>
            <w:r>
              <w:rPr>
                <w:rFonts w:ascii="Calibri" w:hAnsi="Calibri"/>
                <w:b w:val="0"/>
                <w:sz w:val="16"/>
              </w:rPr>
              <w:t>Strong threshold position: complaint seeks money and business injunctions, not title, possession, foreclosure, or a lien on this parcel.</w:t>
            </w:r>
          </w:p>
        </w:tc>
      </w:tr>
      <w:tr>
        <w:trPr>
          <w:cantSplit/>
        </w:trPr>
        <w:tc>
          <w:tcPr>
            <w:tcW w:type="dxa" w:w="1440"/>
            <w:vAlign w:val="center"/>
            <w:tcMar>
              <w:top w:w="80" w:type="dxa"/>
              <w:start w:w="95" w:type="dxa"/>
              <w:bottom w:w="80" w:type="dxa"/>
              <w:end w:w="95" w:type="dxa"/>
            </w:tcMar>
          </w:tcPr>
          <w:p>
            <w:pPr>
              <w:spacing w:after="0" w:line="240" w:lineRule="auto"/>
            </w:pPr>
            <w:r/>
            <w:r>
              <w:rPr>
                <w:rFonts w:ascii="Calibri" w:hAnsi="Calibri"/>
                <w:b w:val="0"/>
                <w:sz w:val="16"/>
              </w:rPr>
              <w:t>3 — Immediate</w:t>
            </w:r>
          </w:p>
        </w:tc>
        <w:tc>
          <w:tcPr>
            <w:tcW w:type="dxa" w:w="4392"/>
            <w:vAlign w:val="center"/>
            <w:tcMar>
              <w:top w:w="80" w:type="dxa"/>
              <w:start w:w="95" w:type="dxa"/>
              <w:bottom w:w="80" w:type="dxa"/>
              <w:end w:w="95" w:type="dxa"/>
            </w:tcMar>
          </w:tcPr>
          <w:p>
            <w:pPr>
              <w:spacing w:after="0" w:line="240" w:lineRule="auto"/>
            </w:pPr>
            <w:r/>
            <w:r>
              <w:rPr>
                <w:rFonts w:ascii="Calibri" w:hAnsi="Calibri"/>
                <w:b w:val="0"/>
                <w:sz w:val="16"/>
              </w:rPr>
              <w:t>Confirm docket, service, answer/Rule 12 status; issue litigation hold; oppose any TRO/preliminary injunction on a developed record.</w:t>
            </w:r>
          </w:p>
        </w:tc>
        <w:tc>
          <w:tcPr>
            <w:tcW w:type="dxa" w:w="4824"/>
            <w:vAlign w:val="center"/>
            <w:tcMar>
              <w:top w:w="80" w:type="dxa"/>
              <w:start w:w="95" w:type="dxa"/>
              <w:bottom w:w="80" w:type="dxa"/>
              <w:end w:w="95" w:type="dxa"/>
            </w:tcMar>
          </w:tcPr>
          <w:p>
            <w:pPr>
              <w:spacing w:after="0" w:line="240" w:lineRule="auto"/>
            </w:pPr>
            <w:r/>
            <w:r>
              <w:rPr>
                <w:rFonts w:ascii="Calibri" w:hAnsi="Calibri"/>
                <w:b w:val="0"/>
                <w:sz w:val="16"/>
              </w:rPr>
              <w:t>The supplied complaint alleges service June 10, 2024; actual present case status is unknown.</w:t>
            </w:r>
          </w:p>
        </w:tc>
      </w:tr>
      <w:tr>
        <w:trPr>
          <w:cantSplit/>
        </w:trPr>
        <w:tc>
          <w:tcPr>
            <w:tcW w:type="dxa" w:w="1440"/>
            <w:vAlign w:val="center"/>
            <w:tcMar>
              <w:top w:w="80" w:type="dxa"/>
              <w:start w:w="95" w:type="dxa"/>
              <w:bottom w:w="80" w:type="dxa"/>
              <w:end w:w="95" w:type="dxa"/>
            </w:tcMar>
            <w:shd w:fill="F5F8FB"/>
          </w:tcPr>
          <w:p>
            <w:pPr>
              <w:spacing w:after="0" w:line="240" w:lineRule="auto"/>
            </w:pPr>
            <w:r/>
            <w:r>
              <w:rPr>
                <w:rFonts w:ascii="Calibri" w:hAnsi="Calibri"/>
                <w:b w:val="0"/>
                <w:sz w:val="16"/>
              </w:rPr>
              <w:t>4 — Merits</w:t>
            </w:r>
          </w:p>
        </w:tc>
        <w:tc>
          <w:tcPr>
            <w:tcW w:type="dxa" w:w="4392"/>
            <w:vAlign w:val="center"/>
            <w:tcMar>
              <w:top w:w="80" w:type="dxa"/>
              <w:start w:w="95" w:type="dxa"/>
              <w:bottom w:w="80" w:type="dxa"/>
              <w:end w:w="95" w:type="dxa"/>
            </w:tcMar>
            <w:shd w:fill="F5F8FB"/>
          </w:tcPr>
          <w:p>
            <w:pPr>
              <w:spacing w:after="0" w:line="240" w:lineRule="auto"/>
            </w:pPr>
            <w:r/>
            <w:r>
              <w:rPr>
                <w:rFonts w:ascii="Calibri" w:hAnsi="Calibri"/>
                <w:b w:val="0"/>
                <w:sz w:val="16"/>
              </w:rPr>
              <w:t>Reconstruct calendar-year sales and contemporaneous basis for each ground in the January notice.</w:t>
            </w:r>
          </w:p>
        </w:tc>
        <w:tc>
          <w:tcPr>
            <w:tcW w:type="dxa" w:w="4824"/>
            <w:vAlign w:val="center"/>
            <w:tcMar>
              <w:top w:w="80" w:type="dxa"/>
              <w:start w:w="95" w:type="dxa"/>
              <w:bottom w:w="80" w:type="dxa"/>
              <w:end w:w="95" w:type="dxa"/>
            </w:tcMar>
            <w:shd w:fill="F5F8FB"/>
          </w:tcPr>
          <w:p>
            <w:pPr>
              <w:spacing w:after="0" w:line="240" w:lineRule="auto"/>
            </w:pPr>
            <w:r/>
            <w:r>
              <w:rPr>
                <w:rFonts w:ascii="Calibri" w:hAnsi="Calibri"/>
                <w:b w:val="0"/>
                <w:sz w:val="16"/>
              </w:rPr>
              <w:t>Sales theory conflicts with express contract terms; service/coverage allegations are an independent factual risk.</w:t>
            </w:r>
          </w:p>
        </w:tc>
      </w:tr>
      <w:tr>
        <w:trPr>
          <w:cantSplit/>
        </w:trPr>
        <w:tc>
          <w:tcPr>
            <w:tcW w:type="dxa" w:w="1440"/>
            <w:vAlign w:val="center"/>
            <w:tcMar>
              <w:top w:w="80" w:type="dxa"/>
              <w:start w:w="95" w:type="dxa"/>
              <w:bottom w:w="80" w:type="dxa"/>
              <w:end w:w="95" w:type="dxa"/>
            </w:tcMar>
          </w:tcPr>
          <w:p>
            <w:pPr>
              <w:spacing w:after="0" w:line="240" w:lineRule="auto"/>
            </w:pPr>
            <w:r/>
            <w:r>
              <w:rPr>
                <w:rFonts w:ascii="Calibri" w:hAnsi="Calibri"/>
                <w:b w:val="0"/>
                <w:sz w:val="16"/>
              </w:rPr>
              <w:t>5 — Merits / quantum</w:t>
            </w:r>
          </w:p>
        </w:tc>
        <w:tc>
          <w:tcPr>
            <w:tcW w:type="dxa" w:w="4392"/>
            <w:vAlign w:val="center"/>
            <w:tcMar>
              <w:top w:w="80" w:type="dxa"/>
              <w:start w:w="95" w:type="dxa"/>
              <w:bottom w:w="80" w:type="dxa"/>
              <w:end w:w="95" w:type="dxa"/>
            </w:tcMar>
          </w:tcPr>
          <w:p>
            <w:pPr>
              <w:spacing w:after="0" w:line="240" w:lineRule="auto"/>
            </w:pPr>
            <w:r/>
            <w:r>
              <w:rPr>
                <w:rFonts w:ascii="Calibri" w:hAnsi="Calibri"/>
                <w:b w:val="0"/>
                <w:sz w:val="16"/>
              </w:rPr>
              <w:t>Audit commissions, term-fee calculation, damage overlap, and Section 9.1 cap/exclusions.</w:t>
            </w:r>
          </w:p>
        </w:tc>
        <w:tc>
          <w:tcPr>
            <w:tcW w:type="dxa" w:w="4824"/>
            <w:vAlign w:val="center"/>
            <w:tcMar>
              <w:top w:w="80" w:type="dxa"/>
              <w:start w:w="95" w:type="dxa"/>
              <w:bottom w:w="80" w:type="dxa"/>
              <w:end w:w="95" w:type="dxa"/>
            </w:tcMar>
          </w:tcPr>
          <w:p>
            <w:pPr>
              <w:spacing w:after="0" w:line="240" w:lineRule="auto"/>
            </w:pPr>
            <w:r/>
            <w:r>
              <w:rPr>
                <w:rFonts w:ascii="Calibri" w:hAnsi="Calibri"/>
                <w:b w:val="0"/>
                <w:sz w:val="16"/>
              </w:rPr>
              <w:t>The $4.836m 77-day commission figure is facially inconsistent with plaintiff’s own $4.4315m annual-compensation figure.</w:t>
            </w:r>
          </w:p>
        </w:tc>
      </w:tr>
      <w:tr>
        <w:trPr>
          <w:cantSplit/>
        </w:trPr>
        <w:tc>
          <w:tcPr>
            <w:tcW w:type="dxa" w:w="1440"/>
            <w:vAlign w:val="center"/>
            <w:tcMar>
              <w:top w:w="80" w:type="dxa"/>
              <w:start w:w="95" w:type="dxa"/>
              <w:bottom w:w="80" w:type="dxa"/>
              <w:end w:w="95" w:type="dxa"/>
            </w:tcMar>
            <w:shd w:fill="F5F8FB"/>
          </w:tcPr>
          <w:p>
            <w:pPr>
              <w:spacing w:after="0" w:line="240" w:lineRule="auto"/>
            </w:pPr>
            <w:r/>
            <w:r>
              <w:rPr>
                <w:rFonts w:ascii="Calibri" w:hAnsi="Calibri"/>
                <w:b w:val="0"/>
                <w:sz w:val="16"/>
              </w:rPr>
              <w:t>6 — Evidence-dependent</w:t>
            </w:r>
          </w:p>
        </w:tc>
        <w:tc>
          <w:tcPr>
            <w:tcW w:type="dxa" w:w="4392"/>
            <w:vAlign w:val="center"/>
            <w:tcMar>
              <w:top w:w="80" w:type="dxa"/>
              <w:start w:w="95" w:type="dxa"/>
              <w:bottom w:w="80" w:type="dxa"/>
              <w:end w:w="95" w:type="dxa"/>
            </w:tcMar>
            <w:shd w:fill="F5F8FB"/>
          </w:tcPr>
          <w:p>
            <w:pPr>
              <w:spacing w:after="0" w:line="240" w:lineRule="auto"/>
            </w:pPr>
            <w:r/>
            <w:r>
              <w:rPr>
                <w:rFonts w:ascii="Calibri" w:hAnsi="Calibri"/>
                <w:b w:val="0"/>
                <w:sz w:val="16"/>
              </w:rPr>
              <w:t>Test ownership, authorization, use, secrecy, and actual loss for CRM/playbook claims; seek narrow discovery and protective controls.</w:t>
            </w:r>
          </w:p>
        </w:tc>
        <w:tc>
          <w:tcPr>
            <w:tcW w:type="dxa" w:w="4824"/>
            <w:vAlign w:val="center"/>
            <w:tcMar>
              <w:top w:w="80" w:type="dxa"/>
              <w:start w:w="95" w:type="dxa"/>
              <w:bottom w:w="80" w:type="dxa"/>
              <w:end w:w="95" w:type="dxa"/>
            </w:tcMar>
            <w:shd w:fill="F5F8FB"/>
          </w:tcPr>
          <w:p>
            <w:pPr>
              <w:spacing w:after="0" w:line="240" w:lineRule="auto"/>
            </w:pPr>
            <w:r/>
            <w:r>
              <w:rPr>
                <w:rFonts w:ascii="Calibri" w:hAnsi="Calibri"/>
                <w:b w:val="0"/>
                <w:sz w:val="16"/>
              </w:rPr>
              <w:t>Material trade-secret exposure cannot be assessed without the missing logs, account records, customer communications, and expert report.</w:t>
            </w:r>
          </w:p>
        </w:tc>
      </w:tr>
      <w:tr>
        <w:trPr>
          <w:cantSplit/>
        </w:trPr>
        <w:tc>
          <w:tcPr>
            <w:tcW w:type="dxa" w:w="1440"/>
            <w:vAlign w:val="center"/>
            <w:tcMar>
              <w:top w:w="80" w:type="dxa"/>
              <w:start w:w="95" w:type="dxa"/>
              <w:bottom w:w="80" w:type="dxa"/>
              <w:end w:w="95" w:type="dxa"/>
            </w:tcMar>
          </w:tcPr>
          <w:p>
            <w:pPr>
              <w:spacing w:after="0" w:line="240" w:lineRule="auto"/>
            </w:pPr>
            <w:r/>
            <w:r>
              <w:rPr>
                <w:rFonts w:ascii="Calibri" w:hAnsi="Calibri"/>
                <w:b w:val="0"/>
                <w:sz w:val="16"/>
              </w:rPr>
              <w:t>7 — Threshold check</w:t>
            </w:r>
          </w:p>
        </w:tc>
        <w:tc>
          <w:tcPr>
            <w:tcW w:type="dxa" w:w="4392"/>
            <w:vAlign w:val="center"/>
            <w:tcMar>
              <w:top w:w="80" w:type="dxa"/>
              <w:start w:w="95" w:type="dxa"/>
              <w:bottom w:w="80" w:type="dxa"/>
              <w:end w:w="95" w:type="dxa"/>
            </w:tcMar>
          </w:tcPr>
          <w:p>
            <w:pPr>
              <w:spacing w:after="0" w:line="240" w:lineRule="auto"/>
            </w:pPr>
            <w:r/>
            <w:r>
              <w:rPr>
                <w:rFonts w:ascii="Calibri" w:hAnsi="Calibri"/>
                <w:b w:val="0"/>
                <w:sz w:val="16"/>
              </w:rPr>
              <w:t>Obtain every Crescent Ridge LLC member’s citizenship as of filing; assess diversity only alongside DTSA federal-question jurisdiction.</w:t>
            </w:r>
          </w:p>
        </w:tc>
        <w:tc>
          <w:tcPr>
            <w:tcW w:type="dxa" w:w="4824"/>
            <w:vAlign w:val="center"/>
            <w:tcMar>
              <w:top w:w="80" w:type="dxa"/>
              <w:start w:w="95" w:type="dxa"/>
              <w:bottom w:w="80" w:type="dxa"/>
              <w:end w:w="95" w:type="dxa"/>
            </w:tcMar>
          </w:tcPr>
          <w:p>
            <w:pPr>
              <w:spacing w:after="0" w:line="240" w:lineRule="auto"/>
            </w:pPr>
            <w:r/>
            <w:r>
              <w:rPr>
                <w:rFonts w:ascii="Calibri" w:hAnsi="Calibri"/>
                <w:b w:val="0"/>
                <w:sz w:val="16"/>
              </w:rPr>
              <w:t>Current citizenship pleading is incomplete under the LLC-member rule, but a viable DTSA count independently invokes federal-question jurisdiction.</w:t>
            </w:r>
          </w:p>
        </w:tc>
      </w:tr>
    </w:tbl>
    <w:p>
      <w:pPr>
        <w:spacing w:after="20"/>
      </w:pPr>
    </w:p>
    <w:p>
      <w:pPr>
        <w:pStyle w:val="Heading1"/>
      </w:pPr>
      <w:r>
        <w:t>1. Immediate procedural and equitable issues</w:t>
      </w:r>
    </w:p>
    <w:p>
      <w:pPr>
        <w:pStyle w:val="Heading2"/>
      </w:pPr>
      <w:r>
        <w:t>A. Mandatory mediation and arbitration — lead with this</w:t>
      </w:r>
    </w:p>
    <w:p>
      <w:r>
        <w:t>Agreement §§10.1(a)–(b) require any “Dispute” arising out of or relating to the Agreement, its breach, termination, or validity to go first to non-binding mediation in Cleveland through Keystone Arbitration Services; if unresolved within 60 days after mediation commences, either party may initiate binding arbitration there. The arbitrator may award legal and equitable relief. Section 10.1(c) provides prevailing-party fees in mediation/arbitration and proceedings to confirm, vacate, or enforce an award. Section 10.1(d) permits a court application for provisional/injunctive relief only to prevent irreparable harm and requires simultaneous initiation of mediation. The complaint pleads contract, non-solicitation, confidentiality/trade-secret, interference, and restitution claims all arising from this relationship and its termination; it does not address this dispute-resolution clause.</w:t>
      </w:r>
    </w:p>
    <w:p>
      <w:pPr>
        <w:pStyle w:val="ListBullet"/>
        <w:spacing w:after="40"/>
        <w:ind w:left="317" w:hanging="202"/>
      </w:pPr>
      <w:r>
        <w:t>Obtain and verify signed/counterpart copies, amendments, any later dispute-resolution agreement, and the full docket. Check for waiver: participation in merits litigation or inconsistent conduct can complicate enforcement.</w:t>
      </w:r>
    </w:p>
    <w:p>
      <w:pPr>
        <w:pStyle w:val="ListBullet"/>
        <w:spacing w:after="40"/>
        <w:ind w:left="317" w:hanging="202"/>
      </w:pPr>
      <w:r>
        <w:t>If enforceable and not waived, promptly move to compel arbitration and request a stay under the FAA, 9 U.S.C. §§ 3–4, rather than relying only on dismissal. Request mediation first and arbitration after the contractual 60-day trigger; alternatively ask the court to stay the merits while the contract process runs.</w:t>
      </w:r>
    </w:p>
    <w:p>
      <w:pPr>
        <w:pStyle w:val="ListBullet"/>
        <w:spacing w:after="40"/>
        <w:ind w:left="317" w:hanging="202"/>
      </w:pPr>
      <w:r>
        <w:t>Do not treat the injunction request as automatically barred. The contract preserves narrowly tailored provisional relief if Crescent Ridge simultaneously starts mediation. Oppose merits litigation and broad relief separately; reserve any necessary response to an emergency motion.</w:t>
      </w:r>
    </w:p>
    <w:p>
      <w:pPr>
        <w:pStyle w:val="ListBullet"/>
        <w:spacing w:after="40"/>
        <w:ind w:left="317" w:hanging="202"/>
      </w:pPr>
      <w:r>
        <w:t>The forum clause (§10.2) points to state/federal courts in Cuyahoga County or the Northern District of Ohio for matters outside arbitration and provisional relief. Eastbrook’s Akron headquarters and the selected federal district make a general venue/personal-jurisdiction challenge comparatively weak.</w:t>
      </w:r>
    </w:p>
    <w:p>
      <w:pPr>
        <w:pStyle w:val="Heading2"/>
      </w:pPr>
      <w:r>
        <w:t>B. Lis pendens — seek prompt release</w:t>
      </w:r>
    </w:p>
    <w:p>
      <w:r>
        <w:t>The June 3, 2024 notice recorded against Eastbrook Parcel 67-04421 (commercial property near 4720 Industrial Parkway) asserts that the case “affects or may affect” the land. The complaint, however, seeks damages and injunctions concerning data, customer solicitation, and competition; it does not plead an ownership, possession, quiet-title, mortgage, lien, foreclosure, or other property-specific claim, and does not request relief against the parcel. The complaint’s paragraph 22 and the notice cannot themselves create a substantive property interest.</w:t>
      </w:r>
    </w:p>
    <w:p>
      <w:pPr>
        <w:pStyle w:val="ListBullet"/>
        <w:spacing w:after="40"/>
        <w:ind w:left="317" w:hanging="202"/>
      </w:pPr>
      <w:r>
        <w:t>Confirm the recorder’s index, legal description, title owner, and any later amendment or withdrawal. Seek cancellation/release under Ohio lis-pendens law (O.R.C. §2703.26) and appropriate federal procedure, emphasizing the absence of a claim that directly affects the real property and the prejudice of clouding title.</w:t>
      </w:r>
    </w:p>
    <w:p>
      <w:pPr>
        <w:pStyle w:val="ListBullet"/>
        <w:spacing w:after="40"/>
        <w:ind w:left="317" w:hanging="202"/>
      </w:pPr>
      <w:r>
        <w:t>The notice’s statement that the suit concerns property is particularly vulnerable against the actual prayer for relief. Preserve evidence of any transaction, financing, or title harm; do not allege bad faith absent proof.</w:t>
      </w:r>
    </w:p>
    <w:p>
      <w:pPr>
        <w:pStyle w:val="Heading2"/>
      </w:pPr>
      <w:r>
        <w:t>C. Docket, citizenship, and injunction</w:t>
      </w:r>
    </w:p>
    <w:p>
      <w:pPr>
        <w:pStyle w:val="ListBullet"/>
        <w:spacing w:after="40"/>
        <w:ind w:left="317" w:hanging="202"/>
      </w:pPr>
      <w:r>
        <w:t>Docket/service: The supplied complaint says filed June 3 and served June 10, 2024. Verify actual service, extensions, responsive pleadings, motions, mediation, discovery, and current status before acting. Do not rely on a stale response deadline.</w:t>
      </w:r>
    </w:p>
    <w:p>
      <w:pPr>
        <w:pStyle w:val="ListBullet"/>
        <w:spacing w:after="40"/>
        <w:ind w:left="317" w:hanging="202"/>
      </w:pPr>
      <w:r>
        <w:t>Diversity: Crescent Ridge is an LLC. Its citizenship is that of every member (and each member in any ownership chain), not its Delaware organization or Pennsylvania principal office. The complaint identifies Calder as a Pennsylvania citizen but does not identify all members or expressly establish he is the sole member. Obtain the complete membership chain as of June 3, 2024. A defective allegation may be curable; if any member shares Ohio citizenship, diversity is absent. A well-pleaded DTSA count nonetheless independently asserts federal-question jurisdiction under 28 U.S.C. §1331; if it is dismissed, the court may consider declining supplemental jurisdiction.</w:t>
      </w:r>
    </w:p>
    <w:p>
      <w:pPr>
        <w:pStyle w:val="ListBullet"/>
        <w:spacing w:after="40"/>
        <w:ind w:left="317" w:hanging="202"/>
      </w:pPr>
      <w:r>
        <w:t>Injunction: Demand the actual customer letters, access logs, affected-customer list, and expert support before any evidentiary hearing. Under Rule 65, generalized assertions that secrets “may” be used do not automatically establish imminent irreparable harm or justify broad market-wide restraints. The contract’s §7.4 permits a party to seek equitable relief; it does not make an injunction automatic or eliminate the court’s statutory discretion over security.</w:t>
      </w:r>
    </w:p>
    <w:p>
      <w:pPr>
        <w:pStyle w:val="ListBullet"/>
        <w:spacing w:after="40"/>
        <w:ind w:left="317" w:hanging="202"/>
      </w:pPr>
      <w:r>
        <w:t>Seek, if needed, a tailored interim protocol: preserve forensic evidence; sequester disputed files; prohibit use/disclosure of specifically identified nonpublic material; allow a neutral/forensic review; and retain a litigation copy under protective order rather than destroy evidence. Resist an order barring Eastbrook’s ordinary competition or former employees’ use of general skill and knowledge. DTSA injunctions may not bar employment merely because of information a person knows; conditions require evidence of threatened misappropriation. 18 U.S.C. §1836(b)(3)(A).</w:t>
      </w:r>
    </w:p>
    <w:p>
      <w:pPr>
        <w:pStyle w:val="Heading1"/>
      </w:pPr>
      <w:r>
        <w:t>2. Contract termination and termination-fee exposure</w:t>
      </w:r>
    </w:p>
    <w:p>
      <w:pPr>
        <w:pStyle w:val="Heading2"/>
      </w:pPr>
      <w:r>
        <w:t>A. Cause notice: sales ground is facially inconsistent with the bargain</w:t>
      </w:r>
    </w:p>
    <w:p>
      <w:r>
        <w:t>The January 10, 2024 notice sets a March 15 effective date and states that Q3 2023 sales were $5.1 million and Q4 were $4.2 million. It annualizes those two quarters to $18.6 million, declares a $1.4 million shortfall, cites a declining trajectory, and also refers generally to customer-service/coverage deficiencies. The attached Agreement defines the Minimum Sales Target as $20 million per calendar year and expressly states it is not prorated or extrapolated from a quarter or other partial year. Agreement §§1 (definition), 4.3(b)(iii), 6.1(e), 6.4; First Amendment §4. The First Amendment also says the target is measured January 1–December 31 and there are no quarterly milestones.</w:t>
      </w:r>
    </w:p>
    <w:p>
      <w:pPr>
        <w:pStyle w:val="ListBullet"/>
        <w:spacing w:after="40"/>
        <w:ind w:left="317" w:hanging="202"/>
      </w:pPr>
      <w:r>
        <w:t>For a sales-target termination, §4.3(b)(iii) provides a specific process: within 90 days after the applicable calendar year, written notice must state actual calendar-year sales and the amount of the shortfall; Crescent Ridge then has 30 days to submit a commercially reasonable remediation plan; timely submission triggers good-faith negotiations and suspension of termination rights during negotiations (up to 60 additional days). January 10 is within 90 days of December 31, 2023, but the notice’s two-quarter extrapolation is not the required actual annual figure/shortfall and the supplied notice does not describe the contract’s 30-day plan procedure.</w:t>
      </w:r>
    </w:p>
    <w:p>
      <w:pPr>
        <w:pStyle w:val="ListBullet"/>
        <w:spacing w:after="40"/>
        <w:ind w:left="317" w:hanging="202"/>
      </w:pPr>
      <w:r>
        <w:t>Complaint ¶¶42, 56 and the November 15 objection letter assert $24.3 million in FY2023 sales. That is powerful but not conclusive: the contract says calendar year, while the complaint says fiscal year; the packet lacks the underlying sales summary (Exhibit H) and no proof establishes whether the reported figure is calendar-year, net-invoice, in-Territory sales. Reconcile date, geography, returns/discounts, direct sales, and invoice data before adopting the $24.3 million as a defense admission.</w:t>
      </w:r>
    </w:p>
    <w:p>
      <w:pPr>
        <w:pStyle w:val="ListBullet"/>
        <w:spacing w:after="40"/>
        <w:ind w:left="317" w:hanging="202"/>
      </w:pPr>
      <w:r>
        <w:t>A failure to achieve the target is not simply an obligation to guarantee $20 million: §6.1(e) requires commercially reasonable efforts, while §6.4 directs the consequences of target failure exclusively to §4.3(b)(iii). If full calendar-year sales met the target, the stated cause ground fails. If they did not, strict compliance with actual-figure notice and remediation plan remains central.</w:t>
      </w:r>
    </w:p>
    <w:p>
      <w:pPr>
        <w:pStyle w:val="ListBullet"/>
        <w:spacing w:after="40"/>
        <w:ind w:left="317" w:hanging="202"/>
      </w:pPr>
      <w:r>
        <w:t>The January notice also invokes vague Q4 “multiple customer complaints,” responsiveness, fulfillment, and reduced market coverage. Section 4.3(a) requires notice specifying the material breach in reasonable detail and a 60-day opportunity to cure. The letter provides 65 days from Jan. 10 to Mar. 15 and says Crescent Ridge must show improvement by the effective date, but also asserts meaningful cure is impracticable and gives no customer, order, response-time, or coverage particulars. This is a real fact issue, not a categorical no-notice defense. Preserve each complaint, service metric, missed order, prior warning, cure discussion, and decision-maker record.</w:t>
      </w:r>
    </w:p>
    <w:p>
      <w:pPr>
        <w:pStyle w:val="ListBullet"/>
        <w:spacing w:after="40"/>
        <w:ind w:left="317" w:hanging="202"/>
      </w:pPr>
      <w:r>
        <w:t>The complaint’s assertion that there was no genuine cure opportunity is not established solely by counting days: the letter gave 65 days, more than 60. Its stronger point is the notice’s stated view that cure was impracticable, the lack of objective specifics, and the separate contractual remediation-plan route for sales shortfalls. Compare the entire notice and any enclosures with the actual facts and communications.</w:t>
      </w:r>
    </w:p>
    <w:p>
      <w:pPr>
        <w:pStyle w:val="Heading2"/>
      </w:pPr>
      <w:r>
        <w:t>B. Convenience notice, withdrawal, and the $2.21575 million fee</w:t>
      </w:r>
    </w:p>
    <w:p>
      <w:r>
        <w:t>The October 2, 2023 notice invokes §4.2, sets April 2, 2024 as the effective date (183 days from its date), says the Extended Term is a renewal term, and expressly acknowledges Eastbrook “shall pay” six months of trailing commissions. It says the parties should continue in the ordinary course. The November 15 objection demands withdrawal and, alternatively, payment if Eastbrook proceeds for convenience. On January 10 Eastbrook purported to rescind the convenience notice and replace it with a cause termination. Section 4.2 contains no express notice-revocation mechanism; the supplied record does not show Crescent Ridge’s agreement to a revocation or an agreed amendment of the end date.</w:t>
      </w:r>
    </w:p>
    <w:p>
      <w:pPr>
        <w:pStyle w:val="ListBullet"/>
        <w:spacing w:after="40"/>
        <w:ind w:left="317" w:hanging="202"/>
      </w:pPr>
      <w:r>
        <w:t>If the January cause termination was valid, §4.3(c) says no termination fee is due. If it was invalid, the plaintiff will argue the October election remained effective (or was not revocable) and that the attempted cause substitution was a fee-avoidance maneuver. The October letter’s acknowledgment and Tannick’s September 8 email about strategic channel alternatives materially strengthen plaintiff’s narrative. The email also says no decision had been made and is not, by itself, evidence of theft or breach.</w:t>
      </w:r>
    </w:p>
    <w:p>
      <w:pPr>
        <w:pStyle w:val="ListBullet"/>
        <w:spacing w:after="40"/>
        <w:ind w:left="317" w:hanging="202"/>
      </w:pPr>
      <w:r>
        <w:t>The notice’s original April 2 date matters. If that convenience termination remained operative, the contract would not run to May 31; lost post-termination commissions would ordinarily be limited to the period before the valid convenience effective date, plus the express fee (subject to the contract and no-double-recovery rules). If the March 15 cause termination is invalid and the October notice was effectively withdrawn, the remaining term may instead run to May 31. Plead and calculate the alternatives, not both as an undifferentiated 77-day loss.</w:t>
      </w:r>
    </w:p>
    <w:p>
      <w:pPr>
        <w:pStyle w:val="ListBullet"/>
        <w:spacing w:after="40"/>
        <w:ind w:left="317" w:hanging="202"/>
      </w:pPr>
      <w:r>
        <w:t>Fee amount is unproven. Section 4.2 uses Commissions earned in the 12 months immediately before the effective date, divided by two; Amendment §3.4 says use the amended 18% base commission and any earned performance bonus. The complaint uses $4,431,500 based on FY2023 rather than a verified rolling period ending April 2, 2024. It assumes all $24.3 million is commissionable at 18%. Original §5.2 separately pays only 7.5% on Eastbrook direct sales to retained accounts; the Amendment amends §5.1 but does not expressly amend §5.2. Obtain invoice-level account/channel data, returns, allowances, net-sales definition, and actual commission statements. The bonus is calendar-year and the 2023 bonus may have been earned within the trailing period, but must be reconciled.</w:t>
      </w:r>
    </w:p>
    <w:p>
      <w:pPr>
        <w:pStyle w:val="ListBullet"/>
        <w:spacing w:after="40"/>
        <w:ind w:left="317" w:hanging="202"/>
      </w:pPr>
      <w:r>
        <w:t>The First Amendment says its Extended Term is a “renewal term” for §4.2, supporting the fee trigger if convenience termination governs. There is a technical document issue: the Original Agreement §3.2 called for an extension executed at least 90 days before May 31, 2021; the Amendment is dated April 14, 2021. The parties’ explicit written extension and three years of performance make an invalid-extension theory uncertain; investigate executed copies, waiver/modification, and course of performance, but do not lead with expiration absent full legal review.</w:t>
      </w:r>
    </w:p>
    <w:p>
      <w:pPr>
        <w:pStyle w:val="Heading2"/>
      </w:pPr>
      <w:r>
        <w:t>C. Wrongful-termination claim and remaining commissions</w:t>
      </w:r>
    </w:p>
    <w:p>
      <w:r>
        <w:t>The Agreement permits termination for convenience on 180 days’ written notice, without a stated cause requirement. Thus an implied-good-faith theory cannot simply erase the express convenience right. The more substantial contract risk is Eastbrook’s early March 15 termination on an unsupported cause basis, and whether the October notice could be withdrawn. Section 4.4(b) requires payment of commissions earned through the effective date, and of any applicable fee; establish complete accrued-payments reconciliation. Section 2.2 also barred Eastbrook from appointing other distributors or selling directly in the Territory during the Term except for specified retained rights. The complaint says new distributors and direct sales began March 15; determine whether any direct sales/appointments occurred before a valid termination, which could create additional exclusivity exposure.</w:t>
      </w:r>
    </w:p>
    <w:p>
      <w:pPr>
        <w:pStyle w:val="Heading1"/>
      </w:pPr>
      <w:r>
        <w:t>3. Trade secrets, confidentiality, and customer solicitation</w:t>
      </w:r>
    </w:p>
    <w:p>
      <w:pPr>
        <w:pStyle w:val="Heading2"/>
      </w:pPr>
      <w:r>
        <w:t>A. Ohio UTSA and DTSA — serious, fact-dependent exposure</w:t>
      </w:r>
    </w:p>
    <w:p>
      <w:r>
        <w:t>The complaint (¶¶89–115, 167–195) alleges Crescent Ridge paid for and curated a jointly used VaultSync CRM, that Eastbrook downloaded 14,000+ records on December 22, 2023, and that former Crescent Ridge employees supplied playbooks/pricing information. It alleges nonpublic customer contacts, purchase histories, negotiated discounts, renewal dates, preferences, and forecasts, plus role controls, passwords/MFA, access logs, NDAs, and audits. These allegations are detailed enough to create discovery and injunction risk if true; the referenced log (Ex. I), playbooks (Ex. J), diverted-account summary (Ex. K), and Ridgeline report (Ex. L) were not supplied and are described as future discovery. The complaint says customer correspondence and FY2023 summary are attached as G/H, but those materials likewise were not in the packet.</w:t>
      </w:r>
    </w:p>
    <w:p>
      <w:pPr>
        <w:pStyle w:val="ListBullet"/>
        <w:spacing w:after="40"/>
        <w:ind w:left="317" w:hanging="202"/>
      </w:pPr>
      <w:r>
        <w:t>Authorized access versus improper acquisition/use: the complaint itself says the CRM was configured for joint use, Eastbrook had approved CRM users, and the download occurred December 22, 2023 while the Agreement remained active (the cause termination was not effective until March 2024). Determine exactly who downloaded what, their permissions and purpose, whether export was allowed, whether data was used only to perform the distribution relationship, and whether use/disclosure continued after termination. An adverse motive does not alone establish that an otherwise authorized access was “improper”; contractual limits and any excess access remain material.</w:t>
      </w:r>
    </w:p>
    <w:p>
      <w:pPr>
        <w:pStyle w:val="ListBullet"/>
        <w:spacing w:after="40"/>
        <w:ind w:left="317" w:hanging="202"/>
      </w:pPr>
      <w:r>
        <w:t>Trade-secret status and ownership: require itemized identification—not labels—for each alleged secret, the source/author, owner, secrecy measures, value from secrecy, and what was not generally known or readily ascertainable. Some contact data or product information may be public or known to Eastbrook; negotiated pricing, pipeline, and compiled histories may be protectable. The joint-use arrangement, Eastbrook-originated invoice/order data, customer sources, VaultSync contract, confidentiality definition/exclusions, and the absent CRM ownership clause create important ownership/scope questions. Confidential information under §7.1 and a statutory trade secret are overlapping but not identical categories.</w:t>
      </w:r>
    </w:p>
    <w:p>
      <w:pPr>
        <w:pStyle w:val="ListBullet"/>
        <w:spacing w:after="40"/>
        <w:ind w:left="317" w:hanging="202"/>
      </w:pPr>
      <w:r>
        <w:t>Use and causation: separate simple hiring, employee knowledge, and ordinary competition from actual acquisition, disclosure, or use of specific files. The complaint’s “upon information and belief” allegations that former employees brought data and Eastbrook used it require proof. Hiring Webb, Ortiz, or Hamdi is not by itself a contractual breach or misappropriation; the Agreement contains no employee non-solicit/no-hire covenant. Obtain their Crescent Ridge NDAs, onboarding instructions, devices and export history, and evidence of customer-facing use.</w:t>
      </w:r>
    </w:p>
    <w:p>
      <w:pPr>
        <w:pStyle w:val="ListBullet"/>
        <w:spacing w:after="40"/>
        <w:ind w:left="317" w:hanging="202"/>
      </w:pPr>
      <w:r>
        <w:t>Limitations and remedies: Section 7.1 imposes mutual confidentiality/non-use duties during the Agreement and for three years after termination, with public/prior-known/independent-development/rightfully-received exclusions, return/destruction duties, and one secure archival copy. Section 9.1 excludes consequential, exemplary, and punitive damages and caps aggregate contract liability at commissions paid/payable during the preceding 12 months, but excludes willful misconduct, fraud, and §7.1 breaches. Plaintiff pleads willful/malicious conduct and §7.1 misuse, so application of the cap and damages exclusion is a litigated issue, not a guaranteed ceiling; statutory DTSA claims may also raise separate enforceability questions.</w:t>
      </w:r>
    </w:p>
    <w:p>
      <w:pPr>
        <w:pStyle w:val="ListBullet"/>
        <w:spacing w:after="40"/>
        <w:ind w:left="317" w:hanging="202"/>
      </w:pPr>
      <w:r>
        <w:t>Ohio UTSA §1333.67 displaces conflicting state tort/restitution remedies for misappropriation, but does not necessarily preempt claims based on independent acts such as provable direct solicitation or contractual promises. Seek partial dismissal/limitation of overlapping tort theories after identifying the conduct supporting each count. The Ohio UTSA (O.R.C. §§1333.61–.69) and DTSA (18 U.S.C. §§1836, 1839) counts are pleaded in the alternative; only one recovery for the same secret-related loss is available.</w:t>
      </w:r>
    </w:p>
    <w:p>
      <w:pPr>
        <w:pStyle w:val="ListBullet"/>
        <w:spacing w:after="40"/>
        <w:ind w:left="317" w:hanging="202"/>
      </w:pPr>
      <w:r>
        <w:t>Under both statutes, exemplary damages are limited to no more than twice the appropriate misappropriation damages for willful and malicious conduct; attorneys’ fees also require the statutory predicates. Preserve arguments on owner status, actual loss, unjust enrichment not already counted, reasonable royalty alternative, willfulness, and fee entitlement. The complaint’s conclusory “willful and malicious” characterization is not evidence.</w:t>
      </w:r>
    </w:p>
    <w:p>
      <w:pPr>
        <w:pStyle w:val="Heading2"/>
      </w:pPr>
      <w:r>
        <w:t>B. Non-solicitation — narrow covenant, account-by-account proof</w:t>
      </w:r>
    </w:p>
    <w:p>
      <w:r>
        <w:t>Agreement §7.3 is not a general no-competition clause. For 18 months after termination/expiration it bars Eastbrook from “directly solicit[ing]” only a “Restricted Customer”—a customer actively serviced by Crescent Ridge in the Territory during the 12 months before the actual termination/expiration date—for the specific purpose of selling Products. It excludes responses to unsolicited inquiries/orders, general advertising and untargeted trade shows, and customers that independently seek Eastbrook. Crescent Ridge also must provide Eastbrook a written list of Restricted Customers within 30 days after termination/expiration. The complaint instead seeks relief against direct or indirect solicitation of any qualifying customer and relies heavily on hiring former employees.</w:t>
      </w:r>
    </w:p>
    <w:p>
      <w:pPr>
        <w:pStyle w:val="ListBullet"/>
        <w:spacing w:after="40"/>
        <w:ind w:left="317" w:hanging="202"/>
      </w:pPr>
      <w:r>
        <w:t>Require proof customer by customer: qualifying service in the correct 12-month lookback, location in Territory, written list and timing, Eastbrook-initiated targeted contact after the effective date, purpose to sell Products, and causation/profits. Determine which end date controls (March 15, April 2, or May 31); it changes both the lookback customer set and 18-month sunset.</w:t>
      </w:r>
    </w:p>
    <w:p>
      <w:pPr>
        <w:pStyle w:val="ListBullet"/>
        <w:spacing w:after="40"/>
        <w:ind w:left="317" w:hanging="202"/>
      </w:pPr>
      <w:r>
        <w:t>A hire, an employee’s general knowledge, a customer’s independent approach, or a sale through an appointed distributor does not automatically establish Eastbrook’s direct solicitation under this wording. But emails, CRM use, scripts, pricing offers, or instructions by Eastbrook directing targeted outreach could prove breach. The November 15 letter’s warning and demand show notice of Crescent Ridge’s position, not proof of later solicitation.</w:t>
      </w:r>
    </w:p>
    <w:p>
      <w:pPr>
        <w:pStyle w:val="ListBullet"/>
        <w:spacing w:after="40"/>
        <w:ind w:left="317" w:hanging="202"/>
      </w:pPr>
      <w:r>
        <w:t>The 18-month period is finite. Calculate any injunction sunset from the legally effective termination date and confirm the current docket/date. With March 15, 2024 as the date, the stated period would end September 15, 2025; April 2 would end October 2, 2025; May 31 would end November 30, 2025. If expired, seek denial/dismissal of prospective relief as moot absent a legally supported tolling basis; damages still require proof. Do not assume an injunction can extend the bargain.</w:t>
      </w:r>
    </w:p>
    <w:p>
      <w:pPr>
        <w:pStyle w:val="Heading2"/>
      </w:pPr>
      <w:r>
        <w:t>C. Tortious interference and unjust enrichment</w:t>
      </w:r>
    </w:p>
    <w:p>
      <w:pPr>
        <w:pStyle w:val="ListBullet"/>
        <w:spacing w:after="40"/>
        <w:ind w:left="317" w:hanging="202"/>
      </w:pPr>
      <w:r>
        <w:t>Count VI alleges existing/prospective customer relationships, knowledge, intentional diversion, improper means, and $6.4 million in “lost customer revenue.” Ohio law requires actual relationships/expectancies, intentional interference, lack of justification/improper conduct, causation, and damages. Eastbrook has a substantial competition/justification argument for lawful direct sales after termination; mere competition or employee hiring is not enough. The alleged improper means (trade-secret misuse and breach of §7.3) are also the disputed claims, so require independent proof and avoid double recovery with Counts III–V.</w:t>
      </w:r>
    </w:p>
    <w:p>
      <w:pPr>
        <w:pStyle w:val="ListBullet"/>
        <w:spacing w:after="40"/>
        <w:ind w:left="317" w:hanging="202"/>
      </w:pPr>
      <w:r>
        <w:t>Ohio UTSA displacement may bar the portion of Count VI that merely repackages trade-secret misappropriation; the count may survive to the extent it rests on independent solicitation/interference. Plaintiff must prove lost profits, not gross customer revenue, account-specific causation, reasonable certainty, and mitigation.</w:t>
      </w:r>
    </w:p>
    <w:p>
      <w:pPr>
        <w:pStyle w:val="ListBullet"/>
        <w:spacing w:after="40"/>
        <w:ind w:left="317" w:hanging="202"/>
      </w:pPr>
      <w:r>
        <w:t>Count VII expressly pleads unjust enrichment as an alternative. A valid express Agreement governs commissions, exclusivity, confidentiality, and non-solicitation; restitution for the same benefits is generally unavailable once the contract governs the subject. At the pleading stage, alternative pleading may be permitted if scope/validity is disputed. Customer goodwill, trade-secret value, lost profits, and Eastbrook’s alleged $3.8 million gain appear to overlap; require election/offsets and a nonduplicative benefit measure.</w:t>
      </w:r>
    </w:p>
    <w:p>
      <w:pPr>
        <w:pStyle w:val="Heading1"/>
      </w:pPr>
      <w:r>
        <w:t>4. Damages, limitations, and pleading gaps</w:t>
      </w:r>
    </w:p>
    <w:p>
      <w:pPr>
        <w:pStyle w:val="Heading2"/>
      </w:pPr>
      <w:r>
        <w:t>A. Facial arithmetic and category problems</w:t>
      </w:r>
    </w:p>
    <w:p>
      <w:r>
        <w:t>Complaint ¶¶117–124 claims $4,836,000 for 77 days while asserting $4,431,500 in annual compensation ($4,374,000 base plus $57,500 bonus). The 77-day amount cannot be reconciled to those premises: a simple time-proration of the stated annual figure is roughly $932,000–$935,000 depending on a 366- or 365-day denominator, not $4.836 million. That is only a sanity check, not a merits valuation; actual commissions depend on sales invoiced, contract rates, channel, net-sales adjustments, and any bonus. The claimed $4.836 million even exceeds the complaint’s own annual compensation. Require a corrected, transparent model.</w:t>
      </w:r>
    </w:p>
    <w:p>
      <w:pPr>
        <w:pStyle w:val="ListBullet"/>
        <w:spacing w:after="40"/>
        <w:ind w:left="317" w:hanging="202"/>
      </w:pPr>
      <w:r>
        <w:t>The annual $4.4315 million premise assumes all $24.3 million in Territory sales earns an 18% commission. The Original Agreement §5.1 tied base commission to products sold through Distributor’s efforts; First Amendment §3.1 rewrites that provision as 18% of undefined “Net Sales” within the Territory. Original §5.2’s 7.5% commission on Eastbrook’s specified direct/retained-account sales remains textually unamended. The amendment’s interaction with §5.2 must be construed and reconciled; at minimum, the complaint has not shown that every dollar of the $24.3 million earned 18%. The target counts aggregate direct and distributor sales under §6.4, but that does not determine commission eligibility or rate.</w:t>
      </w:r>
    </w:p>
    <w:p>
      <w:pPr>
        <w:pStyle w:val="ListBullet"/>
        <w:spacing w:after="40"/>
        <w:ind w:left="317" w:hanging="202"/>
      </w:pPr>
      <w:r>
        <w:t>The complaint’s stated total adds $37,951,750 of non-exemplary line items to $25 million exemplary damages to reach $62,951,750. The $25 million is not compensatory. Count V is expressly in the alternative to Count IV and must not be added again. The $8.2 million solicitation lost profits, $12.5 million trade-secret damages (which themselves include lost profits/value), $6.4 million customer “revenue,” and $3.8 million restitution all appear to address diverted accounts, data, or goodwill. Insist on damages allocation, account overlap, offsets, election of remedies, and jury instructions preventing duplicate recovery.</w:t>
      </w:r>
    </w:p>
    <w:p>
      <w:pPr>
        <w:pStyle w:val="ListBullet"/>
        <w:spacing w:after="40"/>
        <w:ind w:left="317" w:hanging="202"/>
      </w:pPr>
      <w:r>
        <w:t>The $8.2 million figure is attributed to an unproduced Ridgeline report; the $12.5 million valuation, $6.4 million revenue figure, and $3.8 million benefit valuation are also unsupported in the packet. Test forecast assumptions, margins versus revenue, customer attrition unrelated to Eastbrook, causation, term/discount horizon, costs avoided, mitigation, and whether these are alternate valuation methods. Seek expert discovery, Rule 26 disclosures, and Daubert review at the proper time.</w:t>
      </w:r>
    </w:p>
    <w:p>
      <w:pPr>
        <w:pStyle w:val="Heading2"/>
      </w:pPr>
      <w:r>
        <w:t>B. Section 9.1 cap and excluded damages</w:t>
      </w:r>
    </w:p>
    <w:p>
      <w:r>
        <w:t>Section 9.1 is unusually broad: it reaches contract, tort, negligence, and other theories “arising out of or relating to” the Agreement; excludes consequential, incidental, indirect, special, exemplary, or punitive damages except for willful misconduct, fraud, or breach of §7.1; and sets an aggregate cap equal to commissions paid/payable during the preceding 12 months. The cap separately excludes indemnity, willful misconduct/fraud, and §7.1 breach. This is a substantial defense to contract-related consequential/lost-profit and duplicative claims if the exceptions are not proved. Obtain actual trailing commission totals and identify the event date used for the cap. Expect plaintiff to argue independent statutory claims and the express willful-misconduct/confidentiality carve-outs take damages outside it. The contract fee clause in §10.1(c) applies to mediation/arbitration and award proceedings, not necessarily ordinary merits litigation; statutory trade-secret fees require statutory findings. Ordinary contract/tort fee requests should be challenged absent a separate basis.</w:t>
      </w:r>
    </w:p>
    <w:p>
      <w:pPr>
        <w:pStyle w:val="Heading1"/>
      </w:pPr>
      <w:r>
        <w:t>5. Deal-document and record-integrity issues</w:t>
      </w:r>
    </w:p>
    <w:p>
      <w:r>
        <w:t>The supplied copies contain cross-reference and execution issues that should be resolved before briefing. The Original Agreement locates the term in Article 3 and Minimum Sales Target in the definition/§6.4, while the First Amendment says it restates Original §2.1 for the term and that §6.2 (which is Eastbrook’s obligations in the supplied Original) governs the unchanged target. Amendment §3.3 says payment terms continue under Original §5.3, but supplied Original §5.3 is the performance-bonus clause, not quarterly commission timing. Amendment §3.1 uses “Net Sales” without a definition in the supplied text; Original §5.2’s 7.5% retained-account rate remains textually present. These may reflect an earlier agreement version, drafting error, or incomplete exhibit—not a reliable basis by themselves to disregard the signed deal.</w:t>
      </w:r>
    </w:p>
    <w:p>
      <w:pPr>
        <w:pStyle w:val="ListBullet"/>
        <w:spacing w:after="40"/>
        <w:ind w:left="317" w:hanging="202"/>
      </w:pPr>
      <w:r>
        <w:t>The extracted agreement and amendment text show blank signature lines. The complaint alleges both were executed and the parties performed for years. Obtain signed originals, DocuSign audit/counterparts, schedules, all exhibits, prior drafts, side letters, board approvals, and document metadata. Confirm there were no later amendments, extensions, or waivers and that the filed Exhibit A/B match the deal actually administered.</w:t>
      </w:r>
    </w:p>
    <w:p>
      <w:pPr>
        <w:pStyle w:val="ListBullet"/>
        <w:spacing w:after="40"/>
        <w:ind w:left="317" w:hanging="202"/>
      </w:pPr>
      <w:r>
        <w:t>Confirm date and receipt of the October 2 notice under §11.1 (certified mail; effective on actual receipt or the contract’s deemed-receipt rule), and the January notice’s certified-mail/email delivery. Request original certified-mail receipts and attachments, including the Q3/Q4 sales summary mentioned in the cause notice.</w:t>
      </w:r>
    </w:p>
    <w:p>
      <w:pPr>
        <w:pStyle w:val="ListBullet"/>
        <w:spacing w:after="40"/>
        <w:ind w:left="317" w:hanging="202"/>
      </w:pPr>
      <w:r>
        <w:t>The complaint states Exhibits G and H are attached, but the supplied packet did not include them; I–L are expressly “to be produced in discovery.” Obtain the complete ECF complaint and every cited/attached exhibit before taking pleading positions or giving a settlement valuation.</w:t>
      </w:r>
    </w:p>
    <w:p>
      <w:pPr>
        <w:pStyle w:val="Heading1"/>
      </w:pPr>
      <w:r>
        <w:t>6. Prioritized evidence and action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80" w:type="dxa"/>
              <w:start w:w="95" w:type="dxa"/>
              <w:bottom w:w="80" w:type="dxa"/>
              <w:end w:w="95" w:type="dxa"/>
            </w:tcMar>
            <w:shd w:fill="17365D"/>
          </w:tcPr>
          <w:p>
            <w:pPr>
              <w:spacing w:after="0" w:line="240" w:lineRule="auto"/>
            </w:pPr>
            <w:r/>
            <w:r>
              <w:rPr>
                <w:rFonts w:ascii="Calibri" w:hAnsi="Calibri"/>
                <w:b/>
                <w:color w:val="FFFFFF"/>
                <w:sz w:val="15"/>
              </w:rPr>
              <w:t>When</w:t>
            </w:r>
          </w:p>
        </w:tc>
        <w:tc>
          <w:tcPr>
            <w:tcW w:type="dxa" w:w="1944"/>
            <w:vAlign w:val="center"/>
            <w:tcMar>
              <w:top w:w="80" w:type="dxa"/>
              <w:start w:w="95" w:type="dxa"/>
              <w:bottom w:w="80" w:type="dxa"/>
              <w:end w:w="95" w:type="dxa"/>
            </w:tcMar>
            <w:shd w:fill="17365D"/>
          </w:tcPr>
          <w:p>
            <w:pPr>
              <w:spacing w:after="0" w:line="240" w:lineRule="auto"/>
            </w:pPr>
            <w:r/>
            <w:r>
              <w:rPr>
                <w:rFonts w:ascii="Calibri" w:hAnsi="Calibri"/>
                <w:b/>
                <w:color w:val="FFFFFF"/>
                <w:sz w:val="15"/>
              </w:rPr>
              <w:t>Workstream</w:t>
            </w:r>
          </w:p>
        </w:tc>
        <w:tc>
          <w:tcPr>
            <w:tcW w:type="dxa" w:w="7560"/>
            <w:vAlign w:val="center"/>
            <w:tcMar>
              <w:top w:w="80" w:type="dxa"/>
              <w:start w:w="95" w:type="dxa"/>
              <w:bottom w:w="80" w:type="dxa"/>
              <w:end w:w="95" w:type="dxa"/>
            </w:tcMar>
            <w:shd w:fill="17365D"/>
          </w:tcPr>
          <w:p>
            <w:pPr>
              <w:spacing w:after="0" w:line="240" w:lineRule="auto"/>
            </w:pPr>
            <w:r/>
            <w:r>
              <w:rPr>
                <w:rFonts w:ascii="Calibri" w:hAnsi="Calibri"/>
                <w:b/>
                <w:color w:val="FFFFFF"/>
                <w:sz w:val="15"/>
              </w:rPr>
              <w:t>Specific task</w:t>
            </w:r>
          </w:p>
        </w:tc>
      </w:tr>
      <w:tr>
        <w:trPr>
          <w:cantSplit/>
        </w:trPr>
        <w:tc>
          <w:tcPr>
            <w:tcW w:type="dxa" w:w="1152"/>
            <w:vAlign w:val="center"/>
            <w:tcMar>
              <w:top w:w="80" w:type="dxa"/>
              <w:start w:w="95" w:type="dxa"/>
              <w:bottom w:w="80" w:type="dxa"/>
              <w:end w:w="95" w:type="dxa"/>
            </w:tcMar>
          </w:tcPr>
          <w:p>
            <w:pPr>
              <w:spacing w:after="0" w:line="240" w:lineRule="auto"/>
            </w:pPr>
            <w:r/>
            <w:r>
              <w:rPr>
                <w:rFonts w:ascii="Calibri" w:hAnsi="Calibri"/>
                <w:b w:val="0"/>
                <w:sz w:val="15"/>
              </w:rPr>
              <w:t>Now</w:t>
            </w:r>
          </w:p>
        </w:tc>
        <w:tc>
          <w:tcPr>
            <w:tcW w:type="dxa" w:w="1944"/>
            <w:vAlign w:val="center"/>
            <w:tcMar>
              <w:top w:w="80" w:type="dxa"/>
              <w:start w:w="95" w:type="dxa"/>
              <w:bottom w:w="80" w:type="dxa"/>
              <w:end w:w="95" w:type="dxa"/>
            </w:tcMar>
          </w:tcPr>
          <w:p>
            <w:pPr>
              <w:spacing w:after="0" w:line="240" w:lineRule="auto"/>
            </w:pPr>
            <w:r/>
            <w:r>
              <w:rPr>
                <w:rFonts w:ascii="Calibri" w:hAnsi="Calibri"/>
                <w:b w:val="0"/>
                <w:sz w:val="15"/>
              </w:rPr>
              <w:t>Docket and forum</w:t>
            </w:r>
          </w:p>
        </w:tc>
        <w:tc>
          <w:tcPr>
            <w:tcW w:type="dxa" w:w="7560"/>
            <w:vAlign w:val="center"/>
            <w:tcMar>
              <w:top w:w="80" w:type="dxa"/>
              <w:start w:w="95" w:type="dxa"/>
              <w:bottom w:w="80" w:type="dxa"/>
              <w:end w:w="95" w:type="dxa"/>
            </w:tcMar>
          </w:tcPr>
          <w:p>
            <w:pPr>
              <w:spacing w:after="0" w:line="240" w:lineRule="auto"/>
            </w:pPr>
            <w:r/>
            <w:r>
              <w:rPr>
                <w:rFonts w:ascii="Calibri" w:hAnsi="Calibri"/>
                <w:b w:val="0"/>
                <w:sz w:val="15"/>
              </w:rPr>
              <w:t>Pull complete docket, summons/returns, all filed exhibits, existing motion/answer deadlines, any Rule 65 submissions, and any mediation/arbitration activity. Confirm contract signature/counterpart versions and whether Eastbrook has taken steps that could waive arbitration.</w:t>
            </w:r>
          </w:p>
        </w:tc>
      </w:tr>
      <w:tr>
        <w:trPr>
          <w:cantSplit/>
        </w:trPr>
        <w:tc>
          <w:tcPr>
            <w:tcW w:type="dxa" w:w="1152"/>
            <w:vAlign w:val="center"/>
            <w:tcMar>
              <w:top w:w="80" w:type="dxa"/>
              <w:start w:w="95" w:type="dxa"/>
              <w:bottom w:w="80" w:type="dxa"/>
              <w:end w:w="95" w:type="dxa"/>
            </w:tcMar>
            <w:shd w:fill="F5F8FB"/>
          </w:tcPr>
          <w:p>
            <w:pPr>
              <w:spacing w:after="0" w:line="240" w:lineRule="auto"/>
            </w:pPr>
            <w:r/>
            <w:r>
              <w:rPr>
                <w:rFonts w:ascii="Calibri" w:hAnsi="Calibri"/>
                <w:b w:val="0"/>
                <w:sz w:val="15"/>
              </w:rPr>
              <w:t>Now</w:t>
            </w:r>
          </w:p>
        </w:tc>
        <w:tc>
          <w:tcPr>
            <w:tcW w:type="dxa" w:w="1944"/>
            <w:vAlign w:val="center"/>
            <w:tcMar>
              <w:top w:w="80" w:type="dxa"/>
              <w:start w:w="95" w:type="dxa"/>
              <w:bottom w:w="80" w:type="dxa"/>
              <w:end w:w="95" w:type="dxa"/>
            </w:tcMar>
            <w:shd w:fill="F5F8FB"/>
          </w:tcPr>
          <w:p>
            <w:pPr>
              <w:spacing w:after="0" w:line="240" w:lineRule="auto"/>
            </w:pPr>
            <w:r/>
            <w:r>
              <w:rPr>
                <w:rFonts w:ascii="Calibri" w:hAnsi="Calibri"/>
                <w:b w:val="0"/>
                <w:sz w:val="15"/>
              </w:rPr>
              <w:t>Litigation hold</w:t>
            </w:r>
          </w:p>
        </w:tc>
        <w:tc>
          <w:tcPr>
            <w:tcW w:type="dxa" w:w="7560"/>
            <w:vAlign w:val="center"/>
            <w:tcMar>
              <w:top w:w="80" w:type="dxa"/>
              <w:start w:w="95" w:type="dxa"/>
              <w:bottom w:w="80" w:type="dxa"/>
              <w:end w:w="95" w:type="dxa"/>
            </w:tcMar>
            <w:shd w:fill="F5F8FB"/>
          </w:tcPr>
          <w:p>
            <w:pPr>
              <w:spacing w:after="0" w:line="240" w:lineRule="auto"/>
            </w:pPr>
            <w:r/>
            <w:r>
              <w:rPr>
                <w:rFonts w:ascii="Calibri" w:hAnsi="Calibri"/>
                <w:b w:val="0"/>
                <w:sz w:val="15"/>
              </w:rPr>
              <w:t>Issue hold to Tannick, executives, IT, legal, sales, HR, all CRM administrators/users, and the three former employees. Preserve email, texts/Teams, CRM audit data, endpoints, cloud backups, removable media, customer-contact logs, pricing offers, and termination/board materials. Do not delete or “clean” files; use counsel-supervised forensic segregation.</w:t>
            </w:r>
          </w:p>
        </w:tc>
      </w:tr>
      <w:tr>
        <w:trPr>
          <w:cantSplit/>
        </w:trPr>
        <w:tc>
          <w:tcPr>
            <w:tcW w:type="dxa" w:w="1152"/>
            <w:vAlign w:val="center"/>
            <w:tcMar>
              <w:top w:w="80" w:type="dxa"/>
              <w:start w:w="95" w:type="dxa"/>
              <w:bottom w:w="80" w:type="dxa"/>
              <w:end w:w="95" w:type="dxa"/>
            </w:tcMar>
          </w:tcPr>
          <w:p>
            <w:pPr>
              <w:spacing w:after="0" w:line="240" w:lineRule="auto"/>
            </w:pPr>
            <w:r/>
            <w:r>
              <w:rPr>
                <w:rFonts w:ascii="Calibri" w:hAnsi="Calibri"/>
                <w:b w:val="0"/>
                <w:sz w:val="15"/>
              </w:rPr>
              <w:t>1–2 weeks</w:t>
            </w:r>
          </w:p>
        </w:tc>
        <w:tc>
          <w:tcPr>
            <w:tcW w:type="dxa" w:w="1944"/>
            <w:vAlign w:val="center"/>
            <w:tcMar>
              <w:top w:w="80" w:type="dxa"/>
              <w:start w:w="95" w:type="dxa"/>
              <w:bottom w:w="80" w:type="dxa"/>
              <w:end w:w="95" w:type="dxa"/>
            </w:tcMar>
          </w:tcPr>
          <w:p>
            <w:pPr>
              <w:spacing w:after="0" w:line="240" w:lineRule="auto"/>
            </w:pPr>
            <w:r/>
            <w:r>
              <w:rPr>
                <w:rFonts w:ascii="Calibri" w:hAnsi="Calibri"/>
                <w:b w:val="0"/>
                <w:sz w:val="15"/>
              </w:rPr>
              <w:t>CRM/trade secrets</w:t>
            </w:r>
          </w:p>
        </w:tc>
        <w:tc>
          <w:tcPr>
            <w:tcW w:type="dxa" w:w="7560"/>
            <w:vAlign w:val="center"/>
            <w:tcMar>
              <w:top w:w="80" w:type="dxa"/>
              <w:start w:w="95" w:type="dxa"/>
              <w:bottom w:w="80" w:type="dxa"/>
              <w:end w:w="95" w:type="dxa"/>
            </w:tcMar>
          </w:tcPr>
          <w:p>
            <w:pPr>
              <w:spacing w:after="0" w:line="240" w:lineRule="auto"/>
            </w:pPr>
            <w:r/>
            <w:r>
              <w:rPr>
                <w:rFonts w:ascii="Calibri" w:hAnsi="Calibri"/>
                <w:b w:val="0"/>
                <w:sz w:val="15"/>
              </w:rPr>
              <w:t>Collect VaultSync contract/SOW, ownership and role permissions, user access/export logs, December 22 audit record, source IP/user/device, exported fields/files, timestamps/hashes, recipients, retention/offboarding, MFA and alerts. Map Eastbrook access rights and permitted purpose on that date; compare disputed data to Eastbrook’s own and public records.</w:t>
            </w:r>
          </w:p>
        </w:tc>
      </w:tr>
      <w:tr>
        <w:trPr>
          <w:cantSplit/>
        </w:trPr>
        <w:tc>
          <w:tcPr>
            <w:tcW w:type="dxa" w:w="1152"/>
            <w:vAlign w:val="center"/>
            <w:tcMar>
              <w:top w:w="80" w:type="dxa"/>
              <w:start w:w="95" w:type="dxa"/>
              <w:bottom w:w="80" w:type="dxa"/>
              <w:end w:w="95" w:type="dxa"/>
            </w:tcMar>
            <w:shd w:fill="F5F8FB"/>
          </w:tcPr>
          <w:p>
            <w:pPr>
              <w:spacing w:after="0" w:line="240" w:lineRule="auto"/>
            </w:pPr>
            <w:r/>
            <w:r>
              <w:rPr>
                <w:rFonts w:ascii="Calibri" w:hAnsi="Calibri"/>
                <w:b w:val="0"/>
                <w:sz w:val="15"/>
              </w:rPr>
              <w:t>1–2 weeks</w:t>
            </w:r>
          </w:p>
        </w:tc>
        <w:tc>
          <w:tcPr>
            <w:tcW w:type="dxa" w:w="1944"/>
            <w:vAlign w:val="center"/>
            <w:tcMar>
              <w:top w:w="80" w:type="dxa"/>
              <w:start w:w="95" w:type="dxa"/>
              <w:bottom w:w="80" w:type="dxa"/>
              <w:end w:w="95" w:type="dxa"/>
            </w:tcMar>
            <w:shd w:fill="F5F8FB"/>
          </w:tcPr>
          <w:p>
            <w:pPr>
              <w:spacing w:after="0" w:line="240" w:lineRule="auto"/>
            </w:pPr>
            <w:r/>
            <w:r>
              <w:rPr>
                <w:rFonts w:ascii="Calibri" w:hAnsi="Calibri"/>
                <w:b w:val="0"/>
                <w:sz w:val="15"/>
              </w:rPr>
              <w:t>Termination record</w:t>
            </w:r>
          </w:p>
        </w:tc>
        <w:tc>
          <w:tcPr>
            <w:tcW w:type="dxa" w:w="7560"/>
            <w:vAlign w:val="center"/>
            <w:tcMar>
              <w:top w:w="80" w:type="dxa"/>
              <w:start w:w="95" w:type="dxa"/>
              <w:bottom w:w="80" w:type="dxa"/>
              <w:end w:w="95" w:type="dxa"/>
            </w:tcMar>
            <w:shd w:fill="F5F8FB"/>
          </w:tcPr>
          <w:p>
            <w:pPr>
              <w:spacing w:after="0" w:line="240" w:lineRule="auto"/>
            </w:pPr>
            <w:r/>
            <w:r>
              <w:rPr>
                <w:rFonts w:ascii="Calibri" w:hAnsi="Calibri"/>
                <w:b w:val="0"/>
                <w:sz w:val="15"/>
              </w:rPr>
              <w:t>Reconcile product sales by calendar month for 2023 and Jan–Mar 2024, geography, net invoice price, channel and account; calculate exact target, commissions, bonus, and trailing fee under both dates. Preserve customer complaints, order service, fulfillment, territory coverage, all cure/remediation communications, and contemporaneous decision/approval records.</w:t>
            </w:r>
          </w:p>
        </w:tc>
      </w:tr>
      <w:tr>
        <w:trPr>
          <w:cantSplit/>
        </w:trPr>
        <w:tc>
          <w:tcPr>
            <w:tcW w:type="dxa" w:w="1152"/>
            <w:vAlign w:val="center"/>
            <w:tcMar>
              <w:top w:w="80" w:type="dxa"/>
              <w:start w:w="95" w:type="dxa"/>
              <w:bottom w:w="80" w:type="dxa"/>
              <w:end w:w="95" w:type="dxa"/>
            </w:tcMar>
          </w:tcPr>
          <w:p>
            <w:pPr>
              <w:spacing w:after="0" w:line="240" w:lineRule="auto"/>
            </w:pPr>
            <w:r/>
            <w:r>
              <w:rPr>
                <w:rFonts w:ascii="Calibri" w:hAnsi="Calibri"/>
                <w:b w:val="0"/>
                <w:sz w:val="15"/>
              </w:rPr>
              <w:t>2–4 weeks</w:t>
            </w:r>
          </w:p>
        </w:tc>
        <w:tc>
          <w:tcPr>
            <w:tcW w:type="dxa" w:w="1944"/>
            <w:vAlign w:val="center"/>
            <w:tcMar>
              <w:top w:w="80" w:type="dxa"/>
              <w:start w:w="95" w:type="dxa"/>
              <w:bottom w:w="80" w:type="dxa"/>
              <w:end w:w="95" w:type="dxa"/>
            </w:tcMar>
          </w:tcPr>
          <w:p>
            <w:pPr>
              <w:spacing w:after="0" w:line="240" w:lineRule="auto"/>
            </w:pPr>
            <w:r/>
            <w:r>
              <w:rPr>
                <w:rFonts w:ascii="Calibri" w:hAnsi="Calibri"/>
                <w:b w:val="0"/>
                <w:sz w:val="15"/>
              </w:rPr>
              <w:t>Customer/employee proof</w:t>
            </w:r>
          </w:p>
        </w:tc>
        <w:tc>
          <w:tcPr>
            <w:tcW w:type="dxa" w:w="7560"/>
            <w:vAlign w:val="center"/>
            <w:tcMar>
              <w:top w:w="80" w:type="dxa"/>
              <w:start w:w="95" w:type="dxa"/>
              <w:bottom w:w="80" w:type="dxa"/>
              <w:end w:w="95" w:type="dxa"/>
            </w:tcMar>
          </w:tcPr>
          <w:p>
            <w:pPr>
              <w:spacing w:after="0" w:line="240" w:lineRule="auto"/>
            </w:pPr>
            <w:r/>
            <w:r>
              <w:rPr>
                <w:rFonts w:ascii="Calibri" w:hAnsi="Calibri"/>
                <w:b w:val="0"/>
                <w:sz w:val="15"/>
              </w:rPr>
              <w:t>For every alleged diverted account, obtain customer identity, prior service period, solicitation date/sender/initiator, channel, quote/pricing, order, margin and reason for switching. Collect employee NDAs, return-of-property acknowledgments, exit interviews, devices and onboarding attestations; document legitimate recruiting and any clean-team/no-use instructions.</w:t>
            </w:r>
          </w:p>
        </w:tc>
      </w:tr>
      <w:tr>
        <w:trPr>
          <w:cantSplit/>
        </w:trPr>
        <w:tc>
          <w:tcPr>
            <w:tcW w:type="dxa" w:w="1152"/>
            <w:vAlign w:val="center"/>
            <w:tcMar>
              <w:top w:w="80" w:type="dxa"/>
              <w:start w:w="95" w:type="dxa"/>
              <w:bottom w:w="80" w:type="dxa"/>
              <w:end w:w="95" w:type="dxa"/>
            </w:tcMar>
            <w:shd w:fill="F5F8FB"/>
          </w:tcPr>
          <w:p>
            <w:pPr>
              <w:spacing w:after="0" w:line="240" w:lineRule="auto"/>
            </w:pPr>
            <w:r/>
            <w:r>
              <w:rPr>
                <w:rFonts w:ascii="Calibri" w:hAnsi="Calibri"/>
                <w:b w:val="0"/>
                <w:sz w:val="15"/>
              </w:rPr>
              <w:t>2–4 weeks</w:t>
            </w:r>
          </w:p>
        </w:tc>
        <w:tc>
          <w:tcPr>
            <w:tcW w:type="dxa" w:w="1944"/>
            <w:vAlign w:val="center"/>
            <w:tcMar>
              <w:top w:w="80" w:type="dxa"/>
              <w:start w:w="95" w:type="dxa"/>
              <w:bottom w:w="80" w:type="dxa"/>
              <w:end w:w="95" w:type="dxa"/>
            </w:tcMar>
            <w:shd w:fill="F5F8FB"/>
          </w:tcPr>
          <w:p>
            <w:pPr>
              <w:spacing w:after="0" w:line="240" w:lineRule="auto"/>
            </w:pPr>
            <w:r/>
            <w:r>
              <w:rPr>
                <w:rFonts w:ascii="Calibri" w:hAnsi="Calibri"/>
                <w:b w:val="0"/>
                <w:sz w:val="15"/>
              </w:rPr>
              <w:t>Damages/property</w:t>
            </w:r>
          </w:p>
        </w:tc>
        <w:tc>
          <w:tcPr>
            <w:tcW w:type="dxa" w:w="7560"/>
            <w:vAlign w:val="center"/>
            <w:tcMar>
              <w:top w:w="80" w:type="dxa"/>
              <w:start w:w="95" w:type="dxa"/>
              <w:bottom w:w="80" w:type="dxa"/>
              <w:end w:w="95" w:type="dxa"/>
            </w:tcMar>
            <w:shd w:fill="F5F8FB"/>
          </w:tcPr>
          <w:p>
            <w:pPr>
              <w:spacing w:after="0" w:line="240" w:lineRule="auto"/>
            </w:pPr>
            <w:r/>
            <w:r>
              <w:rPr>
                <w:rFonts w:ascii="Calibri" w:hAnsi="Calibri"/>
                <w:b w:val="0"/>
                <w:sz w:val="15"/>
              </w:rPr>
              <w:t>Demand source data and complete Ridgeline report, model files, customer-level overlap, margin/avoided-cost, mitigation and forecast support. Audit recording and title status for Parcel 67-04421; document any title or financing impact. Preserve commission/payment records and proof of any fee demand or remittance.</w:t>
            </w:r>
          </w:p>
        </w:tc>
      </w:tr>
      <w:tr>
        <w:trPr>
          <w:cantSplit/>
        </w:trPr>
        <w:tc>
          <w:tcPr>
            <w:tcW w:type="dxa" w:w="1152"/>
            <w:vAlign w:val="center"/>
            <w:tcMar>
              <w:top w:w="80" w:type="dxa"/>
              <w:start w:w="95" w:type="dxa"/>
              <w:bottom w:w="80" w:type="dxa"/>
              <w:end w:w="95" w:type="dxa"/>
            </w:tcMar>
          </w:tcPr>
          <w:p>
            <w:pPr>
              <w:spacing w:after="0" w:line="240" w:lineRule="auto"/>
            </w:pPr>
            <w:r/>
            <w:r>
              <w:rPr>
                <w:rFonts w:ascii="Calibri" w:hAnsi="Calibri"/>
                <w:b w:val="0"/>
                <w:sz w:val="15"/>
              </w:rPr>
              <w:t>As motions proceed</w:t>
            </w:r>
          </w:p>
        </w:tc>
        <w:tc>
          <w:tcPr>
            <w:tcW w:type="dxa" w:w="1944"/>
            <w:vAlign w:val="center"/>
            <w:tcMar>
              <w:top w:w="80" w:type="dxa"/>
              <w:start w:w="95" w:type="dxa"/>
              <w:bottom w:w="80" w:type="dxa"/>
              <w:end w:w="95" w:type="dxa"/>
            </w:tcMar>
          </w:tcPr>
          <w:p>
            <w:pPr>
              <w:spacing w:after="0" w:line="240" w:lineRule="auto"/>
            </w:pPr>
            <w:r/>
            <w:r>
              <w:rPr>
                <w:rFonts w:ascii="Calibri" w:hAnsi="Calibri"/>
                <w:b w:val="0"/>
                <w:sz w:val="15"/>
              </w:rPr>
              <w:t>Litigation position</w:t>
            </w:r>
          </w:p>
        </w:tc>
        <w:tc>
          <w:tcPr>
            <w:tcW w:type="dxa" w:w="7560"/>
            <w:vAlign w:val="center"/>
            <w:tcMar>
              <w:top w:w="80" w:type="dxa"/>
              <w:start w:w="95" w:type="dxa"/>
              <w:bottom w:w="80" w:type="dxa"/>
              <w:end w:w="95" w:type="dxa"/>
            </w:tcMar>
          </w:tcPr>
          <w:p>
            <w:pPr>
              <w:spacing w:after="0" w:line="240" w:lineRule="auto"/>
            </w:pPr>
            <w:r/>
            <w:r>
              <w:rPr>
                <w:rFonts w:ascii="Calibri" w:hAnsi="Calibri"/>
                <w:b w:val="0"/>
                <w:sz w:val="15"/>
              </w:rPr>
              <w:t>Move first on mediation/arbitration/stay and lis pendens cancellation; oppose any broad injunction with the text, actual access/use proof, finite covenant scope, and a tailored preservation alternative. Preserve defenses, cap, offsets, alternative dates, and no-double-recovery objections in the answer/arbitration demand.</w:t>
            </w:r>
          </w:p>
        </w:tc>
      </w:tr>
    </w:tbl>
    <w:p>
      <w:pPr>
        <w:spacing w:after="20"/>
      </w:pPr>
    </w:p>
    <w:p>
      <w:pPr>
        <w:pStyle w:val="Heading1"/>
      </w:pPr>
      <w:r>
        <w:t>Bottom line</w:t>
      </w:r>
    </w:p>
    <w:p>
      <w:r>
        <w:t>Do not rely on a generalized “cause was valid” narrative. The contract’s calendar-year/no-extrapolation language makes the Q3–Q4 annualization facially weak, and the October notice’s express fee acknowledgment raises meaningful contract exposure if the cause substitution fails. At the same time, the complaint has major procedural, proof, scope, and damages weaknesses: mandatory arbitration is unaddressed; the lis pendens lacks a pleaded property nexus; CRM access was joint during the term; non-solicitation is narrowly defined; the key exhibits/expert report are absent; and the claimed 77-day commission number fails the complaint’s own arithmetic. Preserve immediately, establish the true calendar-year/account/channel data, and pursue arbitration and release of the property notice while building a fact-based response to any trade-secret injunction request.</w:t>
      </w: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6"/>
      </w:rPr>
      <w:t xml:space="preserve">EASTBROOK MANUFACTURING, INC.  •  PRELIMINARY DEFENSE MEMORANDUM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8A1C1C"/>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40"/>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Issue-Identification Memorandum - Crescent Ridge v. Eastbrook</dc:title>
  <dc:subject>Preliminary defense assessment based on supplied complaint and deal documents</dc:subject>
  <dc:creator>Defense Counsel</dc:creator>
  <cp:keywords>Attorney Work Product; arbitration; trade secrets; contract termination</cp:keywords>
  <dc:description>generated by python-docx</dc:description>
  <cp:lastModifiedBy/>
  <cp:revision>1</cp:revision>
  <dcterms:created xsi:type="dcterms:W3CDTF">2013-12-23T23:15:00Z</dcterms:created>
  <dcterms:modified xsi:type="dcterms:W3CDTF">2013-12-23T23:15:00Z</dcterms:modified>
  <cp:category/>
</cp:coreProperties>
</file>