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60"/>
        <w:jc w:val="center"/>
      </w:pPr>
      <w:r>
        <w:rPr>
          <w:rFonts w:ascii="Aptos Display" w:hAnsi="Aptos Display"/>
          <w:b/>
          <w:color w:val="17365D"/>
          <w:sz w:val="38"/>
        </w:rPr>
        <w:t>INTERROGATORY OBJECTION-BY-OBJECTION</w:t>
        <w:br/>
        <w:t>RESPONSE STRATEGY MEMORANDUM</w:t>
      </w:r>
    </w:p>
    <w:p>
      <w:pPr>
        <w:spacing w:after="240"/>
        <w:jc w:val="center"/>
      </w:pPr>
      <w:r>
        <w:rPr>
          <w:i/>
          <w:color w:val="5B6573"/>
          <w:sz w:val="22"/>
        </w:rPr>
        <w:t>Trident Growth Fund III LP v. Whitmore Capital Advisors LLC</w:t>
      </w:r>
    </w:p>
    <w:tbl>
      <w:tblPr>
        <w:tblW w:type="auto" w:w="0"/>
        <w:jc w:val="center"/>
        <w:tblLayout w:type="fixed"/>
        <w:tblLook w:firstColumn="1" w:firstRow="1" w:lastColumn="0" w:lastRow="0" w:noHBand="0" w:noVBand="1" w:val="04A0"/>
      </w:tblPr>
      <w:tblGrid>
        <w:gridCol w:w="1512"/>
        <w:gridCol w:w="8496"/>
      </w:tblGrid>
      <w:tr>
        <w:trPr>
          <w:cantSplit/>
        </w:trPr>
        <w:tc>
          <w:tcPr>
            <w:tcW w:type="dxa" w:w="1512"/>
            <w:tcMar>
              <w:top w:w="80" w:type="dxa"/>
              <w:start w:w="100" w:type="dxa"/>
              <w:bottom w:w="80" w:type="dxa"/>
              <w:end w:w="100" w:type="dxa"/>
            </w:tcMar>
            <w:vAlign w:val="center"/>
            <w:shd w:fill="17365D"/>
          </w:tcPr>
          <w:p>
            <w:r>
              <w:rPr>
                <w:b/>
                <w:color w:val="FFFFFF"/>
                <w:sz w:val="16"/>
              </w:rPr>
              <w:t>TO</w:t>
            </w:r>
          </w:p>
        </w:tc>
        <w:tc>
          <w:tcPr>
            <w:tcW w:type="dxa" w:w="8496"/>
            <w:tcMar>
              <w:top w:w="80" w:type="dxa"/>
              <w:start w:w="100" w:type="dxa"/>
              <w:bottom w:w="80" w:type="dxa"/>
              <w:end w:w="100" w:type="dxa"/>
            </w:tcMar>
            <w:vAlign w:val="center"/>
            <w:shd w:fill="F4F6F8"/>
          </w:tcPr>
          <w:p>
            <w:r>
              <w:rPr>
                <w:sz w:val="17"/>
              </w:rPr>
              <w:t>Whitmore Litigation Team — Caldwell &amp; Pryce LLP</w:t>
            </w:r>
          </w:p>
        </w:tc>
      </w:tr>
      <w:tr>
        <w:trPr>
          <w:cantSplit/>
        </w:trPr>
        <w:tc>
          <w:tcPr>
            <w:tcW w:type="dxa" w:w="1512"/>
            <w:tcMar>
              <w:top w:w="80" w:type="dxa"/>
              <w:start w:w="100" w:type="dxa"/>
              <w:bottom w:w="80" w:type="dxa"/>
              <w:end w:w="100" w:type="dxa"/>
            </w:tcMar>
            <w:vAlign w:val="center"/>
            <w:shd w:fill="17365D"/>
          </w:tcPr>
          <w:p>
            <w:r>
              <w:rPr>
                <w:b/>
                <w:color w:val="FFFFFF"/>
                <w:sz w:val="16"/>
              </w:rPr>
              <w:t>FROM</w:t>
            </w:r>
          </w:p>
        </w:tc>
        <w:tc>
          <w:tcPr>
            <w:tcW w:type="dxa" w:w="8496"/>
            <w:tcMar>
              <w:top w:w="80" w:type="dxa"/>
              <w:start w:w="100" w:type="dxa"/>
              <w:bottom w:w="80" w:type="dxa"/>
              <w:end w:w="100" w:type="dxa"/>
            </w:tcMar>
            <w:vAlign w:val="center"/>
            <w:shd w:fill="F4F6F8"/>
          </w:tcPr>
          <w:p>
            <w:r>
              <w:rPr>
                <w:sz w:val="17"/>
              </w:rPr>
              <w:t>Internal litigation team</w:t>
            </w:r>
          </w:p>
        </w:tc>
      </w:tr>
      <w:tr>
        <w:trPr>
          <w:cantSplit/>
        </w:trPr>
        <w:tc>
          <w:tcPr>
            <w:tcW w:type="dxa" w:w="1512"/>
            <w:tcMar>
              <w:top w:w="80" w:type="dxa"/>
              <w:start w:w="100" w:type="dxa"/>
              <w:bottom w:w="80" w:type="dxa"/>
              <w:end w:w="100" w:type="dxa"/>
            </w:tcMar>
            <w:vAlign w:val="center"/>
            <w:shd w:fill="17365D"/>
          </w:tcPr>
          <w:p>
            <w:r>
              <w:rPr>
                <w:b/>
                <w:color w:val="FFFFFF"/>
                <w:sz w:val="16"/>
              </w:rPr>
              <w:t>DATE</w:t>
            </w:r>
          </w:p>
        </w:tc>
        <w:tc>
          <w:tcPr>
            <w:tcW w:type="dxa" w:w="8496"/>
            <w:tcMar>
              <w:top w:w="80" w:type="dxa"/>
              <w:start w:w="100" w:type="dxa"/>
              <w:bottom w:w="80" w:type="dxa"/>
              <w:end w:w="100" w:type="dxa"/>
            </w:tcMar>
            <w:vAlign w:val="center"/>
            <w:shd w:fill="F4F6F8"/>
          </w:tcPr>
          <w:p>
            <w:r>
              <w:rPr>
                <w:sz w:val="17"/>
              </w:rPr>
              <w:t>Prepared for responses to discovery served February 3, 2025</w:t>
            </w:r>
          </w:p>
        </w:tc>
      </w:tr>
      <w:tr>
        <w:trPr>
          <w:cantSplit/>
        </w:trPr>
        <w:tc>
          <w:tcPr>
            <w:tcW w:type="dxa" w:w="1512"/>
            <w:tcMar>
              <w:top w:w="80" w:type="dxa"/>
              <w:start w:w="100" w:type="dxa"/>
              <w:bottom w:w="80" w:type="dxa"/>
              <w:end w:w="100" w:type="dxa"/>
            </w:tcMar>
            <w:vAlign w:val="center"/>
            <w:shd w:fill="17365D"/>
          </w:tcPr>
          <w:p>
            <w:r>
              <w:rPr>
                <w:b/>
                <w:color w:val="FFFFFF"/>
                <w:sz w:val="16"/>
              </w:rPr>
              <w:t>RE</w:t>
            </w:r>
          </w:p>
        </w:tc>
        <w:tc>
          <w:tcPr>
            <w:tcW w:type="dxa" w:w="8496"/>
            <w:tcMar>
              <w:top w:w="80" w:type="dxa"/>
              <w:start w:w="100" w:type="dxa"/>
              <w:bottom w:w="80" w:type="dxa"/>
              <w:end w:w="100" w:type="dxa"/>
            </w:tcMar>
            <w:vAlign w:val="center"/>
            <w:shd w:fill="F4F6F8"/>
          </w:tcPr>
          <w:p>
            <w:r>
              <w:rPr>
                <w:sz w:val="17"/>
              </w:rPr>
              <w:t>Plaintiff’s First Set of Interrogatories (Nos. 1–30), Case No. 24-cv-08341-LTS (S.D.N.Y.)</w:t>
            </w:r>
          </w:p>
        </w:tc>
      </w:tr>
    </w:tbl>
    <w:p>
      <w:pPr>
        <w:spacing w:before="180" w:after="160"/>
      </w:pPr>
      <w:r>
        <w:rPr>
          <w:b/>
          <w:color w:val="7F1D1D"/>
        </w:rPr>
        <w:t xml:space="preserve">PURPOSE / LIMITATION. </w:t>
      </w:r>
      <w:r>
        <w:t>This is an internal strategy memorandum—not verified interrogatory answers and not a substitute for document review. It identifies tailored objections, partial-answer positions, privilege boundaries, and factual checks for counsel. Do not serve or disclose this memorandum or its contents to an opposing party, witness, or non-team recipient. Any proposed response must be grounded in Whitmore’s records, signed by counsel as required, and verified under oath by an authorized corporate representative.</w:t>
      </w:r>
    </w:p>
    <w:p>
      <w:pPr>
        <w:pStyle w:val="Heading1"/>
      </w:pPr>
      <w:r>
        <w:t>I. Immediate response issues and global positions</w:t>
      </w:r>
    </w:p>
    <w:p>
      <w:pPr>
        <w:keepLines/>
      </w:pPr>
      <w:r>
        <w:rPr>
          <w:b/>
          <w:color w:val="1F4E79"/>
        </w:rPr>
        <w:t xml:space="preserve">Response deadline. </w:t>
      </w:r>
      <w:r>
        <w:t>The set was served February 3, 2025. Under Rule 33(b)(2) and Case Management Order (“CMO”) ¶ 5, responses and specific objections are due March 5, 2025 absent stipulation or court-ordered extension; the CMO sets August 15, 2025 as the fact-discovery cutoff. Untimely objections risk waiver under Rule 33(b)(4). Each answer should be separate and complete to the extent not objected to; an officer or agent must verify the answers under Rule 33(b)(3), (5).</w:t>
      </w:r>
    </w:p>
    <w:p>
      <w:pPr>
        <w:keepLines/>
      </w:pPr>
      <w:r>
        <w:rPr>
          <w:b/>
          <w:color w:val="1F4E79"/>
        </w:rPr>
        <w:t xml:space="preserve">Numerical limit. </w:t>
      </w:r>
      <w:r>
        <w:t>The CMO permits no more than 25 interrogatories, including discrete subparts, absent stipulation or leave. Plaintiff numbered 30. Object specifically to Nos. 26–30 as exceeding the limit; also assess whether compound subparts in Nos. 1–25 independently consume multiple interrogatories (especially Nos. 2, 5, 9, 10, 12, 15, 17, 20, 21, and 24). Meet and confer promptly to obtain withdrawal/designation of 25 or a stipulation/leave. Do not silently omit answers or assume a reservation cures a numerical-limit objection. Counsel should decide whether to answer excess requests subject to objection or seek protective relief before the deadline.</w:t>
      </w:r>
    </w:p>
    <w:p>
      <w:pPr>
        <w:keepLines/>
      </w:pPr>
      <w:r>
        <w:rPr>
          <w:b/>
          <w:color w:val="1F4E79"/>
        </w:rPr>
        <w:t xml:space="preserve">Contention timing. </w:t>
      </w:r>
      <w:r>
        <w:t>Nos. 11, 18, 25, and 26 seek contentions, legal positions, or “each and every fact.” CMO ¶ 9 permits the Court, on motion, to defer contention interrogatories until designated discovery is complete; it does not automatically suspend the response deadline. Provide a focused answer based on presently known nonprivileged facts, seek stipulation or court deferral where appropriate, and supplement under Rule 26(e). Expert-related No. 20 is also governed by CMO ¶ 13 and Rule 26(b)(4).</w:t>
      </w:r>
    </w:p>
    <w:p>
      <w:pPr>
        <w:keepLines/>
      </w:pPr>
      <w:r>
        <w:rPr>
          <w:b/>
          <w:color w:val="1F4E79"/>
        </w:rPr>
        <w:t xml:space="preserve">Standing arbitration reservation. </w:t>
      </w:r>
      <w:r>
        <w:t>Consistent with the existing defense strategy, include the following in the response preamble and refer to it in Nos. 25–26:</w:t>
      </w:r>
    </w:p>
    <w:p>
      <w:pPr>
        <w:spacing w:after="140"/>
        <w:ind w:left="403" w:right="403"/>
      </w:pPr>
      <w:r>
        <w:rPr>
          <w:i/>
          <w:sz w:val="18"/>
        </w:rPr>
        <w:t>“Whitmore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9 U.S.C. §§ 1–16. This reservation applies to all responses, objections, and productions made herein.”</w:t>
      </w:r>
    </w:p>
    <w:p>
      <w:pPr>
        <w:keepLines/>
      </w:pPr>
      <w:r>
        <w:rPr>
          <w:b/>
          <w:color w:val="1F4E79"/>
        </w:rPr>
        <w:t xml:space="preserve">Important qualification. </w:t>
      </w:r>
      <w:r>
        <w:t>A reservation is not a safe harbor from waiver; counsel should assess promptly whether and when to move to compel arbitration. Route Nos. 25–26, and any response touching Section 9.1, to lead counsel before service. The CMO ¶ 17 preserves contractual dispute-resolution mechanisms but does not decide enforceability or waiver.</w:t>
      </w:r>
    </w:p>
    <w:p>
      <w:pPr>
        <w:keepLines/>
      </w:pPr>
      <w:r>
        <w:rPr>
          <w:b/>
          <w:color w:val="1F4E79"/>
        </w:rPr>
        <w:t xml:space="preserve">Privilege / work product. </w:t>
      </w:r>
      <w:r>
        <w:t>Do not invoke privilege as a blanket bar to facts or business records. Separate the June–August 2022 ordinary-course business review from the investigation directed by litigation counsel beginning in September 2022. Respond to nonprivileged facts from the business review after review; withhold attorney-client communications, counsel-directed interviews, legal advice, and protected work product as applicable. Log withheld documents/ESI under Rule 26(b)(5); the interrogatories’ broader log instruction does not convert discoverable facts into privileged material.</w:t>
      </w:r>
    </w:p>
    <w:p>
      <w:pPr>
        <w:keepLines/>
      </w:pPr>
      <w:r>
        <w:rPr>
          <w:b/>
          <w:color w:val="1F4E79"/>
        </w:rPr>
        <w:t xml:space="preserve">Other clients / confidentiality. </w:t>
      </w:r>
      <w:r>
        <w:t>FASA § 11.2 expressly protects other clients’ identities and client-specific information and requires notice and an opportunity to assert rights before compelled disclosure. Confidentiality alone is not an evidentiary privilege or an automatic discovery bar. For Nos. 2, 12, 15, and 24, seek narrowing, anonymization/aggregation, client notice, and an appropriate protective order; do not disclose identifiable client data absent consent or court direction.</w:t>
      </w:r>
    </w:p>
    <w:p>
      <w:pPr>
        <w:keepLines/>
      </w:pPr>
      <w:r>
        <w:rPr>
          <w:b/>
          <w:color w:val="1F4E79"/>
        </w:rPr>
        <w:t xml:space="preserve">General definitions / instructions. </w:t>
      </w:r>
      <w:r>
        <w:t>Object to “Relevant Period” (2009–present), “You” insofar as it sweeps in attorneys, unaffiliated affiliates, and persons outside Whitmore’s possession, custody, or control, and “Identify” insofar as it demands personal contact information unnecessary to the dispute. Treat “telepathic impressions” and “subliminal messaging” in the definition of “Communication” as outside any reasonable, relevant construction. The instruction to restate each interrogatory is not required by Rule 33; it may be followed for clarity without conceding the instruction. Use Rule 33(d) only where the answer can be derived from specified business records and the burden is substantially the same for both sides; identify the records with enough detail to locate the answer, preferably by Bates range after production.</w:t>
      </w:r>
    </w:p>
    <w:p>
      <w:pPr>
        <w:pStyle w:val="Heading1"/>
      </w:pPr>
      <w:r>
        <w:t>II. Contract provisions and factual guardrails</w:t>
      </w:r>
    </w:p>
    <w:p>
      <w:pPr>
        <w:pStyle w:val="ListBullet"/>
        <w:spacing w:after="60"/>
      </w:pPr>
      <w:r>
        <w:t>Valuation allocation: FASA §§ 2.2(b)–(d) directs Whitmore to incorporate valuation inputs provided by the General Partner, says Whitmore need not independently verify or audit the valuations, and requires reasonable-care consistency checks, mathematical verification, reconciliation, and prompt communication of questions/apparent discrepancies. Do not describe Whitmore as the independent valuation decision-maker unless contemporaneous records support that characterization.</w:t>
      </w:r>
    </w:p>
    <w:p>
      <w:pPr>
        <w:pStyle w:val="ListBullet"/>
        <w:spacing w:after="60"/>
      </w:pPr>
      <w:r>
        <w:t>Reporting/error correction: § 5.2 requires quarterly NAV reports within 45 calendar days after quarter-end. § 5.5 requires written notice within five business days after discovery of a material error and a corrected report within 15 business days after notification. Verify actual discovery, notice, correction, and delivery dates from source records.</w:t>
      </w:r>
    </w:p>
    <w:p>
      <w:pPr>
        <w:pStyle w:val="ListBullet"/>
        <w:spacing w:after="60"/>
      </w:pPr>
      <w:r>
        <w:t>Technology costs: § 4.7(b) permits documented third-party technology/data vendor costs incurred specifically for the Client; shared services must be allocated reasonably and equitably, with the methodology and Trident’s portion disclosed. It contains no $10,000 prior-written-approval threshold. Advance approval appears in § 4.7(a) for other out-of-pocket costs. Reconcile the vendor contracts/invoices and allocation records against the allegation that “WhitmoreConnect” was proprietary and shared before asserting the factual basis for the $47,500 quarterly charge.</w:t>
      </w:r>
    </w:p>
    <w:p>
      <w:pPr>
        <w:pStyle w:val="ListBullet"/>
        <w:spacing w:after="60"/>
      </w:pPr>
      <w:r>
        <w:t>Liability cap: § 8.3 uses fees actually paid in the 12 months before the first event giving rise to liability, not simply an annualized fee. § 8.4 expressly excludes fraud, willful misconduct, gross negligence, and confidentiality breaches from the Article VIII limitations. Verify the trigger date, payment ledger, adjustments, and pleaded allegations before stating $496,000 as a definitive cap.</w:t>
      </w:r>
    </w:p>
    <w:p>
      <w:pPr>
        <w:pStyle w:val="ListBullet"/>
        <w:spacing w:after="60"/>
      </w:pPr>
      <w:r>
        <w:t>Arbitration: actual § 9.1 covers disputes arising out of or relating to the Agreement, its breach, termination, or validity, including scope/applicability disputes; it specifies JAMS, Hartford, and New York substantive law. Use the executed FASA text. Do not import language from summaries (including any supposed arbitrator subject-matter expertise requirement) that is not in the agreement.</w:t>
      </w:r>
    </w:p>
    <w:p>
      <w:pPr>
        <w:pStyle w:val="ListBullet"/>
        <w:spacing w:after="60"/>
      </w:pPr>
      <w:r>
        <w:t>Committee / approval theories: distinguish any Whitmore internal review committee from Trident’s General Partner/Fund valuation committee. The FASA refers to values provided or approved by the General Partner or Fund-designated valuation committee; it does not itself establish that Trident approved each report or that an internal Whitmore committee met. Verify minutes, workflow, and sign-offs before repeating allegations or defenses about committee approval.</w:t>
      </w:r>
    </w:p>
    <w:p>
      <w:pPr>
        <w:pStyle w:val="Heading1"/>
      </w:pPr>
      <w:r>
        <w:t>III. Interrogatory-by-interrogatory strategy</w:t>
      </w:r>
    </w:p>
    <w:p>
      <w:pPr>
        <w:pStyle w:val="Heading2"/>
      </w:pPr>
      <w:r>
        <w:t>1 — Entity and current leadership</w:t>
      </w:r>
    </w:p>
    <w:p>
      <w:pPr>
        <w:keepLines/>
      </w:pPr>
      <w:r>
        <w:rPr>
          <w:b/>
          <w:color w:val="1F4E79"/>
        </w:rPr>
        <w:t xml:space="preserve">Objection / response position. </w:t>
      </w:r>
      <w:r>
        <w:t>Mostly answerable; resist only unsupported or overbroad details. State Whitmore’s full legal name, Connecticut formation, organization in 2009, and principal business address (280 Asylum Street, Suite 1400, Hartford, CT 06103). The supplied record does not give the exact formation date or a complete current officer/director roster or appointment dates. Verify corporate records and answer those parts accurately; if the LLC has no directors, say so after confirmation. Identify known current officers (Malcolm Whitmore, CEO; Denise Huang, COO) and use business addresses. Do not guess.</w:t>
      </w:r>
    </w:p>
    <w:p>
      <w:pPr>
        <w:keepLines/>
      </w:pPr>
      <w:r>
        <w:rPr>
          <w:b/>
          <w:color w:val="1F4E79"/>
        </w:rPr>
        <w:t xml:space="preserve">Execution / verification. </w:t>
      </w:r>
      <w:r>
        <w:t>No need for boilerplate relevance objection. If “all current officers and directors” reaches non-operational or sensitive personal details, narrow to current leadership relevant to Whitmore’s business and the Trident account.</w:t>
      </w:r>
    </w:p>
    <w:p>
      <w:pPr>
        <w:pStyle w:val="Heading2"/>
      </w:pPr>
      <w:r>
        <w:t>2 — All services / clients / annual aggregate AUA since 2009</w:t>
      </w:r>
    </w:p>
    <w:p>
      <w:pPr>
        <w:keepLines/>
      </w:pPr>
      <w:r>
        <w:rPr>
          <w:b/>
          <w:color w:val="1F4E79"/>
        </w:rPr>
        <w:t xml:space="preserve">Objection / response position. </w:t>
      </w:r>
      <w:r>
        <w:t>Object to the 16-year sweep and client-level breadth as disproportionate and implicating nonparty confidentiality. The complaint alleges systemic practices; general service descriptions and aggregate firm size may have some relevance, so avoid a categorical “irrelevant” position. Offer a non-identifying description of services and, if reasonably available without client-level reconstruction, annual aggregate client counts/AUA for a narrowed period (preferably 2018–present or the valuation years). The record already states approximately 40 clients and $8.2 billion AUA currently; historical annual totals are not supplied and must be verified.</w:t>
      </w:r>
    </w:p>
    <w:p>
      <w:pPr>
        <w:keepLines/>
      </w:pPr>
      <w:r>
        <w:rPr>
          <w:b/>
          <w:color w:val="1F4E79"/>
        </w:rPr>
        <w:t xml:space="preserve">Execution / verification. </w:t>
      </w:r>
      <w:r>
        <w:t>Do not identify other clients or disclose their portfolios/NAVs. If no historical aggregate is maintained, explain the reasonable inquiry and what aggregate figures are available; seek narrowing/protective relief.</w:t>
      </w:r>
    </w:p>
    <w:p>
      <w:pPr>
        <w:pStyle w:val="Heading2"/>
      </w:pPr>
      <w:r>
        <w:t>3 — Personnel who worked on Trident account</w:t>
      </w:r>
    </w:p>
    <w:p>
      <w:pPr>
        <w:keepLines/>
      </w:pPr>
      <w:r>
        <w:rPr>
          <w:b/>
          <w:color w:val="1F4E79"/>
        </w:rPr>
        <w:t xml:space="preserve">Objection / response position. </w:t>
      </w:r>
      <w:r>
        <w:t>Answer the account-specific core. Identify persons shown by account staffing, time, email, and transition records, with job title, dates, and account role. Known central personnel include Peter Roszak (Head of Fund Accounting/lead accountant through departure about Aug. 15, 2022), Lisa Tramonte (Senior Fund Accountant, account transition/current lead), Denise Huang (COO/oversight), and Malcolm Whitmore (CEO/oversight); verify all other staff. Object to the interrogatory’s incorporation of the “Identify” definition insofar as it demands home addresses/personal contact data; business contact information suffices. Exclude counsel/consultants retained for litigation unless they independently performed account work and disclosure is not protected.</w:t>
      </w:r>
    </w:p>
    <w:p>
      <w:pPr>
        <w:keepLines/>
      </w:pPr>
      <w:r>
        <w:rPr>
          <w:b/>
          <w:color w:val="1F4E79"/>
        </w:rPr>
        <w:t xml:space="preserve">Execution / verification. </w:t>
      </w:r>
      <w:r>
        <w:t>Use a verified roster, not just names appearing in pleadings. Supplement if collection identifies additional account personnel.</w:t>
      </w:r>
    </w:p>
    <w:p>
      <w:pPr>
        <w:pStyle w:val="Heading2"/>
      </w:pPr>
      <w:r>
        <w:t>4 — Persons with knowledge of complaint allegations</w:t>
      </w:r>
    </w:p>
    <w:p>
      <w:pPr>
        <w:keepLines/>
      </w:pPr>
      <w:r>
        <w:rPr>
          <w:b/>
          <w:color w:val="1F4E79"/>
        </w:rPr>
        <w:t xml:space="preserve">Objection / response position. </w:t>
      </w:r>
      <w:r>
        <w:t>Provide a reasonable, nonprivileged witness list and subjects—not every person who might know any tangential fact. Include, as supported, Whitmore account personnel (Roszak, Tramonte, Huang, Malcolm Whitmore), the GP contacts (Anand and Bowen), and auditor Charlotte Pendleton for audit-related matters. Identify any additional direct witnesses from records. Object to “all persons” as unlimited and to identifying counsel, counsel’s investigators, or protected expert/consultant witnesses. Describe subject areas and relationships; do not include personal addresses absent a demonstrated need.</w:t>
      </w:r>
    </w:p>
    <w:p>
      <w:pPr>
        <w:keepLines/>
      </w:pPr>
      <w:r>
        <w:rPr>
          <w:b/>
          <w:color w:val="1F4E79"/>
        </w:rPr>
        <w:t xml:space="preserve">Execution / verification. </w:t>
      </w:r>
      <w:r>
        <w:t>Use the initial disclosures and answer as a starting point, but independently verify roles and knowledge. A witness list is not an admission that a person’s testimony supports either side.</w:t>
      </w:r>
    </w:p>
    <w:p>
      <w:pPr>
        <w:pStyle w:val="Heading2"/>
      </w:pPr>
      <w:r>
        <w:t>5 — Firmwide valuation/NAV/error policies since 2009</w:t>
      </w:r>
    </w:p>
    <w:p>
      <w:pPr>
        <w:keepLines/>
      </w:pPr>
      <w:r>
        <w:rPr>
          <w:b/>
          <w:color w:val="1F4E79"/>
        </w:rPr>
        <w:t xml:space="preserve">Objection / response position. </w:t>
      </w:r>
      <w:r>
        <w:t>Answer general policies and procedures applied to the Trident account; object to 2009–present and any demand for client-specific confidential procedures/data unrelated to the claims. A narrowed account should cover the FASA term and especially 2020–2022: valuation inputs, NAV preparation/review, discrepancy escalation, and error correction. Identify policy titles/effective dates and describe operative steps with reasonable specificity; do not manufacture a historical policy narrative from current practice.</w:t>
      </w:r>
    </w:p>
    <w:p>
      <w:pPr>
        <w:keepLines/>
      </w:pPr>
      <w:r>
        <w:rPr>
          <w:b/>
          <w:color w:val="1F4E79"/>
        </w:rPr>
        <w:t xml:space="preserve">Execution / verification. </w:t>
      </w:r>
      <w:r>
        <w:t>Collect every version of manuals, workflow/checklists, and policy-change records. Keep generalized process material separate from other clients’ records.</w:t>
      </w:r>
    </w:p>
    <w:p>
      <w:pPr>
        <w:pStyle w:val="Heading2"/>
      </w:pPr>
      <w:r>
        <w:t>6 — Q3 2021 NAV preparation chronology</w:t>
      </w:r>
    </w:p>
    <w:p>
      <w:pPr>
        <w:keepLines/>
      </w:pPr>
      <w:r>
        <w:rPr>
          <w:b/>
          <w:color w:val="1F4E79"/>
        </w:rPr>
        <w:t xml:space="preserve">Objection / response position. </w:t>
      </w:r>
      <w:r>
        <w:t>Answer the Q3 2021 process, persons, sources, and communications with Trident’s GP concerning the three named investments. This is central and should not be met with a blanket objection. State the actual sequence from workpapers, emails, report drafts, and transmittal records; explain that under FASA § 2.2, Whitmore incorporated GP/committee-provided or approved valuations and performed the contractually specified checks, rather than independently valuing each investment. Do not adopt Trident’s alleged “fair values” as Whitmore’s.</w:t>
      </w:r>
    </w:p>
    <w:p>
      <w:pPr>
        <w:keepLines/>
      </w:pPr>
      <w:r>
        <w:rPr>
          <w:b/>
          <w:color w:val="1F4E79"/>
        </w:rPr>
        <w:t xml:space="preserve">Execution / verification. </w:t>
      </w:r>
      <w:r>
        <w:t>Use Rule 33(d) for specifically identified, produced source records only if the records reveal the chronology as readily to Plaintiff as to Whitmore. Confirm which individual is the GP valuation contact and the actual Q3 2021 report delivery date.</w:t>
      </w:r>
    </w:p>
    <w:p>
      <w:pPr>
        <w:pStyle w:val="Heading2"/>
      </w:pPr>
      <w:r>
        <w:t>7 — Investigation of NAV discrepancies / advice received</w:t>
      </w:r>
    </w:p>
    <w:p>
      <w:pPr>
        <w:keepLines/>
      </w:pPr>
      <w:r>
        <w:rPr>
          <w:b/>
          <w:color w:val="1F4E79"/>
        </w:rPr>
        <w:t xml:space="preserve">Objection / response position. </w:t>
      </w:r>
      <w:r>
        <w:t>Object to the unlimited phrase “all steps,” and specifically to legal advice, attorney-client communications, and counsel-directed work product. Provide a factual response for the ordinary-course business review conducted before counsel’s September 2022 engagement (including participants, dates, nonprivileged steps, and business records) after document-by-document review. Do not reveal legal advice, counsel’s mental impressions, the substance of counsel-directed interviews, or protected consultant analysis. “Advice received” should be limited to nonprivileged operational advice; legal advice is withheld.</w:t>
      </w:r>
    </w:p>
    <w:p>
      <w:pPr>
        <w:keepLines/>
      </w:pPr>
      <w:r>
        <w:rPr>
          <w:b/>
          <w:color w:val="1F4E79"/>
        </w:rPr>
        <w:t xml:space="preserve">Execution / verification. </w:t>
      </w:r>
      <w:r>
        <w:t>Privilege boundary is critical: preserve and review the June–August 2022 business review separately from counsel-directed work beginning September 2022. Log withheld documents/ESI, not facts that are independently known.</w:t>
      </w:r>
    </w:p>
    <w:p>
      <w:pPr>
        <w:pStyle w:val="Heading2"/>
      </w:pPr>
      <w:r>
        <w:t>8 — MedStream communications/documents, 2020–2022</w:t>
      </w:r>
    </w:p>
    <w:p>
      <w:pPr>
        <w:keepLines/>
      </w:pPr>
      <w:r>
        <w:rPr>
          <w:b/>
          <w:color w:val="1F4E79"/>
        </w:rPr>
        <w:t xml:space="preserve">Objection / response position. </w:t>
      </w:r>
      <w:r>
        <w:t>Object to this interrogatory as an “all documents” catalog duplicating Rule 34 production and as overbroad if it reaches unrelated corporate material; answer the substantive request by summarizing relevant communication categories and identifying responsive Trident-account records. Use Rule 33(d) for emails, valuation workpapers, committee materials, and reports only with specific Bates/custodian/date references and substantially equal burden. Preserve privilege objections for counsel communications and work product.</w:t>
      </w:r>
    </w:p>
    <w:p>
      <w:pPr>
        <w:keepLines/>
      </w:pPr>
      <w:r>
        <w:rPr>
          <w:b/>
          <w:color w:val="1F4E79"/>
        </w:rPr>
        <w:t xml:space="preserve">Execution / verification. </w:t>
      </w:r>
      <w:r>
        <w:t>MedStream is directly at issue, so do not object to the company-specific subject. Limit to MedStream valuation/NAV communications in the Trident engagement, not all Whitmore business or unrelated clients.</w:t>
      </w:r>
    </w:p>
    <w:p>
      <w:pPr>
        <w:pStyle w:val="Heading2"/>
      </w:pPr>
      <w:r>
        <w:t>9 — Firmwide fee structure and Trident quarterly amounts</w:t>
      </w:r>
    </w:p>
    <w:p>
      <w:pPr>
        <w:keepLines/>
      </w:pPr>
      <w:r>
        <w:rPr>
          <w:b/>
          <w:color w:val="1F4E79"/>
        </w:rPr>
        <w:t xml:space="preserve">Objection / response position. </w:t>
      </w:r>
      <w:r>
        <w:t>Answer the Trident contract terms: 0.04% of committed capital; stated annual base fee $248,000 / $62,000 per quarter subject to written adjustment; and pass-through rules under § 4.7. Object to all-client fee arrangements, the historic 2009 start, and other-client data as irrelevant/disproportionate/confidential. For Trident, provide actual invoiced/paid quarterly figures from the ledger/invoices for Q1 2018–Q4 2024, including any partial first quarter, adjustments, and separately listed pass-throughs; Rule 33(d) is appropriate if records are identified clearly.</w:t>
      </w:r>
    </w:p>
    <w:p>
      <w:pPr>
        <w:keepLines/>
      </w:pPr>
      <w:r>
        <w:rPr>
          <w:b/>
          <w:color w:val="1F4E79"/>
        </w:rPr>
        <w:t xml:space="preserve">Execution / verification. </w:t>
      </w:r>
      <w:r>
        <w:t>Do not describe the technology charges as contractually subject to a $10,000 approval threshold: § 4.7(b) has no such threshold. Reconcile billed versus paid totals; do not assume every quarter was exactly $62,000 without ledger review.</w:t>
      </w:r>
    </w:p>
    <w:p>
      <w:pPr>
        <w:pStyle w:val="Heading2"/>
      </w:pPr>
      <w:r>
        <w:t>10 — Values/methodology for three assets over four quarters</w:t>
      </w:r>
    </w:p>
    <w:p>
      <w:pPr>
        <w:keepLines/>
      </w:pPr>
      <w:r>
        <w:rPr>
          <w:b/>
          <w:color w:val="1F4E79"/>
        </w:rPr>
        <w:t xml:space="preserve">Objection / response position. </w:t>
      </w:r>
      <w:r>
        <w:t>Object to the many discrete subparts and “in detail” narrative burden, but answer the core with quarter-by-quarter values reported by Whitmore for each investment and the actual methodology/data inputs recorded. The workpapers and reports should establish whether values were carried forward or revised and what GP-supplied/approved inputs informed each. State the role of § 2.2(b)–(c): ASC 820-directed incorporation of GP inputs, no duty to independently audit valuations, reasonable checks and escalation of apparent discrepancies. Do not concede Trident’s $6.4m/$8.2m/$5.7m fair-value assertions.</w:t>
      </w:r>
    </w:p>
    <w:p>
      <w:pPr>
        <w:keepLines/>
      </w:pPr>
      <w:r>
        <w:rPr>
          <w:b/>
          <w:color w:val="1F4E79"/>
        </w:rPr>
        <w:t xml:space="preserve">Execution / verification. </w:t>
      </w:r>
      <w:r>
        <w:t>Use a table or Rule 33(d) reference to the exact quarter-specific workpapers and report schedules. Keep testifying-expert opinions and counsel-directed consultant analysis out of a fact response.</w:t>
      </w:r>
    </w:p>
    <w:p>
      <w:pPr>
        <w:pStyle w:val="Heading2"/>
      </w:pPr>
      <w:r>
        <w:t>11 — Facts supporting Eighth Defense / $496,000 cap</w:t>
      </w:r>
    </w:p>
    <w:p>
      <w:pPr>
        <w:keepLines/>
      </w:pPr>
      <w:r>
        <w:rPr>
          <w:b/>
          <w:color w:val="1F4E79"/>
        </w:rPr>
        <w:t xml:space="preserve">Objection / response position. </w:t>
      </w:r>
      <w:r>
        <w:t>Contention interrogatory; seek deferral or answer the presently known contractual facts without conceding the legal result. Identify executed FASA § 8.3, relevant fee/payment records, and the January 15, 2023 renewal letter; identify knowledgeable business witnesses (signatories and billing custodian) after verification. The cap is based on fees actually paid in the 12 months before the first event giving rise to liability—not automatically the annual fee. Section 8.4 carves out fraud, willful misconduct, gross negligence, and confidentiality breaches. Do not state the cap definitively equals $496,000 until the trigger date and actual paid-fee ledger are confirmed.</w:t>
      </w:r>
    </w:p>
    <w:p>
      <w:pPr>
        <w:keepLines/>
      </w:pPr>
      <w:r>
        <w:rPr>
          <w:b/>
          <w:color w:val="1F4E79"/>
        </w:rPr>
        <w:t xml:space="preserve">Execution / verification. </w:t>
      </w:r>
      <w:r>
        <w:t>No need to disclose counsel’s legal analysis or privileged negotiation communications. Preserve the pleaded position but expressly reserve the applicability/legal effect for adjudication.</w:t>
      </w:r>
    </w:p>
    <w:p>
      <w:pPr>
        <w:pStyle w:val="Heading2"/>
      </w:pPr>
      <w:r>
        <w:t>12 — Other client identities and individual NAV errors/restatements</w:t>
      </w:r>
    </w:p>
    <w:p>
      <w:pPr>
        <w:keepLines/>
      </w:pPr>
      <w:r>
        <w:rPr>
          <w:b/>
          <w:color w:val="1F4E79"/>
        </w:rPr>
        <w:t xml:space="preserve">Objection / response position. </w:t>
      </w:r>
      <w:r>
        <w:t>Strong objections: client identities, financial data, NAV errors, and remediation details are expressly protected by FASA § 11.2 and implicate nonparty privacy, burden, and proportionality. The complaint’s systemic-practice allegations mean the Court may find some aggregate discovery relevant; do not rely on confidentiality alone. Seek client notice, a protective order, anonymization, a narrowed period, and an aggregate/sample alternative. Do not disclose client-specific information without consent or court direction.</w:t>
      </w:r>
    </w:p>
    <w:p>
      <w:pPr>
        <w:keepLines/>
      </w:pPr>
      <w:r>
        <w:rPr>
          <w:b/>
          <w:color w:val="1F4E79"/>
        </w:rPr>
        <w:t xml:space="preserve">Execution / verification. </w:t>
      </w:r>
      <w:r>
        <w:t>Confirm what centralized error data exists before asserting burden. Distinguish pre-existing aggregated metrics from a request to review 10 years of 39 client files. Any compelled disclosure should be tightly limited and attorneys’-eyes-only if warranted.</w:t>
      </w:r>
    </w:p>
    <w:p>
      <w:pPr>
        <w:pStyle w:val="Heading2"/>
      </w:pPr>
      <w:r>
        <w:t>13 — Valuation review committee and meetings</w:t>
      </w:r>
    </w:p>
    <w:p>
      <w:pPr>
        <w:keepLines/>
      </w:pPr>
      <w:r>
        <w:rPr>
          <w:b/>
          <w:color w:val="1F4E79"/>
        </w:rPr>
        <w:t xml:space="preserve">Objection / response position. </w:t>
      </w:r>
      <w:r>
        <w:t>Answer the existence, function, membership, and cadence of any Whitmore committee insofar as documented, and identify relevant meetings discussing the three investments. Object to all meetings/schedules across every year and to conflation with Trident’s own GP/Fund valuation committee. The FASA identifies GP/Fund-designated approval and does not by itself prove that a Whitmore committee met or approved each mark. Give dates/attendees/substance only from actual minutes, calendars, and workpapers; do not invent meetings or characterize a review as approval without support.</w:t>
      </w:r>
    </w:p>
    <w:p>
      <w:pPr>
        <w:keepLines/>
      </w:pPr>
      <w:r>
        <w:rPr>
          <w:b/>
          <w:color w:val="1F4E79"/>
        </w:rPr>
        <w:t xml:space="preserve">Execution / verification. </w:t>
      </w:r>
      <w:r>
        <w:t>Clarify the separate bodies and the committee’s actual authority. This interrogatory bears on pleaded control/process failures; a focused account should identify the relevant 2020–2022 practices and supplement if later records warrant.</w:t>
      </w:r>
    </w:p>
    <w:p>
      <w:pPr>
        <w:pStyle w:val="Heading2"/>
      </w:pPr>
      <w:r>
        <w:t>14 — Consultations about Jan. 15, 2023 renewal</w:t>
      </w:r>
    </w:p>
    <w:p>
      <w:pPr>
        <w:keepLines/>
      </w:pPr>
      <w:r>
        <w:rPr>
          <w:b/>
          <w:color w:val="1F4E79"/>
        </w:rPr>
        <w:t xml:space="preserve">Objection / response position. </w:t>
      </w:r>
      <w:r>
        <w:t>Answer business consultations and participants relevant to the renewal, including the persons who negotiated/executed it and the nonprivileged substance of business discussions. The letter was signed for Whitmore by Malcolm Whitmore and for Trident by Raj Anand and Cynthia Bowen and expressly reaffirmed existing terms. Object to legal advice, attorney-client communications, and litigation work product concerning renewal; do not reveal counsel’s advice or identify protected consultations solely to expose legal strategy.</w:t>
      </w:r>
    </w:p>
    <w:p>
      <w:pPr>
        <w:keepLines/>
      </w:pPr>
      <w:r>
        <w:rPr>
          <w:b/>
          <w:color w:val="1F4E79"/>
        </w:rPr>
        <w:t xml:space="preserve">Execution / verification. </w:t>
      </w:r>
      <w:r>
        <w:t>Review negotiation emails, drafts, approval records, and execution transmittals. The fact of renewal and business participants is not privileged merely because counsel also advised on the transaction.</w:t>
      </w:r>
    </w:p>
    <w:p>
      <w:pPr>
        <w:pStyle w:val="Heading2"/>
      </w:pPr>
      <w:r>
        <w:t>15 — Annual total Whitmore revenue / Trident revenue / percentage</w:t>
      </w:r>
    </w:p>
    <w:p>
      <w:pPr>
        <w:keepLines/>
      </w:pPr>
      <w:r>
        <w:rPr>
          <w:b/>
          <w:color w:val="1F4E79"/>
        </w:rPr>
        <w:t xml:space="preserve">Objection / response position. </w:t>
      </w:r>
      <w:r>
        <w:t>Object to Whitmore-wide revenue from all sources and annual percentages as not proportional to claims about one client’s fees, commercially sensitive, and burdensome for a 2009–present accounting reconstruction. Offer Trident-specific annual fees actually received, including separately identifiable pass-throughs, from billing/receipt records (or direct Rule 33(d) references). If the Court finds some firmwide information relevant, propose aggregate/redacted figures over a narrowed period under a protective order; do not provide other client identities or client-specific revenues.</w:t>
      </w:r>
    </w:p>
    <w:p>
      <w:pPr>
        <w:keepLines/>
      </w:pPr>
      <w:r>
        <w:rPr>
          <w:b/>
          <w:color w:val="1F4E79"/>
        </w:rPr>
        <w:t xml:space="preserve">Execution / verification. </w:t>
      </w:r>
      <w:r>
        <w:t>“Revenue” and accounting period/basis are undefined; clarify gross/net and recognized/received basis if needed. Do not invent a percentage when total-revenue data have not been verified.</w:t>
      </w:r>
    </w:p>
    <w:p>
      <w:pPr>
        <w:pStyle w:val="Heading2"/>
      </w:pPr>
      <w:r>
        <w:t>16 — Communications with Pendleton &amp; Greer re 2021/2022 audits</w:t>
      </w:r>
    </w:p>
    <w:p>
      <w:pPr>
        <w:keepLines/>
      </w:pPr>
      <w:r>
        <w:rPr>
          <w:b/>
          <w:color w:val="1F4E79"/>
        </w:rPr>
        <w:t xml:space="preserve">Objection / response position. </w:t>
      </w:r>
      <w:r>
        <w:t>Provide nonprivileged audit communications in Whitmore’s possession/control for Fund Years 2021 and 2022, focusing on confirmations, financial statement support, and the three valuations. Narrow “all documents relating to any communication” to communications with the auditor concerning Trident’s audit; identify produced records via Rule 33(d). Do not assert a categorical auditor privilege: communications with an independent auditor are not automatically privileged, and disclosure may waive protection. Withhold only individually reviewed, genuinely privileged/work-product material.</w:t>
      </w:r>
    </w:p>
    <w:p>
      <w:pPr>
        <w:keepLines/>
      </w:pPr>
      <w:r>
        <w:rPr>
          <w:b/>
          <w:color w:val="1F4E79"/>
        </w:rPr>
        <w:t xml:space="preserve">Execution / verification. </w:t>
      </w:r>
      <w:r>
        <w:t>Whitmore need not identify auditor workpapers it does not possess or control. Review what was sent to the auditor and whether any counsel communication or privileged content was shared.</w:t>
      </w:r>
    </w:p>
    <w:p>
      <w:pPr>
        <w:pStyle w:val="Heading2"/>
      </w:pPr>
      <w:r>
        <w:t>17 — Technology platforms/vendors, annual costs, pass-through treatment</w:t>
      </w:r>
    </w:p>
    <w:p>
      <w:pPr>
        <w:keepLines/>
      </w:pPr>
      <w:r>
        <w:rPr>
          <w:b/>
          <w:color w:val="1F4E79"/>
        </w:rPr>
        <w:t xml:space="preserve">Objection / response position. </w:t>
      </w:r>
      <w:r>
        <w:t>Answer account-specific vendors/systems, time used, vendor identity, actual cost or allocated Trident portion, and amounts billed as pass-through, subject to a proportional time limit focused on the FASA term and disputed billing years. Object to unrelated firmwide platform spend and vendor-confidential commercial terms absent a protective order. Use Rule 33(d) for vendor agreements, invoices, and allocation schedules if specifically identified.</w:t>
      </w:r>
    </w:p>
    <w:p>
      <w:pPr>
        <w:keepLines/>
      </w:pPr>
      <w:r>
        <w:rPr>
          <w:b/>
          <w:color w:val="1F4E79"/>
        </w:rPr>
        <w:t xml:space="preserve">Execution / verification. </w:t>
      </w:r>
      <w:r>
        <w:t>First reconcile the complaint’s WhitmoreConnect allegation with the defense position that third-party services supported the account. Establish vendor identity, actual third-party invoice, allocation basis, documentation to Trident, and whether the service was shared. Section 4.7(b) permits reasonable shared-cost allocations; it does not require exclusive use.</w:t>
      </w:r>
    </w:p>
    <w:p>
      <w:pPr>
        <w:pStyle w:val="Heading2"/>
      </w:pPr>
      <w:r>
        <w:t>18 — Facts supporting Tenth Defense (comparative fault)</w:t>
      </w:r>
    </w:p>
    <w:p>
      <w:pPr>
        <w:keepLines/>
      </w:pPr>
      <w:r>
        <w:rPr>
          <w:b/>
          <w:color w:val="1F4E79"/>
        </w:rPr>
        <w:t xml:space="preserve">Objection / response position. </w:t>
      </w:r>
      <w:r>
        <w:t>Contention interrogatory; seek deferral under CMO ¶ 9 or provide a provisional factual contention tied to documents. Potential facts include GP-supplied/approved valuation inputs, access to portfolio-company information, review/sign-off (if proven), and actions or omissions affecting the challenged marks. Identify only verified supporting witnesses and documents. FASA § 2.2 makes GP-provided/approved inputs important, but it does not alone prove actual approval of every quarterly valuation.</w:t>
      </w:r>
    </w:p>
    <w:p>
      <w:pPr>
        <w:keepLines/>
      </w:pPr>
      <w:r>
        <w:rPr>
          <w:b/>
          <w:color w:val="1F4E79"/>
        </w:rPr>
        <w:t xml:space="preserve">Execution / verification. </w:t>
      </w:r>
      <w:r>
        <w:t>Exercise particular care with assertions that a Trident committee chaired by Raj approved each mark or that the auditor “approved” them. An unqualified opinion is not necessarily approval of each valuation. Tie each defense fact to a source; supplement after depositions and document review.</w:t>
      </w:r>
    </w:p>
    <w:p>
      <w:pPr>
        <w:pStyle w:val="Heading2"/>
      </w:pPr>
      <w:r>
        <w:t>19 — Roszak personal identifiers, current job/compensation, departure</w:t>
      </w:r>
    </w:p>
    <w:p>
      <w:pPr>
        <w:keepLines/>
      </w:pPr>
      <w:r>
        <w:rPr>
          <w:b/>
          <w:color w:val="1F4E79"/>
        </w:rPr>
        <w:t xml:space="preserve">Objection / response position. </w:t>
      </w:r>
      <w:r>
        <w:t>Provide known last-known witness contact information reasonably useful for discovery, clearly label it “last known—not confirmed current,” and consider secure counsel-to-counsel disclosure under the protective order. Initial disclosures give the last-known home address as 47 Fernwood Drive, West Hartford, CT 06107; the defense file indicates a last-confirmed personal cell, but verify before sharing. State that Whitmore lacks a current personal email/current address and unconfirmed employer/compensation details. Answer departure from employment records: resignation effective about Aug. 15, 2022, if confirmed. Object to Social Security number and subsequent-employer compensation as irrelevant, highly private, and disproportionate; do not produce absent court order.</w:t>
      </w:r>
    </w:p>
    <w:p>
      <w:pPr>
        <w:keepLines/>
      </w:pPr>
      <w:r>
        <w:rPr>
          <w:b/>
          <w:color w:val="1F4E79"/>
        </w:rPr>
        <w:t xml:space="preserve">Execution / verification. </w:t>
      </w:r>
      <w:r>
        <w:t>Review Roszak’s personnel/offboarding file for any noncompetition, nonsolicitation, or confidentiality agreement and answer accurately. Do not claim he was terminated or retired absent evidence. He is a former employee; Whitmore need not investigate his current personal life.</w:t>
      </w:r>
    </w:p>
    <w:p>
      <w:pPr>
        <w:pStyle w:val="Heading2"/>
      </w:pPr>
      <w:r>
        <w:t>20 — Litigation experts/consultants and methodology</w:t>
      </w:r>
    </w:p>
    <w:p>
      <w:pPr>
        <w:keepLines/>
      </w:pPr>
      <w:r>
        <w:rPr>
          <w:b/>
          <w:color w:val="1F4E79"/>
        </w:rPr>
        <w:t xml:space="preserve">Objection / response position. </w:t>
      </w:r>
      <w:r>
        <w:t>Object as premature and protected under Rules 26(b)(3), 26(b)(4)(B)–(D), and CMO ¶ 13. No testifying expert identity, opinions, or report is due before the affirmative-expert deadline (Sept. 15, 2025); rebuttal is due Oct. 15 and expert depositions by Nov. 14, 2025. Facts/opinions of a non-testifying consultant retained in anticipation of litigation are discoverable only on exceptional circumstances. Do not disclose counsel-directed consultant identity, methodology, findings, or compensation in this early fact response.</w:t>
      </w:r>
    </w:p>
    <w:p>
      <w:pPr>
        <w:keepLines/>
      </w:pPr>
      <w:r>
        <w:rPr>
          <w:b/>
          <w:color w:val="1F4E79"/>
        </w:rPr>
        <w:t xml:space="preserve">Execution / verification. </w:t>
      </w:r>
      <w:r>
        <w:t>If Whitmore later designates a testifying expert, make disclosures on the schedule and within Rule 26(a)(2). Separate any ordinary-course vendor/advisor work from litigation-retained consulting before asserting protection.</w:t>
      </w:r>
    </w:p>
    <w:p>
      <w:pPr>
        <w:pStyle w:val="Heading2"/>
      </w:pPr>
      <w:r>
        <w:t>21 — Process and 45-day delivery dates for Q1 2021–Q4 2022</w:t>
      </w:r>
    </w:p>
    <w:p>
      <w:pPr>
        <w:keepLines/>
      </w:pPr>
      <w:r>
        <w:rPr>
          <w:b/>
          <w:color w:val="1F4E79"/>
        </w:rPr>
        <w:t xml:space="preserve">Objection / response position. </w:t>
      </w:r>
      <w:r>
        <w:t>Answer account-specific process and actual delivery timing, preferably in a compact quarter/date/person/review table or specified Rule 33(d) references. The contractual due dates under § 5.2 are: Q1 2021—May 15, 2021; Q2—Aug. 14, 2021; Q3—Nov. 14, 2021; Q4—Feb. 14, 2022; Q1 2022—May 15, 2022; Q2—Aug. 14, 2022; Q3—Nov. 14, 2022; Q4—Feb. 14, 2023. These are due dates, not proof of actual delivery. Verify each transmittal and any review/sign-off before claiming timeliness.</w:t>
      </w:r>
    </w:p>
    <w:p>
      <w:pPr>
        <w:keepLines/>
      </w:pPr>
      <w:r>
        <w:rPr>
          <w:b/>
          <w:color w:val="1F4E79"/>
        </w:rPr>
        <w:t xml:space="preserve">Execution / verification. </w:t>
      </w:r>
      <w:r>
        <w:t>Object only to “in detail” insofar as it demands duplicative narrative across eight quarters. Directly address whether each report met the contractual deadline; do not equate timely delivery with accurate valuation.</w:t>
      </w:r>
    </w:p>
    <w:p>
      <w:pPr>
        <w:pStyle w:val="Heading2"/>
      </w:pPr>
      <w:r>
        <w:t>22 — All communications re alleged NAV discrepancies, July 2021–present</w:t>
      </w:r>
    </w:p>
    <w:p>
      <w:pPr>
        <w:keepLines/>
      </w:pPr>
      <w:r>
        <w:rPr>
          <w:b/>
          <w:color w:val="1F4E79"/>
        </w:rPr>
        <w:t xml:space="preserve">Objection / response position. </w:t>
      </w:r>
      <w:r>
        <w:t>Identify nonprivileged communications with Trident/GP and other relevant business participants about the discrepancies, with dates, participants, medium, and substance to the extent reasonably ascertainable. Object to an unbounded “all persons/all communications” sweep and to attorney-client advice, counsel-directed work product, litigation communications, and requests for legal advice. Use Rule 33(d) for produced communications with precise references; state no responsive nonprivileged communication only after a documented search.</w:t>
      </w:r>
    </w:p>
    <w:p>
      <w:pPr>
        <w:keepLines/>
      </w:pPr>
      <w:r>
        <w:rPr>
          <w:b/>
          <w:color w:val="1F4E79"/>
        </w:rPr>
        <w:t xml:space="preserve">Execution / verification. </w:t>
      </w:r>
      <w:r>
        <w:t>The ordinary-course June–August 2022 review and later attorney-directed investigation must be separated. Do not include counsel’s advice under the phrase “advice from any source.” Coordinate with lead counsel because this request may touch the arbitration defense and litigation strategy.</w:t>
      </w:r>
    </w:p>
    <w:p>
      <w:pPr>
        <w:pStyle w:val="Heading2"/>
      </w:pPr>
      <w:r>
        <w:t>23 — Quality control/audit/compliance applied to Trident account</w:t>
      </w:r>
    </w:p>
    <w:p>
      <w:pPr>
        <w:keepLines/>
      </w:pPr>
      <w:r>
        <w:rPr>
          <w:b/>
          <w:color w:val="1F4E79"/>
        </w:rPr>
        <w:t xml:space="preserve">Objection / response position. </w:t>
      </w:r>
      <w:r>
        <w:t>Provide a factual description of quality-control procedures actually applied to the Trident account from 2018 onward and whether reviews identified errors, discrepancies, or deficiencies, based on records and knowledgeable custodians. Object to any request for counsel-directed legal review or opinions; distinguish those from ordinary-course controls and the pre-engagement business review. Do not give a categorical “no errors” answer unless supported by a reasonable inquiry and a clear definition of “review” and “error.”</w:t>
      </w:r>
    </w:p>
    <w:p>
      <w:pPr>
        <w:keepLines/>
      </w:pPr>
      <w:r>
        <w:rPr>
          <w:b/>
          <w:color w:val="1F4E79"/>
        </w:rPr>
        <w:t xml:space="preserve">Execution / verification. </w:t>
      </w:r>
      <w:r>
        <w:t>Collect QC checklists, reconciliation records, review sign-offs, error logs, and the account-transition record. Be candid about timing and actual knowledge; privileged communications do not shield independently discoverable underlying facts.</w:t>
      </w:r>
    </w:p>
    <w:p>
      <w:pPr>
        <w:pStyle w:val="Heading2"/>
      </w:pPr>
      <w:r>
        <w:t>24 — Firmwide annual count/value/average correction time for errors</w:t>
      </w:r>
    </w:p>
    <w:p>
      <w:pPr>
        <w:keepLines/>
      </w:pPr>
      <w:r>
        <w:rPr>
          <w:b/>
          <w:color w:val="1F4E79"/>
        </w:rPr>
        <w:t xml:space="preserve">Objection / response position. </w:t>
      </w:r>
      <w:r>
        <w:t>Object to the 2009–present client-wide compilation as burdensome, ambiguous (“error,” “restatement,” “correction”), confidential, and disproportionate. It is somewhat relevant to the pleaded systemic-practice theory, so propose a reasonable alternative: existing, non-identifying aggregate metrics for a narrowed period (e.g., 2018–2024 or 2020–2022), if tracked, with a protective order. Do not disclose client-level errors or create an unverified statistic from 39 separate accounts.</w:t>
      </w:r>
    </w:p>
    <w:p>
      <w:pPr>
        <w:keepLines/>
      </w:pPr>
      <w:r>
        <w:rPr>
          <w:b/>
          <w:color w:val="1F4E79"/>
        </w:rPr>
        <w:t xml:space="preserve">Execution / verification. </w:t>
      </w:r>
      <w:r>
        <w:t>Confirm whether Whitmore maintains an error/restatement log and how it defines/records dates and dollar impact. If data are not maintained in that form, state the inquiry and basis; meet and confer over a sample/aggregate approach.</w:t>
      </w:r>
    </w:p>
    <w:p>
      <w:pPr>
        <w:pStyle w:val="Heading2"/>
      </w:pPr>
      <w:r>
        <w:t>25 — Legal position on validity/scope of § 9.1</w:t>
      </w:r>
    </w:p>
    <w:p>
      <w:pPr>
        <w:keepLines/>
      </w:pPr>
      <w:r>
        <w:rPr>
          <w:b/>
          <w:color w:val="1F4E79"/>
        </w:rPr>
        <w:t xml:space="preserve">Objection / response position. </w:t>
      </w:r>
      <w:r>
        <w:t>Object to the demand for legal analysis and attorney mental impressions and seek deferral as a contention interrogatory; the legal position itself is already stated in the Answer’s Ninth Affirmative Defense. A limited response can state Whitmore contends § 9.1 is valid and enforceable and covers the claims because they arise out of or relate to the FASA, while reserving legal argument and the right to compel arbitration. Cite the executed clause and avoid an extended brief in an interrogatory answer.</w:t>
      </w:r>
    </w:p>
    <w:p>
      <w:pPr>
        <w:keepLines/>
      </w:pPr>
      <w:r>
        <w:rPr>
          <w:b/>
          <w:color w:val="1F4E79"/>
        </w:rPr>
        <w:t xml:space="preserve">Execution / verification. </w:t>
      </w:r>
      <w:r>
        <w:t>Use the actual FASA wording, including its scope/applicability language, Hartford seat, JAMS process, and New York law. Do not say this legal contention is wholly privileged; the public position and contract text are not privileged.</w:t>
      </w:r>
    </w:p>
    <w:p>
      <w:pPr>
        <w:pStyle w:val="Heading2"/>
      </w:pPr>
      <w:r>
        <w:t>26 — Facts for Ninth Defense / arbitration application</w:t>
      </w:r>
    </w:p>
    <w:p>
      <w:pPr>
        <w:keepLines/>
      </w:pPr>
      <w:r>
        <w:rPr>
          <w:b/>
          <w:color w:val="1F4E79"/>
        </w:rPr>
        <w:t xml:space="preserve">Objection / response position. </w:t>
      </w:r>
      <w:r>
        <w:t>Object to “each and every fact” as premature contention discovery and to privileged legal analysis. Provide presently known nonprivileged facts: executed FASA, its broad text, parties/signatories, and the January 15, 2023 letter expressly ratifying § 9.1 during the extension. The Answer already states the defense. Do not assert that counsel represented the parties in the 2018 negotiation unless documentation supports it; the contract’s acknowledgment of an opportunity to consult counsel is not proof of actual consultation.</w:t>
      </w:r>
    </w:p>
    <w:p>
      <w:pPr>
        <w:keepLines/>
      </w:pPr>
      <w:r>
        <w:rPr>
          <w:b/>
          <w:color w:val="1F4E79"/>
        </w:rPr>
        <w:t xml:space="preserve">Execution / verification. </w:t>
      </w:r>
      <w:r>
        <w:t>Coordinate with lead counsel before finalizing; evaluate a stipulation/motion to defer under CMO ¶ 9. Preserve the arbitration reservation, but recognize that a discovery reservation alone does not determine waiver.</w:t>
      </w:r>
    </w:p>
    <w:p>
      <w:pPr>
        <w:pStyle w:val="Heading2"/>
      </w:pPr>
      <w:r>
        <w:t>27 — Communications about $47,500 quarterly charges in 2022</w:t>
      </w:r>
    </w:p>
    <w:p>
      <w:pPr>
        <w:keepLines/>
      </w:pPr>
      <w:r>
        <w:rPr>
          <w:b/>
          <w:color w:val="1F4E79"/>
        </w:rPr>
        <w:t xml:space="preserve">Objection / response position. </w:t>
      </w:r>
      <w:r>
        <w:t>Answer the Trident-specific communications with the GP, Anand, Bowen, and other actual participants about the Q1–Q4 2022 charges. Identify dates, participants, medium, and nonprivileged substance from email, billing, and account records. No strong basis for a blanket objection; narrow only unrelated topics and privilege. Rule 33(d) may be used with precise citations to produced records.</w:t>
      </w:r>
    </w:p>
    <w:p>
      <w:pPr>
        <w:keepLines/>
      </w:pPr>
      <w:r>
        <w:rPr>
          <w:b/>
          <w:color w:val="1F4E79"/>
        </w:rPr>
        <w:t xml:space="preserve">Execution / verification. </w:t>
      </w:r>
      <w:r>
        <w:t>Identify any contemporaneous explanation, objection, payment, or approval accurately. Do not state that a written approval was contractually required under § 4.7(b); verify whether any approval was nevertheless sought or given.</w:t>
      </w:r>
    </w:p>
    <w:p>
      <w:pPr>
        <w:pStyle w:val="Heading2"/>
      </w:pPr>
      <w:r>
        <w:t>28 — Documents/basis for classifying charges as third-party / Trident-specific</w:t>
      </w:r>
    </w:p>
    <w:p>
      <w:pPr>
        <w:keepLines/>
      </w:pPr>
      <w:r>
        <w:rPr>
          <w:b/>
          <w:color w:val="1F4E79"/>
        </w:rPr>
        <w:t xml:space="preserve">Objection / response position. </w:t>
      </w:r>
      <w:r>
        <w:t>Provide the factual basis and identify responsive vendor invoices/contracts, service descriptions, allocation calculations, and communications supporting Whitmore’s position under § 4.7(b). Object to a demand to catalog every document as an interrogatory and use Rule 33(d) with specified produced records. Avoid a purely conclusory assertion that costs were “specifically” for Trident without showing the actual vendor, service, reasonable/equitable allocation, and disclosure to Client.</w:t>
      </w:r>
    </w:p>
    <w:p>
      <w:pPr>
        <w:keepLines/>
      </w:pPr>
      <w:r>
        <w:rPr>
          <w:b/>
          <w:color w:val="1F4E79"/>
        </w:rPr>
        <w:t xml:space="preserve">Execution / verification. </w:t>
      </w:r>
      <w:r>
        <w:t>This is a high-priority factual issue. Reconcile whether charges reflect third-party vendors or WhitmoreConnect, which services were shared, how $47,500 was calculated each quarter, and what documentation was provided. Use a protective order for sensitive vendor pricing, not a blanket privilege claim.</w:t>
      </w:r>
    </w:p>
    <w:p>
      <w:pPr>
        <w:pStyle w:val="Heading2"/>
      </w:pPr>
      <w:r>
        <w:t>29 — Coverage minimum throughout FASA term</w:t>
      </w:r>
    </w:p>
    <w:p>
      <w:pPr>
        <w:keepLines/>
      </w:pPr>
      <w:r>
        <w:rPr>
          <w:b/>
          <w:color w:val="1F4E79"/>
        </w:rPr>
        <w:t xml:space="preserve">Objection / response position. </w:t>
      </w:r>
      <w:r>
        <w:t>Answer after reviewing the full policy/renewal chain, including periods before 2021. The Answer already admits continuous qualifying coverage throughout the term; initial disclosures identify Aldersgate Policy PL-2021-44892 at $10 million/$250,000 retention but do not supply exact full-term dates. Confirm the admission against the complete policy chain and identify each policy period, limit, retention, modification, cancellation/nonrenewal, and notice required by FASA § 13.1. Do not rely on the 2021 policy alone to substantiate earlier years; state any lapse or change plainly and correct the record if needed.</w:t>
      </w:r>
    </w:p>
    <w:p>
      <w:pPr>
        <w:keepLines/>
      </w:pPr>
      <w:r>
        <w:rPr>
          <w:b/>
          <w:color w:val="1F4E79"/>
        </w:rPr>
        <w:t xml:space="preserve">Execution / verification. </w:t>
      </w:r>
      <w:r>
        <w:t>No material relevance objection. Produce declarations, endorsements, certificates, and notices as appropriate under Rule 26(a)(1)(A)(iv) and the interrogatory.</w:t>
      </w:r>
    </w:p>
    <w:p>
      <w:pPr>
        <w:pStyle w:val="Heading2"/>
      </w:pPr>
      <w:r>
        <w:t>30 — Insurance policies and reservation/denial</w:t>
      </w:r>
    </w:p>
    <w:p>
      <w:pPr>
        <w:keepLines/>
      </w:pPr>
      <w:r>
        <w:rPr>
          <w:b/>
          <w:color w:val="1F4E79"/>
        </w:rPr>
        <w:t xml:space="preserve">Objection / response position. </w:t>
      </w:r>
      <w:r>
        <w:t>Answer fully and consistently with Rule 26(a)(1)(A)(iv): identify each policy that may cover the claims, insurer, number, period, limits, retention/deductible, and any reservation or denial. The known policy is Aldersgate Mutual, PL-2021-44892, $10 million limits and $250,000 SIR; the file identifies an October 28, 2024 reservation-of-rights letter and no denial. Confirm all policy years/endorsements and produce the letter. The reservation letter is not categorically privileged; review any separate coverage/defense communications individually.</w:t>
      </w:r>
    </w:p>
    <w:p>
      <w:pPr>
        <w:keepLines/>
      </w:pPr>
      <w:r>
        <w:rPr>
          <w:b/>
          <w:color w:val="1F4E79"/>
        </w:rPr>
        <w:t xml:space="preserve">Execution / verification. </w:t>
      </w:r>
      <w:r>
        <w:t>Insurance terms may be handled under a protective order, but do not withhold the agreement or reservation letter on a blanket confidentiality or privilege objection.</w:t>
      </w:r>
    </w:p>
    <w:p>
      <w:pPr>
        <w:pStyle w:val="Heading1"/>
      </w:pPr>
      <w:r>
        <w:t>IV. Recommended preparation and service checklist</w:t>
      </w:r>
    </w:p>
    <w:p>
      <w:pPr>
        <w:pStyle w:val="ListBullet"/>
        <w:spacing w:after="60"/>
      </w:pPr>
      <w:r>
        <w:t>Complete the first-25 / discrete-subpart count analysis and meet and confer immediately; memorialize any stipulation or seek court relief before March 5, 2025.</w:t>
      </w:r>
    </w:p>
    <w:p>
      <w:pPr>
        <w:pStyle w:val="ListBullet"/>
        <w:spacing w:after="60"/>
      </w:pPr>
      <w:r>
        <w:t>Issue a response-specific collection checklist to accounting, HR, IT, insurance, and contract/billing custodians. Preserve Roszak’s archived email and account files; verify each custodian search and data source.</w:t>
      </w:r>
    </w:p>
    <w:p>
      <w:pPr>
        <w:pStyle w:val="ListBullet"/>
        <w:spacing w:after="60"/>
      </w:pPr>
      <w:r>
        <w:t>Review and map each quarterly NAV report/workpaper and transmittal for Q1 2021–Q4 2022; separately establish the Q3 2021 timeline and all actual delivery dates. Identify GP inputs, review comments, sign-offs, and any documented escalation.</w:t>
      </w:r>
    </w:p>
    <w:p>
      <w:pPr>
        <w:pStyle w:val="ListBullet"/>
        <w:spacing w:after="60"/>
      </w:pPr>
      <w:r>
        <w:t>Isolate ordinary-course business review materials from counsel-directed investigation material. Counsel should make document-specific privilege/work-product determinations and prepare a Rule 26(b)(5) log where required.</w:t>
      </w:r>
    </w:p>
    <w:p>
      <w:pPr>
        <w:pStyle w:val="ListBullet"/>
        <w:spacing w:after="60"/>
      </w:pPr>
      <w:r>
        <w:t>For fee discovery, reconcile every Trident invoice/payment and the $47,500 quarterly technology charge to underlying vendor invoices and the allocation method required by § 4.7(b). Correct any draft response that repeats the complaint’s nonexistent § 4.7(b) $10,000 approval threshold.</w:t>
      </w:r>
    </w:p>
    <w:p>
      <w:pPr>
        <w:pStyle w:val="ListBullet"/>
        <w:spacing w:after="60"/>
      </w:pPr>
      <w:r>
        <w:t>Clarify the identity and function of any Whitmore committee versus the Trident valuation committee; do not make committee-approval assertions without minutes, workflow evidence, or reliable witness confirmation.</w:t>
      </w:r>
    </w:p>
    <w:p>
      <w:pPr>
        <w:pStyle w:val="ListBullet"/>
        <w:spacing w:after="60"/>
      </w:pPr>
      <w:r>
        <w:t>For other-client discovery, determine whether pre-existing aggregate metrics exist; propose anonymization, client notice, and a protective order before any client-identifying disclosure.</w:t>
      </w:r>
    </w:p>
    <w:p>
      <w:pPr>
        <w:pStyle w:val="ListBullet"/>
        <w:spacing w:after="60"/>
      </w:pPr>
      <w:r>
        <w:t>Obtain the complete insurance tower/renewal record from the beginning of the FASA term through the present and confirm the reservation-of-rights letter status.</w:t>
      </w:r>
    </w:p>
    <w:p>
      <w:pPr>
        <w:pStyle w:val="ListBullet"/>
        <w:spacing w:after="60"/>
      </w:pPr>
      <w:r>
        <w:t>Prepare separate sworn answers, make each objection specific, answer nonobjected portions, state when information is unavailable after reasonable inquiry, identify supporting records where Rule 33(d) is used, and obtain the corporate verification.</w:t>
      </w:r>
    </w:p>
    <w:p>
      <w:pPr>
        <w:keepLines/>
        <w:spacing w:before="160"/>
      </w:pPr>
      <w:r>
        <w:rPr>
          <w:b/>
          <w:color w:val="1F4E79"/>
        </w:rPr>
        <w:t xml:space="preserve">SOURCE / ACCURACY NOTE. </w:t>
      </w:r>
      <w:r>
        <w:t>This strategy is based on the interrogatories served February 3, 2025, the Verified Complaint, Whitmore’s Answer and Affirmative Defenses, the executed FASA, the January 15, 2023 renewal letter, Plaintiff’s initial disclosures, the CMO dated December 16, 2024, and internal defense strategy materials. Where the supplied record does not establish a date, amount, policy period, process step, or business fact, the memorandum directs verification rather than assuming the allegation or defense is true.</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 xml:space="preserve">WHITMORE CAPITAL ADVISORS LLC  •  DISCOVERY STRATEGY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3" w:color="C7D1DB"/>
      </w:pBdr>
    </w:pPr>
    <w:r>
      <w:rPr>
        <w:rFonts w:ascii="Aptos" w:hAnsi="Aptos"/>
        <w:b/>
        <w:color w:val="7F1D1D"/>
        <w:sz w:val="15"/>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32A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Interrogatory Objection-by-Objection Response Strategy Memorandum</dc:title>
  <dc:subject>Privileged discovery strategy for plaintiff’s first interrogatories</dc:subject>
  <dc:creator>Internal litigation team</dc:creator>
  <cp:keywords>Privileged; Attorney Work Product; Interrogatories; Discovery</cp:keywords>
  <dc:description>generated by python-docx</dc:description>
  <cp:lastModifiedBy/>
  <cp:revision>1</cp:revision>
  <dcterms:created xsi:type="dcterms:W3CDTF">2013-12-23T23:15:00Z</dcterms:created>
  <dcterms:modified xsi:type="dcterms:W3CDTF">2013-12-23T23:15:00Z</dcterms:modified>
  <cp:category/>
</cp:coreProperties>
</file>