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LITIGATION BUDGET ISSUE MEMORANDUM</w:t>
      </w:r>
    </w:p>
    <w:p>
      <w:pPr>
        <w:spacing w:after="160"/>
      </w:pPr>
      <w:r>
        <w:rPr>
          <w:rFonts w:ascii="Arial" w:hAnsi="Arial"/>
          <w:b/>
          <w:color w:val="A23B3B"/>
          <w:sz w:val="18"/>
        </w:rPr>
        <w:t>CONFIDENTIAL — FOR GENERAL COUNSEL REVIEW</w:t>
      </w:r>
    </w:p>
    <w:tbl>
      <w:tblPr>
        <w:tblW w:type="auto" w:w="0"/>
        <w:jc w:val="left"/>
        <w:tblLayout w:type="fixed"/>
        <w:tblLook w:firstColumn="1" w:firstRow="1" w:lastColumn="0" w:lastRow="0" w:noHBand="0" w:noVBand="1" w:val="04A0"/>
      </w:tblPr>
      <w:tblGrid>
        <w:gridCol w:w="1296"/>
        <w:gridCol w:w="9576"/>
      </w:tblGrid>
      <w:tr>
        <w:trPr>
          <w:cantSplit/>
        </w:trPr>
        <w:tc>
          <w:tcPr>
            <w:tcW w:type="dxa" w:w="1296"/>
            <w:vAlign w:val="center"/>
            <w:tcMar>
              <w:top w:w="75" w:type="dxa"/>
              <w:start w:w="90" w:type="dxa"/>
              <w:bottom w:w="75" w:type="dxa"/>
              <w:end w:w="90" w:type="dxa"/>
            </w:tcMar>
            <w:shd w:fill="E8EEF5"/>
          </w:tcPr>
          <w:p>
            <w:pPr>
              <w:spacing w:after="0" w:before="0" w:line="240" w:lineRule="auto"/>
            </w:pPr>
            <w:r/>
            <w:r>
              <w:rPr>
                <w:rFonts w:ascii="Arial" w:hAnsi="Arial"/>
                <w:b/>
                <w:color w:val="17365D"/>
                <w:sz w:val="17"/>
              </w:rPr>
              <w:t>TO</w:t>
            </w:r>
          </w:p>
        </w:tc>
        <w:tc>
          <w:tcPr>
            <w:tcW w:type="dxa" w:w="9576"/>
            <w:vAlign w:val="center"/>
            <w:tcMar>
              <w:top w:w="75" w:type="dxa"/>
              <w:start w:w="90" w:type="dxa"/>
              <w:bottom w:w="75" w:type="dxa"/>
              <w:end w:w="90" w:type="dxa"/>
            </w:tcMar>
          </w:tcPr>
          <w:p>
            <w:pPr>
              <w:spacing w:after="0" w:before="0" w:line="240" w:lineRule="auto"/>
            </w:pPr>
            <w:r/>
            <w:r>
              <w:rPr>
                <w:rFonts w:ascii="Arial" w:hAnsi="Arial"/>
                <w:b w:val="0"/>
                <w:sz w:val="17"/>
              </w:rPr>
              <w:t>Priya Malhotra, General Counsel</w:t>
            </w:r>
          </w:p>
        </w:tc>
      </w:tr>
      <w:tr>
        <w:trPr>
          <w:cantSplit/>
        </w:trPr>
        <w:tc>
          <w:tcPr>
            <w:tcW w:type="dxa" w:w="1296"/>
            <w:vAlign w:val="center"/>
            <w:tcMar>
              <w:top w:w="75" w:type="dxa"/>
              <w:start w:w="90" w:type="dxa"/>
              <w:bottom w:w="75" w:type="dxa"/>
              <w:end w:w="90" w:type="dxa"/>
            </w:tcMar>
            <w:shd w:fill="E8EEF5"/>
          </w:tcPr>
          <w:p>
            <w:pPr>
              <w:spacing w:after="0" w:before="0" w:line="240" w:lineRule="auto"/>
            </w:pPr>
            <w:r/>
            <w:r>
              <w:rPr>
                <w:rFonts w:ascii="Arial" w:hAnsi="Arial"/>
                <w:b/>
                <w:color w:val="17365D"/>
                <w:sz w:val="17"/>
              </w:rPr>
              <w:t>FROM</w:t>
            </w:r>
          </w:p>
        </w:tc>
        <w:tc>
          <w:tcPr>
            <w:tcW w:type="dxa" w:w="9576"/>
            <w:vAlign w:val="center"/>
            <w:tcMar>
              <w:top w:w="75" w:type="dxa"/>
              <w:start w:w="90" w:type="dxa"/>
              <w:bottom w:w="75" w:type="dxa"/>
              <w:end w:w="90" w:type="dxa"/>
            </w:tcMar>
          </w:tcPr>
          <w:p>
            <w:pPr>
              <w:spacing w:after="0" w:before="0" w:line="240" w:lineRule="auto"/>
            </w:pPr>
            <w:r/>
            <w:r>
              <w:rPr>
                <w:rFonts w:ascii="Arial" w:hAnsi="Arial"/>
                <w:b w:val="0"/>
                <w:sz w:val="17"/>
              </w:rPr>
              <w:t>Legal Budget Review</w:t>
            </w:r>
          </w:p>
        </w:tc>
      </w:tr>
      <w:tr>
        <w:trPr>
          <w:cantSplit/>
        </w:trPr>
        <w:tc>
          <w:tcPr>
            <w:tcW w:type="dxa" w:w="1296"/>
            <w:vAlign w:val="center"/>
            <w:tcMar>
              <w:top w:w="75" w:type="dxa"/>
              <w:start w:w="90" w:type="dxa"/>
              <w:bottom w:w="75" w:type="dxa"/>
              <w:end w:w="90" w:type="dxa"/>
            </w:tcMar>
            <w:shd w:fill="E8EEF5"/>
          </w:tcPr>
          <w:p>
            <w:pPr>
              <w:spacing w:after="0" w:before="0" w:line="240" w:lineRule="auto"/>
            </w:pPr>
            <w:r/>
            <w:r>
              <w:rPr>
                <w:rFonts w:ascii="Arial" w:hAnsi="Arial"/>
                <w:b/>
                <w:color w:val="17365D"/>
                <w:sz w:val="17"/>
              </w:rPr>
              <w:t>RE</w:t>
            </w:r>
          </w:p>
        </w:tc>
        <w:tc>
          <w:tcPr>
            <w:tcW w:type="dxa" w:w="9576"/>
            <w:vAlign w:val="center"/>
            <w:tcMar>
              <w:top w:w="75" w:type="dxa"/>
              <w:start w:w="90" w:type="dxa"/>
              <w:bottom w:w="75" w:type="dxa"/>
              <w:end w:w="90" w:type="dxa"/>
            </w:tcMar>
          </w:tcPr>
          <w:p>
            <w:pPr>
              <w:spacing w:after="0" w:before="0" w:line="240" w:lineRule="auto"/>
            </w:pPr>
            <w:r/>
            <w:r>
              <w:rPr>
                <w:rFonts w:ascii="Arial" w:hAnsi="Arial"/>
                <w:b w:val="0"/>
                <w:sz w:val="17"/>
              </w:rPr>
              <w:t>Whitfield Garrett LLP — Colton Beverage Holdings, Inc. v. Ridgewater Distribution Partners, LLC, Case No. 2024-CV-03821</w:t>
            </w:r>
          </w:p>
        </w:tc>
      </w:tr>
      <w:tr>
        <w:trPr>
          <w:cantSplit/>
        </w:trPr>
        <w:tc>
          <w:tcPr>
            <w:tcW w:type="dxa" w:w="1296"/>
            <w:vAlign w:val="center"/>
            <w:tcMar>
              <w:top w:w="75" w:type="dxa"/>
              <w:start w:w="90" w:type="dxa"/>
              <w:bottom w:w="75" w:type="dxa"/>
              <w:end w:w="90" w:type="dxa"/>
            </w:tcMar>
            <w:shd w:fill="E8EEF5"/>
          </w:tcPr>
          <w:p>
            <w:pPr>
              <w:spacing w:after="0" w:before="0" w:line="240" w:lineRule="auto"/>
            </w:pPr>
            <w:r/>
            <w:r>
              <w:rPr>
                <w:rFonts w:ascii="Arial" w:hAnsi="Arial"/>
                <w:b/>
                <w:color w:val="17365D"/>
                <w:sz w:val="17"/>
              </w:rPr>
              <w:t>REVIEW BASIS</w:t>
            </w:r>
          </w:p>
        </w:tc>
        <w:tc>
          <w:tcPr>
            <w:tcW w:type="dxa" w:w="9576"/>
            <w:vAlign w:val="center"/>
            <w:tcMar>
              <w:top w:w="75" w:type="dxa"/>
              <w:start w:w="90" w:type="dxa"/>
              <w:bottom w:w="75" w:type="dxa"/>
              <w:end w:w="90" w:type="dxa"/>
            </w:tcMar>
          </w:tcPr>
          <w:p>
            <w:pPr>
              <w:spacing w:after="0" w:before="0" w:line="240" w:lineRule="auto"/>
            </w:pPr>
            <w:r/>
            <w:r>
              <w:rPr>
                <w:rFonts w:ascii="Arial" w:hAnsi="Arial"/>
                <w:b w:val="0"/>
                <w:sz w:val="17"/>
              </w:rPr>
              <w:t>Budget proposal dated May 12, 2025; OCG v4.2; December 15, 2024 rate notice; April 25, 2025 timekeeper notice; prior-year budget/actuals through December 31, 2024</w:t>
            </w:r>
          </w:p>
        </w:tc>
      </w:tr>
    </w:tbl>
    <w:p>
      <w:pPr>
        <w:spacing w:after="0"/>
      </w:pPr>
    </w:p>
    <w:p>
      <w:pPr>
        <w:pStyle w:val="Heading1"/>
        <w:keepNext/>
      </w:pPr>
      <w:r>
        <w:t>Executive conclusion</w:t>
      </w:r>
    </w:p>
    <w:p>
      <w:pPr>
        <w:spacing w:before="0" w:after="100" w:line="257" w:lineRule="auto"/>
      </w:pPr>
      <w:r>
        <w:t>Return the proposal for revision and do not approve the stated $2,397,450 total, proposed rates, or unapproved staffing/vendor commitments as submitted. The budget’s fee schedules do not reconcile; several rates exceed the OCG caps or lack timely written approval; Margaret Hsu’s addition is not shown as approved; and the proposal includes a restricted L700 reserve and expenses that are prohibited or require advance GC approval. The trial plan also budgets four attorneys in court, above the two-attorney default absent written approval.</w:t>
      </w:r>
    </w:p>
    <w:p>
      <w:pPr>
        <w:spacing w:before="0" w:after="140" w:line="257" w:lineRule="auto"/>
      </w:pPr>
      <w:r>
        <w:t>The most material quantified issue is a $116,050 gap between the phase fee estimate ($1,708,950) and the staffing-table fees ($1,825,000), before adding any unbudgeted Boyd Whitaker time. Separately, the proposal includes $92,000 in L700 and $15,000 for expressly non-reimbursable internal copying/printing. These amounts should not be treated as authorized spend.</w:t>
      </w:r>
    </w:p>
    <w:p>
      <w:pPr>
        <w:pStyle w:val="Heading2"/>
        <w:keepNext/>
      </w:pPr>
      <w:r>
        <w:t>Priority findings at a glance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51"/>
            <w:vAlign w:val="center"/>
            <w:tcMar>
              <w:top w:w="75" w:type="dxa"/>
              <w:start w:w="90" w:type="dxa"/>
              <w:bottom w:w="75" w:type="dxa"/>
              <w:end w:w="90" w:type="dxa"/>
            </w:tcMar>
            <w:shd w:fill="17365D"/>
          </w:tcPr>
          <w:p>
            <w:pPr>
              <w:spacing w:after="0" w:before="0" w:line="240" w:lineRule="auto"/>
            </w:pPr>
            <w:r/>
            <w:r>
              <w:rPr>
                <w:rFonts w:ascii="Arial" w:hAnsi="Arial"/>
                <w:b/>
                <w:color w:val="FFFFFF"/>
                <w:sz w:val="16"/>
              </w:rPr>
              <w:t>Priority</w:t>
            </w:r>
          </w:p>
        </w:tc>
        <w:tc>
          <w:tcPr>
            <w:tcW w:type="dxa" w:w="3269"/>
            <w:vAlign w:val="center"/>
            <w:tcMar>
              <w:top w:w="75" w:type="dxa"/>
              <w:start w:w="90" w:type="dxa"/>
              <w:bottom w:w="75" w:type="dxa"/>
              <w:end w:w="90" w:type="dxa"/>
            </w:tcMar>
            <w:shd w:fill="17365D"/>
          </w:tcPr>
          <w:p>
            <w:pPr>
              <w:spacing w:after="0" w:before="0" w:line="240" w:lineRule="auto"/>
            </w:pPr>
            <w:r/>
            <w:r>
              <w:rPr>
                <w:rFonts w:ascii="Arial" w:hAnsi="Arial"/>
                <w:b/>
                <w:color w:val="FFFFFF"/>
                <w:sz w:val="16"/>
              </w:rPr>
              <w:t>Issue</w:t>
            </w:r>
          </w:p>
        </w:tc>
        <w:tc>
          <w:tcPr>
            <w:tcW w:type="dxa" w:w="6552"/>
            <w:vAlign w:val="center"/>
            <w:tcMar>
              <w:top w:w="75" w:type="dxa"/>
              <w:start w:w="90" w:type="dxa"/>
              <w:bottom w:w="75" w:type="dxa"/>
              <w:end w:w="90" w:type="dxa"/>
            </w:tcMar>
            <w:shd w:fill="17365D"/>
          </w:tcPr>
          <w:p>
            <w:pPr>
              <w:spacing w:after="0" w:before="0" w:line="240" w:lineRule="auto"/>
            </w:pPr>
            <w:r/>
            <w:r>
              <w:rPr>
                <w:rFonts w:ascii="Arial" w:hAnsi="Arial"/>
                <w:b/>
                <w:color w:val="FFFFFF"/>
                <w:sz w:val="16"/>
              </w:rPr>
              <w:t>Required disposition</w:t>
            </w:r>
          </w:p>
        </w:tc>
      </w:tr>
      <w:tr>
        <w:trPr>
          <w:cantSplit/>
        </w:trPr>
        <w:tc>
          <w:tcPr>
            <w:tcW w:type="dxa" w:w="1051"/>
            <w:vAlign w:val="center"/>
            <w:tcMar>
              <w:top w:w="75" w:type="dxa"/>
              <w:start w:w="90" w:type="dxa"/>
              <w:bottom w:w="75" w:type="dxa"/>
              <w:end w:w="90" w:type="dxa"/>
            </w:tcMar>
          </w:tcPr>
          <w:p>
            <w:pPr>
              <w:spacing w:after="0" w:before="0" w:line="240" w:lineRule="auto"/>
            </w:pPr>
            <w:r/>
            <w:r>
              <w:rPr>
                <w:rFonts w:ascii="Arial" w:hAnsi="Arial"/>
                <w:b w:val="0"/>
                <w:sz w:val="16"/>
              </w:rPr>
              <w:t>Critical</w:t>
            </w:r>
          </w:p>
        </w:tc>
        <w:tc>
          <w:tcPr>
            <w:tcW w:type="dxa" w:w="3269"/>
            <w:vAlign w:val="center"/>
            <w:tcMar>
              <w:top w:w="75" w:type="dxa"/>
              <w:start w:w="90" w:type="dxa"/>
              <w:bottom w:w="75" w:type="dxa"/>
              <w:end w:w="90" w:type="dxa"/>
            </w:tcMar>
          </w:tcPr>
          <w:p>
            <w:pPr>
              <w:spacing w:after="0" w:before="0" w:line="240" w:lineRule="auto"/>
            </w:pPr>
            <w:r/>
            <w:r>
              <w:rPr>
                <w:rFonts w:ascii="Arial" w:hAnsi="Arial"/>
                <w:b w:val="0"/>
                <w:sz w:val="16"/>
              </w:rPr>
              <w:t>Fee budget does not reconcile; Whitaker hours excluded</w:t>
            </w:r>
          </w:p>
        </w:tc>
        <w:tc>
          <w:tcPr>
            <w:tcW w:type="dxa" w:w="6552"/>
            <w:vAlign w:val="center"/>
            <w:tcMar>
              <w:top w:w="75" w:type="dxa"/>
              <w:start w:w="90" w:type="dxa"/>
              <w:bottom w:w="75" w:type="dxa"/>
              <w:end w:w="90" w:type="dxa"/>
            </w:tcMar>
          </w:tcPr>
          <w:p>
            <w:pPr>
              <w:spacing w:after="0" w:before="0" w:line="240" w:lineRule="auto"/>
            </w:pPr>
            <w:r/>
            <w:r>
              <w:rPr>
                <w:rFonts w:ascii="Arial" w:hAnsi="Arial"/>
                <w:b w:val="0"/>
                <w:sz w:val="16"/>
              </w:rPr>
              <w:t>Rebuild and reconcile each phase to timekeeper hours × approved rates; include all anticipated timekeepers.</w:t>
            </w:r>
          </w:p>
        </w:tc>
      </w:tr>
      <w:tr>
        <w:trPr>
          <w:cantSplit/>
        </w:trPr>
        <w:tc>
          <w:tcPr>
            <w:tcW w:type="dxa" w:w="1051"/>
            <w:vAlign w:val="center"/>
            <w:tcMar>
              <w:top w:w="75" w:type="dxa"/>
              <w:start w:w="90" w:type="dxa"/>
              <w:bottom w:w="75" w:type="dxa"/>
              <w:end w:w="90" w:type="dxa"/>
            </w:tcMar>
            <w:shd w:fill="F2F6FA"/>
          </w:tcPr>
          <w:p>
            <w:pPr>
              <w:spacing w:after="0" w:before="0" w:line="240" w:lineRule="auto"/>
            </w:pPr>
            <w:r/>
            <w:r>
              <w:rPr>
                <w:rFonts w:ascii="Arial" w:hAnsi="Arial"/>
                <w:b w:val="0"/>
                <w:sz w:val="16"/>
              </w:rPr>
              <w:t>Critical</w:t>
            </w:r>
          </w:p>
        </w:tc>
        <w:tc>
          <w:tcPr>
            <w:tcW w:type="dxa" w:w="3269"/>
            <w:vAlign w:val="center"/>
            <w:tcMar>
              <w:top w:w="75" w:type="dxa"/>
              <w:start w:w="90" w:type="dxa"/>
              <w:bottom w:w="75" w:type="dxa"/>
              <w:end w:w="90" w:type="dxa"/>
            </w:tcMar>
            <w:shd w:fill="F2F6FA"/>
          </w:tcPr>
          <w:p>
            <w:pPr>
              <w:spacing w:after="0" w:before="0" w:line="240" w:lineRule="auto"/>
            </w:pPr>
            <w:r/>
            <w:r>
              <w:rPr>
                <w:rFonts w:ascii="Arial" w:hAnsi="Arial"/>
                <w:b w:val="0"/>
                <w:sz w:val="16"/>
              </w:rPr>
              <w:t>Rates late, unapproved and/or above caps; Hsu not approved</w:t>
            </w:r>
          </w:p>
        </w:tc>
        <w:tc>
          <w:tcPr>
            <w:tcW w:type="dxa" w:w="6552"/>
            <w:vAlign w:val="center"/>
            <w:tcMar>
              <w:top w:w="75" w:type="dxa"/>
              <w:start w:w="90" w:type="dxa"/>
              <w:bottom w:w="75" w:type="dxa"/>
              <w:end w:w="90" w:type="dxa"/>
            </w:tcMar>
            <w:shd w:fill="F2F6FA"/>
          </w:tcPr>
          <w:p>
            <w:pPr>
              <w:spacing w:after="0" w:before="0" w:line="240" w:lineRule="auto"/>
            </w:pPr>
            <w:r/>
            <w:r>
              <w:rPr>
                <w:rFonts w:ascii="Arial" w:hAnsi="Arial"/>
                <w:b w:val="0"/>
                <w:sz w:val="16"/>
              </w:rPr>
              <w:t>Apply only written-approved rates, never above caps; obtain GC approval before any rate or timekeeper change.</w:t>
            </w:r>
          </w:p>
        </w:tc>
      </w:tr>
      <w:tr>
        <w:trPr>
          <w:cantSplit/>
        </w:trPr>
        <w:tc>
          <w:tcPr>
            <w:tcW w:type="dxa" w:w="1051"/>
            <w:vAlign w:val="center"/>
            <w:tcMar>
              <w:top w:w="75" w:type="dxa"/>
              <w:start w:w="90" w:type="dxa"/>
              <w:bottom w:w="75" w:type="dxa"/>
              <w:end w:w="90" w:type="dxa"/>
            </w:tcMar>
          </w:tcPr>
          <w:p>
            <w:pPr>
              <w:spacing w:after="0" w:before="0" w:line="240" w:lineRule="auto"/>
            </w:pPr>
            <w:r/>
            <w:r>
              <w:rPr>
                <w:rFonts w:ascii="Arial" w:hAnsi="Arial"/>
                <w:b w:val="0"/>
                <w:sz w:val="16"/>
              </w:rPr>
              <w:t>Critical</w:t>
            </w:r>
          </w:p>
        </w:tc>
        <w:tc>
          <w:tcPr>
            <w:tcW w:type="dxa" w:w="3269"/>
            <w:vAlign w:val="center"/>
            <w:tcMar>
              <w:top w:w="75" w:type="dxa"/>
              <w:start w:w="90" w:type="dxa"/>
              <w:bottom w:w="75" w:type="dxa"/>
              <w:end w:w="90" w:type="dxa"/>
            </w:tcMar>
          </w:tcPr>
          <w:p>
            <w:pPr>
              <w:spacing w:after="0" w:before="0" w:line="240" w:lineRule="auto"/>
            </w:pPr>
            <w:r/>
            <w:r>
              <w:rPr>
                <w:rFonts w:ascii="Arial" w:hAnsi="Arial"/>
                <w:b w:val="0"/>
                <w:sz w:val="16"/>
              </w:rPr>
              <w:t>L700 reserve ($92,000) and internal copying/printing ($15,000)</w:t>
            </w:r>
          </w:p>
        </w:tc>
        <w:tc>
          <w:tcPr>
            <w:tcW w:type="dxa" w:w="6552"/>
            <w:vAlign w:val="center"/>
            <w:tcMar>
              <w:top w:w="75" w:type="dxa"/>
              <w:start w:w="90" w:type="dxa"/>
              <w:bottom w:w="75" w:type="dxa"/>
              <w:end w:w="90" w:type="dxa"/>
            </w:tcMar>
          </w:tcPr>
          <w:p>
            <w:pPr>
              <w:spacing w:after="0" w:before="0" w:line="240" w:lineRule="auto"/>
            </w:pPr>
            <w:r/>
            <w:r>
              <w:rPr>
                <w:rFonts w:ascii="Arial" w:hAnsi="Arial"/>
                <w:b w:val="0"/>
                <w:sz w:val="16"/>
              </w:rPr>
              <w:t>Remove from requested budget unless L700 is expressly requested and separately approved; remove internal reproduction.</w:t>
            </w:r>
          </w:p>
        </w:tc>
      </w:tr>
      <w:tr>
        <w:trPr>
          <w:cantSplit/>
        </w:trPr>
        <w:tc>
          <w:tcPr>
            <w:tcW w:type="dxa" w:w="1051"/>
            <w:vAlign w:val="center"/>
            <w:tcMar>
              <w:top w:w="75" w:type="dxa"/>
              <w:start w:w="90" w:type="dxa"/>
              <w:bottom w:w="75" w:type="dxa"/>
              <w:end w:w="90" w:type="dxa"/>
            </w:tcMar>
            <w:shd w:fill="F2F6FA"/>
          </w:tcPr>
          <w:p>
            <w:pPr>
              <w:spacing w:after="0" w:before="0" w:line="240" w:lineRule="auto"/>
            </w:pPr>
            <w:r/>
            <w:r>
              <w:rPr>
                <w:rFonts w:ascii="Arial" w:hAnsi="Arial"/>
                <w:b w:val="0"/>
                <w:sz w:val="16"/>
              </w:rPr>
              <w:t>High</w:t>
            </w:r>
          </w:p>
        </w:tc>
        <w:tc>
          <w:tcPr>
            <w:tcW w:type="dxa" w:w="3269"/>
            <w:vAlign w:val="center"/>
            <w:tcMar>
              <w:top w:w="75" w:type="dxa"/>
              <w:start w:w="90" w:type="dxa"/>
              <w:bottom w:w="75" w:type="dxa"/>
              <w:end w:w="90" w:type="dxa"/>
            </w:tcMar>
            <w:shd w:fill="F2F6FA"/>
          </w:tcPr>
          <w:p>
            <w:pPr>
              <w:spacing w:after="0" w:before="0" w:line="240" w:lineRule="auto"/>
            </w:pPr>
            <w:r/>
            <w:r>
              <w:rPr>
                <w:rFonts w:ascii="Arial" w:hAnsi="Arial"/>
                <w:b w:val="0"/>
                <w:sz w:val="16"/>
              </w:rPr>
              <w:t>E-discovery, experts, mock trial and business-class travel approvals not evidenced</w:t>
            </w:r>
          </w:p>
        </w:tc>
        <w:tc>
          <w:tcPr>
            <w:tcW w:type="dxa" w:w="6552"/>
            <w:vAlign w:val="center"/>
            <w:tcMar>
              <w:top w:w="75" w:type="dxa"/>
              <w:start w:w="90" w:type="dxa"/>
              <w:bottom w:w="75" w:type="dxa"/>
              <w:end w:w="90" w:type="dxa"/>
            </w:tcMar>
            <w:shd w:fill="F2F6FA"/>
          </w:tcPr>
          <w:p>
            <w:pPr>
              <w:spacing w:after="0" w:before="0" w:line="240" w:lineRule="auto"/>
            </w:pPr>
            <w:r/>
            <w:r>
              <w:rPr>
                <w:rFonts w:ascii="Arial" w:hAnsi="Arial"/>
                <w:b w:val="0"/>
                <w:sz w:val="16"/>
              </w:rPr>
              <w:t>Provide required bids/approval packages and obtain written GC approval before further commitments or spend.</w:t>
            </w:r>
          </w:p>
        </w:tc>
      </w:tr>
      <w:tr>
        <w:trPr>
          <w:cantSplit/>
        </w:trPr>
        <w:tc>
          <w:tcPr>
            <w:tcW w:type="dxa" w:w="1051"/>
            <w:vAlign w:val="center"/>
            <w:tcMar>
              <w:top w:w="75" w:type="dxa"/>
              <w:start w:w="90" w:type="dxa"/>
              <w:bottom w:w="75" w:type="dxa"/>
              <w:end w:w="90" w:type="dxa"/>
            </w:tcMar>
          </w:tcPr>
          <w:p>
            <w:pPr>
              <w:spacing w:after="0" w:before="0" w:line="240" w:lineRule="auto"/>
            </w:pPr>
            <w:r/>
            <w:r>
              <w:rPr>
                <w:rFonts w:ascii="Arial" w:hAnsi="Arial"/>
                <w:b w:val="0"/>
                <w:sz w:val="16"/>
              </w:rPr>
              <w:t>High</w:t>
            </w:r>
          </w:p>
        </w:tc>
        <w:tc>
          <w:tcPr>
            <w:tcW w:type="dxa" w:w="3269"/>
            <w:vAlign w:val="center"/>
            <w:tcMar>
              <w:top w:w="75" w:type="dxa"/>
              <w:start w:w="90" w:type="dxa"/>
              <w:bottom w:w="75" w:type="dxa"/>
              <w:end w:w="90" w:type="dxa"/>
            </w:tcMar>
          </w:tcPr>
          <w:p>
            <w:pPr>
              <w:spacing w:after="0" w:before="0" w:line="240" w:lineRule="auto"/>
            </w:pPr>
            <w:r/>
            <w:r>
              <w:rPr>
                <w:rFonts w:ascii="Arial" w:hAnsi="Arial"/>
                <w:b w:val="0"/>
                <w:sz w:val="16"/>
              </w:rPr>
              <w:t>Four attorneys planned for trial; attorney cite-checking also proposed</w:t>
            </w:r>
          </w:p>
        </w:tc>
        <w:tc>
          <w:tcPr>
            <w:tcW w:type="dxa" w:w="6552"/>
            <w:vAlign w:val="center"/>
            <w:tcMar>
              <w:top w:w="75" w:type="dxa"/>
              <w:start w:w="90" w:type="dxa"/>
              <w:bottom w:w="75" w:type="dxa"/>
              <w:end w:w="90" w:type="dxa"/>
            </w:tcMar>
          </w:tcPr>
          <w:p>
            <w:pPr>
              <w:spacing w:after="0" w:before="0" w:line="240" w:lineRule="auto"/>
            </w:pPr>
            <w:r/>
            <w:r>
              <w:rPr>
                <w:rFonts w:ascii="Arial" w:hAnsi="Arial"/>
                <w:b w:val="0"/>
                <w:sz w:val="16"/>
              </w:rPr>
              <w:t>Obtain advance trial-attendance approval; move cite-checking/clerical work to approved lower-cost support.</w:t>
            </w:r>
          </w:p>
        </w:tc>
      </w:tr>
      <w:tr>
        <w:trPr>
          <w:cantSplit/>
        </w:trPr>
        <w:tc>
          <w:tcPr>
            <w:tcW w:type="dxa" w:w="1051"/>
            <w:vAlign w:val="center"/>
            <w:tcMar>
              <w:top w:w="75" w:type="dxa"/>
              <w:start w:w="90" w:type="dxa"/>
              <w:bottom w:w="75" w:type="dxa"/>
              <w:end w:w="90" w:type="dxa"/>
            </w:tcMar>
            <w:shd w:fill="F2F6FA"/>
          </w:tcPr>
          <w:p>
            <w:pPr>
              <w:spacing w:after="0" w:before="0" w:line="240" w:lineRule="auto"/>
            </w:pPr>
            <w:r/>
            <w:r>
              <w:rPr>
                <w:rFonts w:ascii="Arial" w:hAnsi="Arial"/>
                <w:b w:val="0"/>
                <w:sz w:val="16"/>
              </w:rPr>
              <w:t>Medium</w:t>
            </w:r>
          </w:p>
        </w:tc>
        <w:tc>
          <w:tcPr>
            <w:tcW w:type="dxa" w:w="3269"/>
            <w:vAlign w:val="center"/>
            <w:tcMar>
              <w:top w:w="75" w:type="dxa"/>
              <w:start w:w="90" w:type="dxa"/>
              <w:bottom w:w="75" w:type="dxa"/>
              <w:end w:w="90" w:type="dxa"/>
            </w:tcMar>
            <w:shd w:fill="F2F6FA"/>
          </w:tcPr>
          <w:p>
            <w:pPr>
              <w:spacing w:after="0" w:before="0" w:line="240" w:lineRule="auto"/>
            </w:pPr>
            <w:r/>
            <w:r>
              <w:rPr>
                <w:rFonts w:ascii="Arial" w:hAnsi="Arial"/>
                <w:b w:val="0"/>
                <w:sz w:val="16"/>
              </w:rPr>
              <w:t>Historical/Q1 bridge and current spend reporting incomplete</w:t>
            </w:r>
          </w:p>
        </w:tc>
        <w:tc>
          <w:tcPr>
            <w:tcW w:type="dxa" w:w="6552"/>
            <w:vAlign w:val="center"/>
            <w:tcMar>
              <w:top w:w="75" w:type="dxa"/>
              <w:start w:w="90" w:type="dxa"/>
              <w:bottom w:w="75" w:type="dxa"/>
              <w:end w:w="90" w:type="dxa"/>
            </w:tcMar>
            <w:shd w:fill="F2F6FA"/>
          </w:tcPr>
          <w:p>
            <w:pPr>
              <w:spacing w:after="0" w:before="0" w:line="240" w:lineRule="auto"/>
            </w:pPr>
            <w:r/>
            <w:r>
              <w:rPr>
                <w:rFonts w:ascii="Arial" w:hAnsi="Arial"/>
                <w:b w:val="0"/>
                <w:sz w:val="16"/>
              </w:rPr>
              <w:t>Reconcile historical phase data and provide Jan–Apr 2025 actuals and a cumulative budget-to-actual bridge.</w:t>
            </w:r>
          </w:p>
        </w:tc>
      </w:tr>
    </w:tbl>
    <w:p>
      <w:pPr>
        <w:spacing w:after="0"/>
      </w:pPr>
    </w:p>
    <w:p>
      <w:pPr>
        <w:pStyle w:val="Heading1"/>
        <w:keepNext/>
      </w:pPr>
      <w:r>
        <w:t>1. Budget construction, reconciliation and scope</w:t>
      </w:r>
    </w:p>
    <w:p>
      <w:pPr>
        <w:pStyle w:val="Heading2"/>
        <w:keepNext/>
      </w:pPr>
      <w:r>
        <w:t>1.1 Fee estimates fail the required reconciliation</w:t>
      </w:r>
    </w:p>
    <w:p>
      <w:pPr>
        <w:spacing w:before="0" w:after="80" w:line="257" w:lineRule="auto"/>
      </w:pPr>
      <w:r>
        <w:t>OCG §5.2 requires the phase fee total to reconcile to the staffing table (hours multiplied by rates), with any difference identified and explained. The proposal provides matching total hours (3,740) but not matching fees. Applying the rates printed in the proposal to the phase-by-phase staffing allocation yields the following:</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72"/>
            <w:vAlign w:val="center"/>
            <w:tcMar>
              <w:top w:w="75" w:type="dxa"/>
              <w:start w:w="90" w:type="dxa"/>
              <w:bottom w:w="75" w:type="dxa"/>
              <w:end w:w="90" w:type="dxa"/>
            </w:tcMar>
            <w:shd w:fill="17365D"/>
          </w:tcPr>
          <w:p>
            <w:pPr>
              <w:spacing w:after="0" w:before="0" w:line="240" w:lineRule="auto"/>
            </w:pPr>
            <w:r/>
            <w:r>
              <w:rPr>
                <w:rFonts w:ascii="Arial" w:hAnsi="Arial"/>
                <w:b/>
                <w:color w:val="FFFFFF"/>
                <w:sz w:val="16"/>
              </w:rPr>
              <w:t>UTBMS phase</w:t>
            </w:r>
          </w:p>
        </w:tc>
        <w:tc>
          <w:tcPr>
            <w:tcW w:type="dxa" w:w="2232"/>
            <w:vAlign w:val="center"/>
            <w:tcMar>
              <w:top w:w="75" w:type="dxa"/>
              <w:start w:w="90" w:type="dxa"/>
              <w:bottom w:w="75" w:type="dxa"/>
              <w:end w:w="90" w:type="dxa"/>
            </w:tcMar>
            <w:shd w:fill="17365D"/>
          </w:tcPr>
          <w:p>
            <w:pPr>
              <w:spacing w:after="0" w:before="0" w:line="240" w:lineRule="auto"/>
            </w:pPr>
            <w:r/>
            <w:r>
              <w:rPr>
                <w:rFonts w:ascii="Arial" w:hAnsi="Arial"/>
                <w:b/>
                <w:color w:val="FFFFFF"/>
                <w:sz w:val="16"/>
              </w:rPr>
              <w:t>Phase fee stated</w:t>
            </w:r>
          </w:p>
        </w:tc>
        <w:tc>
          <w:tcPr>
            <w:tcW w:type="dxa" w:w="3024"/>
            <w:vAlign w:val="center"/>
            <w:tcMar>
              <w:top w:w="75" w:type="dxa"/>
              <w:start w:w="90" w:type="dxa"/>
              <w:bottom w:w="75" w:type="dxa"/>
              <w:end w:w="90" w:type="dxa"/>
            </w:tcMar>
            <w:shd w:fill="17365D"/>
          </w:tcPr>
          <w:p>
            <w:pPr>
              <w:spacing w:after="0" w:before="0" w:line="240" w:lineRule="auto"/>
            </w:pPr>
            <w:r/>
            <w:r>
              <w:rPr>
                <w:rFonts w:ascii="Arial" w:hAnsi="Arial"/>
                <w:b/>
                <w:color w:val="FFFFFF"/>
                <w:sz w:val="16"/>
              </w:rPr>
              <w:t>Staff allocation × stated rates</w:t>
            </w:r>
          </w:p>
        </w:tc>
        <w:tc>
          <w:tcPr>
            <w:tcW w:type="dxa" w:w="2160"/>
            <w:vAlign w:val="center"/>
            <w:tcMar>
              <w:top w:w="75" w:type="dxa"/>
              <w:start w:w="90" w:type="dxa"/>
              <w:bottom w:w="75" w:type="dxa"/>
              <w:end w:w="90" w:type="dxa"/>
            </w:tcMar>
            <w:shd w:fill="17365D"/>
          </w:tcPr>
          <w:p>
            <w:pPr>
              <w:spacing w:after="0" w:before="0" w:line="240" w:lineRule="auto"/>
            </w:pPr>
            <w:r/>
            <w:r>
              <w:rPr>
                <w:rFonts w:ascii="Arial" w:hAnsi="Arial"/>
                <w:b/>
                <w:color w:val="FFFFFF"/>
                <w:sz w:val="16"/>
              </w:rPr>
              <w:t>Difference</w:t>
            </w:r>
          </w:p>
        </w:tc>
      </w:tr>
      <w:tr>
        <w:trPr>
          <w:cantSplit/>
        </w:trPr>
        <w:tc>
          <w:tcPr>
            <w:tcW w:type="dxa" w:w="1872"/>
            <w:vAlign w:val="center"/>
            <w:tcMar>
              <w:top w:w="75" w:type="dxa"/>
              <w:start w:w="90" w:type="dxa"/>
              <w:bottom w:w="75" w:type="dxa"/>
              <w:end w:w="90" w:type="dxa"/>
            </w:tcMar>
          </w:tcPr>
          <w:p>
            <w:pPr>
              <w:spacing w:after="0" w:before="0" w:line="240" w:lineRule="auto"/>
            </w:pPr>
            <w:r/>
            <w:r>
              <w:rPr>
                <w:rFonts w:ascii="Arial" w:hAnsi="Arial"/>
                <w:b w:val="0"/>
                <w:sz w:val="16"/>
              </w:rPr>
              <w:t>L200</w:t>
            </w:r>
          </w:p>
        </w:tc>
        <w:tc>
          <w:tcPr>
            <w:tcW w:type="dxa" w:w="2232"/>
            <w:vAlign w:val="center"/>
            <w:tcMar>
              <w:top w:w="75" w:type="dxa"/>
              <w:start w:w="90" w:type="dxa"/>
              <w:bottom w:w="75" w:type="dxa"/>
              <w:end w:w="90" w:type="dxa"/>
            </w:tcMar>
          </w:tcPr>
          <w:p>
            <w:pPr>
              <w:spacing w:after="0" w:before="0" w:line="240" w:lineRule="auto"/>
            </w:pPr>
            <w:r/>
            <w:r>
              <w:rPr>
                <w:rFonts w:ascii="Arial" w:hAnsi="Arial"/>
                <w:b w:val="0"/>
                <w:sz w:val="16"/>
              </w:rPr>
              <w:t>$148,800</w:t>
            </w:r>
          </w:p>
        </w:tc>
        <w:tc>
          <w:tcPr>
            <w:tcW w:type="dxa" w:w="3024"/>
            <w:vAlign w:val="center"/>
            <w:tcMar>
              <w:top w:w="75" w:type="dxa"/>
              <w:start w:w="90" w:type="dxa"/>
              <w:bottom w:w="75" w:type="dxa"/>
              <w:end w:w="90" w:type="dxa"/>
            </w:tcMar>
          </w:tcPr>
          <w:p>
            <w:pPr>
              <w:spacing w:after="0" w:before="0" w:line="240" w:lineRule="auto"/>
            </w:pPr>
            <w:r/>
            <w:r>
              <w:rPr>
                <w:rFonts w:ascii="Arial" w:hAnsi="Arial"/>
                <w:b w:val="0"/>
                <w:sz w:val="16"/>
              </w:rPr>
              <w:t>$150,000</w:t>
            </w:r>
          </w:p>
        </w:tc>
        <w:tc>
          <w:tcPr>
            <w:tcW w:type="dxa" w:w="2160"/>
            <w:vAlign w:val="center"/>
            <w:tcMar>
              <w:top w:w="75" w:type="dxa"/>
              <w:start w:w="90" w:type="dxa"/>
              <w:bottom w:w="75" w:type="dxa"/>
              <w:end w:w="90" w:type="dxa"/>
            </w:tcMar>
          </w:tcPr>
          <w:p>
            <w:pPr>
              <w:spacing w:after="0" w:before="0" w:line="240" w:lineRule="auto"/>
            </w:pPr>
            <w:r/>
            <w:r>
              <w:rPr>
                <w:rFonts w:ascii="Arial" w:hAnsi="Arial"/>
                <w:b w:val="0"/>
                <w:sz w:val="16"/>
              </w:rPr>
              <w:t>$1,200</w:t>
            </w:r>
          </w:p>
        </w:tc>
      </w:tr>
      <w:tr>
        <w:trPr>
          <w:cantSplit/>
        </w:trPr>
        <w:tc>
          <w:tcPr>
            <w:tcW w:type="dxa" w:w="1872"/>
            <w:vAlign w:val="center"/>
            <w:tcMar>
              <w:top w:w="75" w:type="dxa"/>
              <w:start w:w="90" w:type="dxa"/>
              <w:bottom w:w="75" w:type="dxa"/>
              <w:end w:w="90" w:type="dxa"/>
            </w:tcMar>
            <w:shd w:fill="F2F6FA"/>
          </w:tcPr>
          <w:p>
            <w:pPr>
              <w:spacing w:after="0" w:before="0" w:line="240" w:lineRule="auto"/>
            </w:pPr>
            <w:r/>
            <w:r>
              <w:rPr>
                <w:rFonts w:ascii="Arial" w:hAnsi="Arial"/>
                <w:b w:val="0"/>
                <w:sz w:val="16"/>
              </w:rPr>
              <w:t>L300</w:t>
            </w:r>
          </w:p>
        </w:tc>
        <w:tc>
          <w:tcPr>
            <w:tcW w:type="dxa" w:w="2232"/>
            <w:vAlign w:val="center"/>
            <w:tcMar>
              <w:top w:w="75" w:type="dxa"/>
              <w:start w:w="90" w:type="dxa"/>
              <w:bottom w:w="75" w:type="dxa"/>
              <w:end w:w="90" w:type="dxa"/>
            </w:tcMar>
            <w:shd w:fill="F2F6FA"/>
          </w:tcPr>
          <w:p>
            <w:pPr>
              <w:spacing w:after="0" w:before="0" w:line="240" w:lineRule="auto"/>
            </w:pPr>
            <w:r/>
            <w:r>
              <w:rPr>
                <w:rFonts w:ascii="Arial" w:hAnsi="Arial"/>
                <w:b w:val="0"/>
                <w:sz w:val="16"/>
              </w:rPr>
              <w:t>$589,250</w:t>
            </w:r>
          </w:p>
        </w:tc>
        <w:tc>
          <w:tcPr>
            <w:tcW w:type="dxa" w:w="3024"/>
            <w:vAlign w:val="center"/>
            <w:tcMar>
              <w:top w:w="75" w:type="dxa"/>
              <w:start w:w="90" w:type="dxa"/>
              <w:bottom w:w="75" w:type="dxa"/>
              <w:end w:w="90" w:type="dxa"/>
            </w:tcMar>
            <w:shd w:fill="F2F6FA"/>
          </w:tcPr>
          <w:p>
            <w:pPr>
              <w:spacing w:after="0" w:before="0" w:line="240" w:lineRule="auto"/>
            </w:pPr>
            <w:r/>
            <w:r>
              <w:rPr>
                <w:rFonts w:ascii="Arial" w:hAnsi="Arial"/>
                <w:b w:val="0"/>
                <w:sz w:val="16"/>
              </w:rPr>
              <w:t>$646,250</w:t>
            </w:r>
          </w:p>
        </w:tc>
        <w:tc>
          <w:tcPr>
            <w:tcW w:type="dxa" w:w="2160"/>
            <w:vAlign w:val="center"/>
            <w:tcMar>
              <w:top w:w="75" w:type="dxa"/>
              <w:start w:w="90" w:type="dxa"/>
              <w:bottom w:w="75" w:type="dxa"/>
              <w:end w:w="90" w:type="dxa"/>
            </w:tcMar>
            <w:shd w:fill="F2F6FA"/>
          </w:tcPr>
          <w:p>
            <w:pPr>
              <w:spacing w:after="0" w:before="0" w:line="240" w:lineRule="auto"/>
            </w:pPr>
            <w:r/>
            <w:r>
              <w:rPr>
                <w:rFonts w:ascii="Arial" w:hAnsi="Arial"/>
                <w:b w:val="0"/>
                <w:sz w:val="16"/>
              </w:rPr>
              <w:t>$57,000</w:t>
            </w:r>
          </w:p>
        </w:tc>
      </w:tr>
      <w:tr>
        <w:trPr>
          <w:cantSplit/>
        </w:trPr>
        <w:tc>
          <w:tcPr>
            <w:tcW w:type="dxa" w:w="1872"/>
            <w:vAlign w:val="center"/>
            <w:tcMar>
              <w:top w:w="75" w:type="dxa"/>
              <w:start w:w="90" w:type="dxa"/>
              <w:bottom w:w="75" w:type="dxa"/>
              <w:end w:w="90" w:type="dxa"/>
            </w:tcMar>
          </w:tcPr>
          <w:p>
            <w:pPr>
              <w:spacing w:after="0" w:before="0" w:line="240" w:lineRule="auto"/>
            </w:pPr>
            <w:r/>
            <w:r>
              <w:rPr>
                <w:rFonts w:ascii="Arial" w:hAnsi="Arial"/>
                <w:b w:val="0"/>
                <w:sz w:val="16"/>
              </w:rPr>
              <w:t>L400</w:t>
            </w:r>
          </w:p>
        </w:tc>
        <w:tc>
          <w:tcPr>
            <w:tcW w:type="dxa" w:w="2232"/>
            <w:vAlign w:val="center"/>
            <w:tcMar>
              <w:top w:w="75" w:type="dxa"/>
              <w:start w:w="90" w:type="dxa"/>
              <w:bottom w:w="75" w:type="dxa"/>
              <w:end w:w="90" w:type="dxa"/>
            </w:tcMar>
          </w:tcPr>
          <w:p>
            <w:pPr>
              <w:spacing w:after="0" w:before="0" w:line="240" w:lineRule="auto"/>
            </w:pPr>
            <w:r/>
            <w:r>
              <w:rPr>
                <w:rFonts w:ascii="Arial" w:hAnsi="Arial"/>
                <w:b w:val="0"/>
                <w:sz w:val="16"/>
              </w:rPr>
              <w:t>$266,800</w:t>
            </w:r>
          </w:p>
        </w:tc>
        <w:tc>
          <w:tcPr>
            <w:tcW w:type="dxa" w:w="3024"/>
            <w:vAlign w:val="center"/>
            <w:tcMar>
              <w:top w:w="75" w:type="dxa"/>
              <w:start w:w="90" w:type="dxa"/>
              <w:bottom w:w="75" w:type="dxa"/>
              <w:end w:w="90" w:type="dxa"/>
            </w:tcMar>
          </w:tcPr>
          <w:p>
            <w:pPr>
              <w:spacing w:after="0" w:before="0" w:line="240" w:lineRule="auto"/>
            </w:pPr>
            <w:r/>
            <w:r>
              <w:rPr>
                <w:rFonts w:ascii="Arial" w:hAnsi="Arial"/>
                <w:b w:val="0"/>
                <w:sz w:val="16"/>
              </w:rPr>
              <w:t>$318,000</w:t>
            </w:r>
          </w:p>
        </w:tc>
        <w:tc>
          <w:tcPr>
            <w:tcW w:type="dxa" w:w="2160"/>
            <w:vAlign w:val="center"/>
            <w:tcMar>
              <w:top w:w="75" w:type="dxa"/>
              <w:start w:w="90" w:type="dxa"/>
              <w:bottom w:w="75" w:type="dxa"/>
              <w:end w:w="90" w:type="dxa"/>
            </w:tcMar>
          </w:tcPr>
          <w:p>
            <w:pPr>
              <w:spacing w:after="0" w:before="0" w:line="240" w:lineRule="auto"/>
            </w:pPr>
            <w:r/>
            <w:r>
              <w:rPr>
                <w:rFonts w:ascii="Arial" w:hAnsi="Arial"/>
                <w:b w:val="0"/>
                <w:sz w:val="16"/>
              </w:rPr>
              <w:t>$51,200</w:t>
            </w:r>
          </w:p>
        </w:tc>
      </w:tr>
      <w:tr>
        <w:trPr>
          <w:cantSplit/>
        </w:trPr>
        <w:tc>
          <w:tcPr>
            <w:tcW w:type="dxa" w:w="1872"/>
            <w:vAlign w:val="center"/>
            <w:tcMar>
              <w:top w:w="75" w:type="dxa"/>
              <w:start w:w="90" w:type="dxa"/>
              <w:bottom w:w="75" w:type="dxa"/>
              <w:end w:w="90" w:type="dxa"/>
            </w:tcMar>
            <w:shd w:fill="F2F6FA"/>
          </w:tcPr>
          <w:p>
            <w:pPr>
              <w:spacing w:after="0" w:before="0" w:line="240" w:lineRule="auto"/>
            </w:pPr>
            <w:r/>
            <w:r>
              <w:rPr>
                <w:rFonts w:ascii="Arial" w:hAnsi="Arial"/>
                <w:b w:val="0"/>
                <w:sz w:val="16"/>
              </w:rPr>
              <w:t>L500</w:t>
            </w:r>
          </w:p>
        </w:tc>
        <w:tc>
          <w:tcPr>
            <w:tcW w:type="dxa" w:w="2232"/>
            <w:vAlign w:val="center"/>
            <w:tcMar>
              <w:top w:w="75" w:type="dxa"/>
              <w:start w:w="90" w:type="dxa"/>
              <w:bottom w:w="75" w:type="dxa"/>
              <w:end w:w="90" w:type="dxa"/>
            </w:tcMar>
            <w:shd w:fill="F2F6FA"/>
          </w:tcPr>
          <w:p>
            <w:pPr>
              <w:spacing w:after="0" w:before="0" w:line="240" w:lineRule="auto"/>
            </w:pPr>
            <w:r/>
            <w:r>
              <w:rPr>
                <w:rFonts w:ascii="Arial" w:hAnsi="Arial"/>
                <w:b w:val="0"/>
                <w:sz w:val="16"/>
              </w:rPr>
              <w:t>$348,100</w:t>
            </w:r>
          </w:p>
        </w:tc>
        <w:tc>
          <w:tcPr>
            <w:tcW w:type="dxa" w:w="3024"/>
            <w:vAlign w:val="center"/>
            <w:tcMar>
              <w:top w:w="75" w:type="dxa"/>
              <w:start w:w="90" w:type="dxa"/>
              <w:bottom w:w="75" w:type="dxa"/>
              <w:end w:w="90" w:type="dxa"/>
            </w:tcMar>
            <w:shd w:fill="F2F6FA"/>
          </w:tcPr>
          <w:p>
            <w:pPr>
              <w:spacing w:after="0" w:before="0" w:line="240" w:lineRule="auto"/>
            </w:pPr>
            <w:r/>
            <w:r>
              <w:rPr>
                <w:rFonts w:ascii="Arial" w:hAnsi="Arial"/>
                <w:b w:val="0"/>
                <w:sz w:val="16"/>
              </w:rPr>
              <w:t>$350,250</w:t>
            </w:r>
          </w:p>
        </w:tc>
        <w:tc>
          <w:tcPr>
            <w:tcW w:type="dxa" w:w="2160"/>
            <w:vAlign w:val="center"/>
            <w:tcMar>
              <w:top w:w="75" w:type="dxa"/>
              <w:start w:w="90" w:type="dxa"/>
              <w:bottom w:w="75" w:type="dxa"/>
              <w:end w:w="90" w:type="dxa"/>
            </w:tcMar>
            <w:shd w:fill="F2F6FA"/>
          </w:tcPr>
          <w:p>
            <w:pPr>
              <w:spacing w:after="0" w:before="0" w:line="240" w:lineRule="auto"/>
            </w:pPr>
            <w:r/>
            <w:r>
              <w:rPr>
                <w:rFonts w:ascii="Arial" w:hAnsi="Arial"/>
                <w:b w:val="0"/>
                <w:sz w:val="16"/>
              </w:rPr>
              <w:t>$2,150</w:t>
            </w:r>
          </w:p>
        </w:tc>
      </w:tr>
      <w:tr>
        <w:trPr>
          <w:cantSplit/>
        </w:trPr>
        <w:tc>
          <w:tcPr>
            <w:tcW w:type="dxa" w:w="1872"/>
            <w:vAlign w:val="center"/>
            <w:tcMar>
              <w:top w:w="75" w:type="dxa"/>
              <w:start w:w="90" w:type="dxa"/>
              <w:bottom w:w="75" w:type="dxa"/>
              <w:end w:w="90" w:type="dxa"/>
            </w:tcMar>
          </w:tcPr>
          <w:p>
            <w:pPr>
              <w:spacing w:after="0" w:before="0" w:line="240" w:lineRule="auto"/>
            </w:pPr>
            <w:r/>
            <w:r>
              <w:rPr>
                <w:rFonts w:ascii="Arial" w:hAnsi="Arial"/>
                <w:b w:val="0"/>
                <w:sz w:val="16"/>
              </w:rPr>
              <w:t>L600</w:t>
            </w:r>
          </w:p>
        </w:tc>
        <w:tc>
          <w:tcPr>
            <w:tcW w:type="dxa" w:w="2232"/>
            <w:vAlign w:val="center"/>
            <w:tcMar>
              <w:top w:w="75" w:type="dxa"/>
              <w:start w:w="90" w:type="dxa"/>
              <w:bottom w:w="75" w:type="dxa"/>
              <w:end w:w="90" w:type="dxa"/>
            </w:tcMar>
          </w:tcPr>
          <w:p>
            <w:pPr>
              <w:spacing w:after="0" w:before="0" w:line="240" w:lineRule="auto"/>
            </w:pPr>
            <w:r/>
            <w:r>
              <w:rPr>
                <w:rFonts w:ascii="Arial" w:hAnsi="Arial"/>
                <w:b w:val="0"/>
                <w:sz w:val="16"/>
              </w:rPr>
              <w:t>$264,000</w:t>
            </w:r>
          </w:p>
        </w:tc>
        <w:tc>
          <w:tcPr>
            <w:tcW w:type="dxa" w:w="3024"/>
            <w:vAlign w:val="center"/>
            <w:tcMar>
              <w:top w:w="75" w:type="dxa"/>
              <w:start w:w="90" w:type="dxa"/>
              <w:bottom w:w="75" w:type="dxa"/>
              <w:end w:w="90" w:type="dxa"/>
            </w:tcMar>
          </w:tcPr>
          <w:p>
            <w:pPr>
              <w:spacing w:after="0" w:before="0" w:line="240" w:lineRule="auto"/>
            </w:pPr>
            <w:r/>
            <w:r>
              <w:rPr>
                <w:rFonts w:ascii="Arial" w:hAnsi="Arial"/>
                <w:b w:val="0"/>
                <w:sz w:val="16"/>
              </w:rPr>
              <w:t>$265,500</w:t>
            </w:r>
          </w:p>
        </w:tc>
        <w:tc>
          <w:tcPr>
            <w:tcW w:type="dxa" w:w="2160"/>
            <w:vAlign w:val="center"/>
            <w:tcMar>
              <w:top w:w="75" w:type="dxa"/>
              <w:start w:w="90" w:type="dxa"/>
              <w:bottom w:w="75" w:type="dxa"/>
              <w:end w:w="90" w:type="dxa"/>
            </w:tcMar>
          </w:tcPr>
          <w:p>
            <w:pPr>
              <w:spacing w:after="0" w:before="0" w:line="240" w:lineRule="auto"/>
            </w:pPr>
            <w:r/>
            <w:r>
              <w:rPr>
                <w:rFonts w:ascii="Arial" w:hAnsi="Arial"/>
                <w:b w:val="0"/>
                <w:sz w:val="16"/>
              </w:rPr>
              <w:t>$1,500</w:t>
            </w:r>
          </w:p>
        </w:tc>
      </w:tr>
      <w:tr>
        <w:trPr>
          <w:cantSplit/>
        </w:trPr>
        <w:tc>
          <w:tcPr>
            <w:tcW w:type="dxa" w:w="1872"/>
            <w:vAlign w:val="center"/>
            <w:tcMar>
              <w:top w:w="75" w:type="dxa"/>
              <w:start w:w="90" w:type="dxa"/>
              <w:bottom w:w="75" w:type="dxa"/>
              <w:end w:w="90" w:type="dxa"/>
            </w:tcMar>
            <w:shd w:fill="F2F6FA"/>
          </w:tcPr>
          <w:p>
            <w:pPr>
              <w:spacing w:after="0" w:before="0" w:line="240" w:lineRule="auto"/>
            </w:pPr>
            <w:r/>
            <w:r>
              <w:rPr>
                <w:rFonts w:ascii="Arial" w:hAnsi="Arial"/>
                <w:b w:val="0"/>
                <w:sz w:val="16"/>
              </w:rPr>
              <w:t>L700</w:t>
            </w:r>
          </w:p>
        </w:tc>
        <w:tc>
          <w:tcPr>
            <w:tcW w:type="dxa" w:w="2232"/>
            <w:vAlign w:val="center"/>
            <w:tcMar>
              <w:top w:w="75" w:type="dxa"/>
              <w:start w:w="90" w:type="dxa"/>
              <w:bottom w:w="75" w:type="dxa"/>
              <w:end w:w="90" w:type="dxa"/>
            </w:tcMar>
            <w:shd w:fill="F2F6FA"/>
          </w:tcPr>
          <w:p>
            <w:pPr>
              <w:spacing w:after="0" w:before="0" w:line="240" w:lineRule="auto"/>
            </w:pPr>
            <w:r/>
            <w:r>
              <w:rPr>
                <w:rFonts w:ascii="Arial" w:hAnsi="Arial"/>
                <w:b w:val="0"/>
                <w:sz w:val="16"/>
              </w:rPr>
              <w:t>$92,000</w:t>
            </w:r>
          </w:p>
        </w:tc>
        <w:tc>
          <w:tcPr>
            <w:tcW w:type="dxa" w:w="3024"/>
            <w:vAlign w:val="center"/>
            <w:tcMar>
              <w:top w:w="75" w:type="dxa"/>
              <w:start w:w="90" w:type="dxa"/>
              <w:bottom w:w="75" w:type="dxa"/>
              <w:end w:w="90" w:type="dxa"/>
            </w:tcMar>
            <w:shd w:fill="F2F6FA"/>
          </w:tcPr>
          <w:p>
            <w:pPr>
              <w:spacing w:after="0" w:before="0" w:line="240" w:lineRule="auto"/>
            </w:pPr>
            <w:r/>
            <w:r>
              <w:rPr>
                <w:rFonts w:ascii="Arial" w:hAnsi="Arial"/>
                <w:b w:val="0"/>
                <w:sz w:val="16"/>
              </w:rPr>
              <w:t>$95,000</w:t>
            </w:r>
          </w:p>
        </w:tc>
        <w:tc>
          <w:tcPr>
            <w:tcW w:type="dxa" w:w="2160"/>
            <w:vAlign w:val="center"/>
            <w:tcMar>
              <w:top w:w="75" w:type="dxa"/>
              <w:start w:w="90" w:type="dxa"/>
              <w:bottom w:w="75" w:type="dxa"/>
              <w:end w:w="90" w:type="dxa"/>
            </w:tcMar>
            <w:shd w:fill="F2F6FA"/>
          </w:tcPr>
          <w:p>
            <w:pPr>
              <w:spacing w:after="0" w:before="0" w:line="240" w:lineRule="auto"/>
            </w:pPr>
            <w:r/>
            <w:r>
              <w:rPr>
                <w:rFonts w:ascii="Arial" w:hAnsi="Arial"/>
                <w:b w:val="0"/>
                <w:sz w:val="16"/>
              </w:rPr>
              <w:t>$3,000</w:t>
            </w:r>
          </w:p>
        </w:tc>
      </w:tr>
      <w:tr>
        <w:trPr>
          <w:cantSplit/>
        </w:trPr>
        <w:tc>
          <w:tcPr>
            <w:tcW w:type="dxa" w:w="1872"/>
            <w:vAlign w:val="center"/>
            <w:tcMar>
              <w:top w:w="75" w:type="dxa"/>
              <w:start w:w="90" w:type="dxa"/>
              <w:bottom w:w="75" w:type="dxa"/>
              <w:end w:w="90" w:type="dxa"/>
            </w:tcMar>
          </w:tcPr>
          <w:p>
            <w:pPr>
              <w:spacing w:after="0" w:before="0" w:line="240" w:lineRule="auto"/>
            </w:pPr>
            <w:r/>
            <w:r>
              <w:rPr>
                <w:rFonts w:ascii="Arial" w:hAnsi="Arial"/>
                <w:b w:val="0"/>
                <w:sz w:val="16"/>
              </w:rPr>
              <w:t>TOTAL</w:t>
            </w:r>
          </w:p>
        </w:tc>
        <w:tc>
          <w:tcPr>
            <w:tcW w:type="dxa" w:w="2232"/>
            <w:vAlign w:val="center"/>
            <w:tcMar>
              <w:top w:w="75" w:type="dxa"/>
              <w:start w:w="90" w:type="dxa"/>
              <w:bottom w:w="75" w:type="dxa"/>
              <w:end w:w="90" w:type="dxa"/>
            </w:tcMar>
          </w:tcPr>
          <w:p>
            <w:pPr>
              <w:spacing w:after="0" w:before="0" w:line="240" w:lineRule="auto"/>
            </w:pPr>
            <w:r/>
            <w:r>
              <w:rPr>
                <w:rFonts w:ascii="Arial" w:hAnsi="Arial"/>
                <w:b w:val="0"/>
                <w:sz w:val="16"/>
              </w:rPr>
              <w:t>$1,708,950</w:t>
            </w:r>
          </w:p>
        </w:tc>
        <w:tc>
          <w:tcPr>
            <w:tcW w:type="dxa" w:w="3024"/>
            <w:vAlign w:val="center"/>
            <w:tcMar>
              <w:top w:w="75" w:type="dxa"/>
              <w:start w:w="90" w:type="dxa"/>
              <w:bottom w:w="75" w:type="dxa"/>
              <w:end w:w="90" w:type="dxa"/>
            </w:tcMar>
          </w:tcPr>
          <w:p>
            <w:pPr>
              <w:spacing w:after="0" w:before="0" w:line="240" w:lineRule="auto"/>
            </w:pPr>
            <w:r/>
            <w:r>
              <w:rPr>
                <w:rFonts w:ascii="Arial" w:hAnsi="Arial"/>
                <w:b w:val="0"/>
                <w:sz w:val="16"/>
              </w:rPr>
              <w:t>$1,825,000</w:t>
            </w:r>
          </w:p>
        </w:tc>
        <w:tc>
          <w:tcPr>
            <w:tcW w:type="dxa" w:w="2160"/>
            <w:vAlign w:val="center"/>
            <w:tcMar>
              <w:top w:w="75" w:type="dxa"/>
              <w:start w:w="90" w:type="dxa"/>
              <w:bottom w:w="75" w:type="dxa"/>
              <w:end w:w="90" w:type="dxa"/>
            </w:tcMar>
          </w:tcPr>
          <w:p>
            <w:pPr>
              <w:spacing w:after="0" w:before="0" w:line="240" w:lineRule="auto"/>
            </w:pPr>
            <w:r/>
            <w:r>
              <w:rPr>
                <w:rFonts w:ascii="Arial" w:hAnsi="Arial"/>
                <w:b w:val="0"/>
                <w:sz w:val="16"/>
              </w:rPr>
              <w:t>$116,050</w:t>
            </w:r>
          </w:p>
        </w:tc>
      </w:tr>
    </w:tbl>
    <w:p>
      <w:pPr>
        <w:spacing w:after="0"/>
      </w:pPr>
    </w:p>
    <w:p>
      <w:pPr>
        <w:spacing w:before="0" w:after="100" w:line="257" w:lineRule="auto"/>
      </w:pPr>
      <w:r>
        <w:t>The proposal’s staffing-table total is arithmetically consistent with its stated hours and rates, while its phase fees sum to $1,708,950. Thus, the stated combined budget uses phase fees and expenses ($1,708,950 + $688,500 = $2,397,450), but the staffing-based combined amount would be $2,513,500, a $116,050 difference. This comparison uses the proposed rates and does not adjust for disallowed rates, remove L700, or add Whitaker. No explanatory reconciliation is provided.</w:t>
      </w:r>
    </w:p>
    <w:p>
      <w:pPr>
        <w:spacing w:before="0" w:after="140" w:line="257" w:lineRule="auto"/>
      </w:pPr>
      <w:r>
        <w:rPr>
          <w:b/>
          <w:i w:val="0"/>
        </w:rPr>
        <w:t xml:space="preserve">Action: </w:t>
      </w:r>
      <w:r>
        <w:rPr>
          <w:b w:val="0"/>
          <w:i w:val="0"/>
        </w:rPr>
        <w:t>Require one revised fee schedule in which each phase total equals the allocated hours times the applicable approved rates, and the grand total rolls through to expenses. Do not approve either fee total until corrected.</w:t>
      </w:r>
    </w:p>
    <w:p>
      <w:pPr>
        <w:pStyle w:val="Heading2"/>
        <w:keepNext/>
      </w:pPr>
      <w:r>
        <w:t>1.2 Boyd Whitaker is a disclosed but unpriced/unreconciled resource</w:t>
      </w:r>
    </w:p>
    <w:p>
      <w:pPr>
        <w:spacing w:before="0" w:after="140" w:line="257" w:lineRule="auto"/>
      </w:pPr>
      <w:r>
        <w:t>The proposal describes approximately 60 hours of possible partner time in L400, but expressly excludes Mr. Whitaker from the staffing totals and fee estimates. His rate, detailed hours by phase, and any GC approval are not provided. OCG §§2.1 and 5.2 require the anticipated team and associated rates/hours to be budgeted. OCG §4.2 permits at most two partners (including partner-level of counsel), but requires advance approval to add a second partner if the approved plan included only one. Croft plus Whitaker would be two partners—not automatically a numerical breach—yet the prior-year materials show Croft as the only partner and no Whitaker approval is included here. Add and price him only if needed and approved in writing; otherwise remove the contingency. Any third partner-level timekeeper would be written off.</w:t>
      </w:r>
    </w:p>
    <w:p>
      <w:pPr>
        <w:pStyle w:val="Heading2"/>
        <w:keepNext/>
      </w:pPr>
      <w:r>
        <w:t>1.3 Budget period and historical bridge need clarification</w:t>
      </w:r>
    </w:p>
    <w:p>
      <w:pPr>
        <w:spacing w:before="0" w:after="140" w:line="257" w:lineRule="auto"/>
      </w:pPr>
      <w:r>
        <w:t>The submission is dated May 12, 2025 but starts its forecast on May 1. The supporting actuals end December 31, 2024, leaving January–April 2025 unreported. The proposal therefore does not establish current spend, remaining amounts, or a cumulative phase forecast from inception. OCG §5.1 requires quarterly updates (and updates when scope or anticipated cost materially changes), submitted with the quarterly status report. Obtain a January–April 2025 actuals/forecast bridge and identify whether this submission is the required quarterly update; include phase-to-date actuals, remaining forecast and total matter projection.</w:t>
      </w:r>
    </w:p>
    <w:p>
      <w:pPr>
        <w:pStyle w:val="Heading1"/>
        <w:keepNext/>
      </w:pPr>
      <w:r>
        <w:t>2. Rates and timekeeper approvals</w:t>
      </w:r>
    </w:p>
    <w:p>
      <w:pPr>
        <w:spacing w:before="0" w:after="80" w:line="257" w:lineRule="auto"/>
      </w:pPr>
      <w:r>
        <w:t>OCG §§3.1–3.3 make the category caps absolute, limit annual increases to 3% per timekeeper, require notice by November 1 for a January 1 increase, and require written GC approval before any timekeeper bills. The December 15, 2024 notice is after the November 1 deadline and is not an approval. The proposal’s statement that the notification “was provided” does not satisfy the approval requirement.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vAlign w:val="center"/>
            <w:tcMar>
              <w:top w:w="75" w:type="dxa"/>
              <w:start w:w="90" w:type="dxa"/>
              <w:bottom w:w="75" w:type="dxa"/>
              <w:end w:w="90" w:type="dxa"/>
            </w:tcMar>
            <w:shd w:fill="17365D"/>
          </w:tcPr>
          <w:p>
            <w:pPr>
              <w:spacing w:after="0" w:before="0" w:line="240" w:lineRule="auto"/>
            </w:pPr>
            <w:r/>
            <w:r>
              <w:rPr>
                <w:rFonts w:ascii="Arial" w:hAnsi="Arial"/>
                <w:b/>
                <w:color w:val="FFFFFF"/>
                <w:sz w:val="15"/>
              </w:rPr>
              <w:t>Timekeeper</w:t>
            </w:r>
          </w:p>
        </w:tc>
        <w:tc>
          <w:tcPr>
            <w:tcW w:type="dxa" w:w="1440"/>
            <w:vAlign w:val="center"/>
            <w:tcMar>
              <w:top w:w="75" w:type="dxa"/>
              <w:start w:w="90" w:type="dxa"/>
              <w:bottom w:w="75" w:type="dxa"/>
              <w:end w:w="90" w:type="dxa"/>
            </w:tcMar>
            <w:shd w:fill="17365D"/>
          </w:tcPr>
          <w:p>
            <w:pPr>
              <w:spacing w:after="0" w:before="0" w:line="240" w:lineRule="auto"/>
            </w:pPr>
            <w:r/>
            <w:r>
              <w:rPr>
                <w:rFonts w:ascii="Arial" w:hAnsi="Arial"/>
                <w:b/>
                <w:color w:val="FFFFFF"/>
                <w:sz w:val="15"/>
              </w:rPr>
              <w:t>Proposed rate</w:t>
            </w:r>
          </w:p>
        </w:tc>
        <w:tc>
          <w:tcPr>
            <w:tcW w:type="dxa" w:w="2592"/>
            <w:vAlign w:val="center"/>
            <w:tcMar>
              <w:top w:w="75" w:type="dxa"/>
              <w:start w:w="90" w:type="dxa"/>
              <w:bottom w:w="75" w:type="dxa"/>
              <w:end w:w="90" w:type="dxa"/>
            </w:tcMar>
            <w:shd w:fill="17365D"/>
          </w:tcPr>
          <w:p>
            <w:pPr>
              <w:spacing w:after="0" w:before="0" w:line="240" w:lineRule="auto"/>
            </w:pPr>
            <w:r/>
            <w:r>
              <w:rPr>
                <w:rFonts w:ascii="Arial" w:hAnsi="Arial"/>
                <w:b/>
                <w:color w:val="FFFFFF"/>
                <w:sz w:val="15"/>
              </w:rPr>
              <w:t>OCG cap / prior reference</w:t>
            </w:r>
          </w:p>
        </w:tc>
        <w:tc>
          <w:tcPr>
            <w:tcW w:type="dxa" w:w="3528"/>
            <w:vAlign w:val="center"/>
            <w:tcMar>
              <w:top w:w="75" w:type="dxa"/>
              <w:start w:w="90" w:type="dxa"/>
              <w:bottom w:w="75" w:type="dxa"/>
              <w:end w:w="90" w:type="dxa"/>
            </w:tcMar>
            <w:shd w:fill="17365D"/>
          </w:tcPr>
          <w:p>
            <w:pPr>
              <w:spacing w:after="0" w:before="0" w:line="240" w:lineRule="auto"/>
            </w:pPr>
            <w:r/>
            <w:r>
              <w:rPr>
                <w:rFonts w:ascii="Arial" w:hAnsi="Arial"/>
                <w:b/>
                <w:color w:val="FFFFFF"/>
                <w:sz w:val="15"/>
              </w:rPr>
              <w:t>Issue</w:t>
            </w:r>
          </w:p>
        </w:tc>
      </w:tr>
      <w:tr>
        <w:trPr>
          <w:cantSplit/>
        </w:trPr>
        <w:tc>
          <w:tcPr>
            <w:tcW w:type="dxa" w:w="1728"/>
            <w:vAlign w:val="center"/>
            <w:tcMar>
              <w:top w:w="75" w:type="dxa"/>
              <w:start w:w="90" w:type="dxa"/>
              <w:bottom w:w="75" w:type="dxa"/>
              <w:end w:w="90" w:type="dxa"/>
            </w:tcMar>
          </w:tcPr>
          <w:p>
            <w:pPr>
              <w:spacing w:after="0" w:before="0" w:line="240" w:lineRule="auto"/>
            </w:pPr>
            <w:r/>
            <w:r>
              <w:rPr>
                <w:rFonts w:ascii="Arial" w:hAnsi="Arial"/>
                <w:b w:val="0"/>
                <w:sz w:val="15"/>
              </w:rPr>
              <w:t>Nathaniel Croft</w:t>
            </w:r>
          </w:p>
        </w:tc>
        <w:tc>
          <w:tcPr>
            <w:tcW w:type="dxa" w:w="1440"/>
            <w:vAlign w:val="center"/>
            <w:tcMar>
              <w:top w:w="75" w:type="dxa"/>
              <w:start w:w="90" w:type="dxa"/>
              <w:bottom w:w="75" w:type="dxa"/>
              <w:end w:w="90" w:type="dxa"/>
            </w:tcMar>
          </w:tcPr>
          <w:p>
            <w:pPr>
              <w:spacing w:after="0" w:before="0" w:line="240" w:lineRule="auto"/>
            </w:pPr>
            <w:r/>
            <w:r>
              <w:rPr>
                <w:rFonts w:ascii="Arial" w:hAnsi="Arial"/>
                <w:b w:val="0"/>
                <w:sz w:val="15"/>
              </w:rPr>
              <w:t>$850</w:t>
            </w:r>
          </w:p>
        </w:tc>
        <w:tc>
          <w:tcPr>
            <w:tcW w:type="dxa" w:w="2592"/>
            <w:vAlign w:val="center"/>
            <w:tcMar>
              <w:top w:w="75" w:type="dxa"/>
              <w:start w:w="90" w:type="dxa"/>
              <w:bottom w:w="75" w:type="dxa"/>
              <w:end w:w="90" w:type="dxa"/>
            </w:tcMar>
          </w:tcPr>
          <w:p>
            <w:pPr>
              <w:spacing w:after="0" w:before="0" w:line="240" w:lineRule="auto"/>
            </w:pPr>
            <w:r/>
            <w:r>
              <w:rPr>
                <w:rFonts w:ascii="Arial" w:hAnsi="Arial"/>
                <w:b w:val="0"/>
                <w:sz w:val="15"/>
              </w:rPr>
              <w:t>$825 cap; 2024 approved $825</w:t>
            </w:r>
          </w:p>
        </w:tc>
        <w:tc>
          <w:tcPr>
            <w:tcW w:type="dxa" w:w="3528"/>
            <w:vAlign w:val="center"/>
            <w:tcMar>
              <w:top w:w="75" w:type="dxa"/>
              <w:start w:w="90" w:type="dxa"/>
              <w:bottom w:w="75" w:type="dxa"/>
              <w:end w:w="90" w:type="dxa"/>
            </w:tcMar>
          </w:tcPr>
          <w:p>
            <w:pPr>
              <w:spacing w:after="0" w:before="0" w:line="240" w:lineRule="auto"/>
            </w:pPr>
            <w:r/>
            <w:r>
              <w:rPr>
                <w:rFonts w:ascii="Arial" w:hAnsi="Arial"/>
                <w:b w:val="0"/>
                <w:sz w:val="15"/>
              </w:rPr>
              <w:t>Above absolute cap by $25/hr; a 3% increase from $825 would still be capped at $825.</w:t>
            </w:r>
          </w:p>
        </w:tc>
      </w:tr>
      <w:tr>
        <w:trPr>
          <w:cantSplit/>
        </w:trPr>
        <w:tc>
          <w:tcPr>
            <w:tcW w:type="dxa" w:w="1728"/>
            <w:vAlign w:val="center"/>
            <w:tcMar>
              <w:top w:w="75" w:type="dxa"/>
              <w:start w:w="90" w:type="dxa"/>
              <w:bottom w:w="75" w:type="dxa"/>
              <w:end w:w="90" w:type="dxa"/>
            </w:tcMar>
            <w:shd w:fill="F2F6FA"/>
          </w:tcPr>
          <w:p>
            <w:pPr>
              <w:spacing w:after="0" w:before="0" w:line="240" w:lineRule="auto"/>
            </w:pPr>
            <w:r/>
            <w:r>
              <w:rPr>
                <w:rFonts w:ascii="Arial" w:hAnsi="Arial"/>
                <w:b w:val="0"/>
                <w:sz w:val="15"/>
              </w:rPr>
              <w:t>Samara Okeke</w:t>
            </w:r>
          </w:p>
        </w:tc>
        <w:tc>
          <w:tcPr>
            <w:tcW w:type="dxa" w:w="1440"/>
            <w:vAlign w:val="center"/>
            <w:tcMar>
              <w:top w:w="75" w:type="dxa"/>
              <w:start w:w="90" w:type="dxa"/>
              <w:bottom w:w="75" w:type="dxa"/>
              <w:end w:w="90" w:type="dxa"/>
            </w:tcMar>
            <w:shd w:fill="F2F6FA"/>
          </w:tcPr>
          <w:p>
            <w:pPr>
              <w:spacing w:after="0" w:before="0" w:line="240" w:lineRule="auto"/>
            </w:pPr>
            <w:r/>
            <w:r>
              <w:rPr>
                <w:rFonts w:ascii="Arial" w:hAnsi="Arial"/>
                <w:b w:val="0"/>
                <w:sz w:val="15"/>
              </w:rPr>
              <w:t>$575</w:t>
            </w:r>
          </w:p>
        </w:tc>
        <w:tc>
          <w:tcPr>
            <w:tcW w:type="dxa" w:w="2592"/>
            <w:vAlign w:val="center"/>
            <w:tcMar>
              <w:top w:w="75" w:type="dxa"/>
              <w:start w:w="90" w:type="dxa"/>
              <w:bottom w:w="75" w:type="dxa"/>
              <w:end w:w="90" w:type="dxa"/>
            </w:tcMar>
            <w:shd w:fill="F2F6FA"/>
          </w:tcPr>
          <w:p>
            <w:pPr>
              <w:spacing w:after="0" w:before="0" w:line="240" w:lineRule="auto"/>
            </w:pPr>
            <w:r/>
            <w:r>
              <w:rPr>
                <w:rFonts w:ascii="Arial" w:hAnsi="Arial"/>
                <w:b w:val="0"/>
                <w:sz w:val="15"/>
              </w:rPr>
              <w:t>$550 cap; 2024 approved $550</w:t>
            </w:r>
          </w:p>
        </w:tc>
        <w:tc>
          <w:tcPr>
            <w:tcW w:type="dxa" w:w="3528"/>
            <w:vAlign w:val="center"/>
            <w:tcMar>
              <w:top w:w="75" w:type="dxa"/>
              <w:start w:w="90" w:type="dxa"/>
              <w:bottom w:w="75" w:type="dxa"/>
              <w:end w:w="90" w:type="dxa"/>
            </w:tcMar>
            <w:shd w:fill="F2F6FA"/>
          </w:tcPr>
          <w:p>
            <w:pPr>
              <w:spacing w:after="0" w:before="0" w:line="240" w:lineRule="auto"/>
            </w:pPr>
            <w:r/>
            <w:r>
              <w:rPr>
                <w:rFonts w:ascii="Arial" w:hAnsi="Arial"/>
                <w:b w:val="0"/>
                <w:sz w:val="15"/>
              </w:rPr>
              <w:t>Above cap by $25/hr; increase is about 4.55% and exceeds both the cap and annual limit.</w:t>
            </w:r>
          </w:p>
        </w:tc>
      </w:tr>
      <w:tr>
        <w:trPr>
          <w:cantSplit/>
        </w:trPr>
        <w:tc>
          <w:tcPr>
            <w:tcW w:type="dxa" w:w="1728"/>
            <w:vAlign w:val="center"/>
            <w:tcMar>
              <w:top w:w="75" w:type="dxa"/>
              <w:start w:w="90" w:type="dxa"/>
              <w:bottom w:w="75" w:type="dxa"/>
              <w:end w:w="90" w:type="dxa"/>
            </w:tcMar>
          </w:tcPr>
          <w:p>
            <w:pPr>
              <w:spacing w:after="0" w:before="0" w:line="240" w:lineRule="auto"/>
            </w:pPr>
            <w:r/>
            <w:r>
              <w:rPr>
                <w:rFonts w:ascii="Arial" w:hAnsi="Arial"/>
                <w:b w:val="0"/>
                <w:sz w:val="15"/>
              </w:rPr>
              <w:t>Derrick Yoon</w:t>
            </w:r>
          </w:p>
        </w:tc>
        <w:tc>
          <w:tcPr>
            <w:tcW w:type="dxa" w:w="1440"/>
            <w:vAlign w:val="center"/>
            <w:tcMar>
              <w:top w:w="75" w:type="dxa"/>
              <w:start w:w="90" w:type="dxa"/>
              <w:bottom w:w="75" w:type="dxa"/>
              <w:end w:w="90" w:type="dxa"/>
            </w:tcMar>
          </w:tcPr>
          <w:p>
            <w:pPr>
              <w:spacing w:after="0" w:before="0" w:line="240" w:lineRule="auto"/>
            </w:pPr>
            <w:r/>
            <w:r>
              <w:rPr>
                <w:rFonts w:ascii="Arial" w:hAnsi="Arial"/>
                <w:b w:val="0"/>
                <w:sz w:val="15"/>
              </w:rPr>
              <w:t>$425</w:t>
            </w:r>
          </w:p>
        </w:tc>
        <w:tc>
          <w:tcPr>
            <w:tcW w:type="dxa" w:w="2592"/>
            <w:vAlign w:val="center"/>
            <w:tcMar>
              <w:top w:w="75" w:type="dxa"/>
              <w:start w:w="90" w:type="dxa"/>
              <w:bottom w:w="75" w:type="dxa"/>
              <w:end w:w="90" w:type="dxa"/>
            </w:tcMar>
          </w:tcPr>
          <w:p>
            <w:pPr>
              <w:spacing w:after="0" w:before="0" w:line="240" w:lineRule="auto"/>
            </w:pPr>
            <w:r/>
            <w:r>
              <w:rPr>
                <w:rFonts w:ascii="Arial" w:hAnsi="Arial"/>
                <w:b w:val="0"/>
                <w:sz w:val="15"/>
              </w:rPr>
              <w:t>$425 cap; 2024 approved $410</w:t>
            </w:r>
          </w:p>
        </w:tc>
        <w:tc>
          <w:tcPr>
            <w:tcW w:type="dxa" w:w="3528"/>
            <w:vAlign w:val="center"/>
            <w:tcMar>
              <w:top w:w="75" w:type="dxa"/>
              <w:start w:w="90" w:type="dxa"/>
              <w:bottom w:w="75" w:type="dxa"/>
              <w:end w:w="90" w:type="dxa"/>
            </w:tcMar>
          </w:tcPr>
          <w:p>
            <w:pPr>
              <w:spacing w:after="0" w:before="0" w:line="240" w:lineRule="auto"/>
            </w:pPr>
            <w:r/>
            <w:r>
              <w:rPr>
                <w:rFonts w:ascii="Arial" w:hAnsi="Arial"/>
                <w:b w:val="0"/>
                <w:sz w:val="15"/>
              </w:rPr>
              <w:t>At category cap but increase is about 3.66%; exceeds 3% increase limit (3% of $410 = $422.30), and notice is late.</w:t>
            </w:r>
          </w:p>
        </w:tc>
      </w:tr>
      <w:tr>
        <w:trPr>
          <w:cantSplit/>
        </w:trPr>
        <w:tc>
          <w:tcPr>
            <w:tcW w:type="dxa" w:w="1728"/>
            <w:vAlign w:val="center"/>
            <w:tcMar>
              <w:top w:w="75" w:type="dxa"/>
              <w:start w:w="90" w:type="dxa"/>
              <w:bottom w:w="75" w:type="dxa"/>
              <w:end w:w="90" w:type="dxa"/>
            </w:tcMar>
            <w:shd w:fill="F2F6FA"/>
          </w:tcPr>
          <w:p>
            <w:pPr>
              <w:spacing w:after="0" w:before="0" w:line="240" w:lineRule="auto"/>
            </w:pPr>
            <w:r/>
            <w:r>
              <w:rPr>
                <w:rFonts w:ascii="Arial" w:hAnsi="Arial"/>
                <w:b w:val="0"/>
                <w:sz w:val="15"/>
              </w:rPr>
              <w:t>Tara Novak</w:t>
            </w:r>
          </w:p>
        </w:tc>
        <w:tc>
          <w:tcPr>
            <w:tcW w:type="dxa" w:w="1440"/>
            <w:vAlign w:val="center"/>
            <w:tcMar>
              <w:top w:w="75" w:type="dxa"/>
              <w:start w:w="90" w:type="dxa"/>
              <w:bottom w:w="75" w:type="dxa"/>
              <w:end w:w="90" w:type="dxa"/>
            </w:tcMar>
            <w:shd w:fill="F2F6FA"/>
          </w:tcPr>
          <w:p>
            <w:pPr>
              <w:spacing w:after="0" w:before="0" w:line="240" w:lineRule="auto"/>
            </w:pPr>
            <w:r/>
            <w:r>
              <w:rPr>
                <w:rFonts w:ascii="Arial" w:hAnsi="Arial"/>
                <w:b w:val="0"/>
                <w:sz w:val="15"/>
              </w:rPr>
              <w:t>$375</w:t>
            </w:r>
          </w:p>
        </w:tc>
        <w:tc>
          <w:tcPr>
            <w:tcW w:type="dxa" w:w="2592"/>
            <w:vAlign w:val="center"/>
            <w:tcMar>
              <w:top w:w="75" w:type="dxa"/>
              <w:start w:w="90" w:type="dxa"/>
              <w:bottom w:w="75" w:type="dxa"/>
              <w:end w:w="90" w:type="dxa"/>
            </w:tcMar>
            <w:shd w:fill="F2F6FA"/>
          </w:tcPr>
          <w:p>
            <w:pPr>
              <w:spacing w:after="0" w:before="0" w:line="240" w:lineRule="auto"/>
            </w:pPr>
            <w:r/>
            <w:r>
              <w:rPr>
                <w:rFonts w:ascii="Arial" w:hAnsi="Arial"/>
                <w:b w:val="0"/>
                <w:sz w:val="15"/>
              </w:rPr>
              <w:t>$375 cap; 2024 detail says $360; Dec. notice says $365</w:t>
            </w:r>
          </w:p>
        </w:tc>
        <w:tc>
          <w:tcPr>
            <w:tcW w:type="dxa" w:w="3528"/>
            <w:vAlign w:val="center"/>
            <w:tcMar>
              <w:top w:w="75" w:type="dxa"/>
              <w:start w:w="90" w:type="dxa"/>
              <w:bottom w:w="75" w:type="dxa"/>
              <w:end w:w="90" w:type="dxa"/>
            </w:tcMar>
            <w:shd w:fill="F2F6FA"/>
          </w:tcPr>
          <w:p>
            <w:pPr>
              <w:spacing w:after="0" w:before="0" w:line="240" w:lineRule="auto"/>
            </w:pPr>
            <w:r/>
            <w:r>
              <w:rPr>
                <w:rFonts w:ascii="Arial" w:hAnsi="Arial"/>
                <w:b w:val="0"/>
                <w:sz w:val="15"/>
              </w:rPr>
              <w:t>Baseline conflicts. $375 is 4.17% above $360 but 2.74% above $365. Either way, request is late and no written approval is shown.</w:t>
            </w:r>
          </w:p>
        </w:tc>
      </w:tr>
      <w:tr>
        <w:trPr>
          <w:cantSplit/>
        </w:trPr>
        <w:tc>
          <w:tcPr>
            <w:tcW w:type="dxa" w:w="1728"/>
            <w:vAlign w:val="center"/>
            <w:tcMar>
              <w:top w:w="75" w:type="dxa"/>
              <w:start w:w="90" w:type="dxa"/>
              <w:bottom w:w="75" w:type="dxa"/>
              <w:end w:w="90" w:type="dxa"/>
            </w:tcMar>
          </w:tcPr>
          <w:p>
            <w:pPr>
              <w:spacing w:after="0" w:before="0" w:line="240" w:lineRule="auto"/>
            </w:pPr>
            <w:r/>
            <w:r>
              <w:rPr>
                <w:rFonts w:ascii="Arial" w:hAnsi="Arial"/>
                <w:b w:val="0"/>
                <w:sz w:val="15"/>
              </w:rPr>
              <w:t>Margaret Hsu / Hu</w:t>
            </w:r>
          </w:p>
        </w:tc>
        <w:tc>
          <w:tcPr>
            <w:tcW w:type="dxa" w:w="1440"/>
            <w:vAlign w:val="center"/>
            <w:tcMar>
              <w:top w:w="75" w:type="dxa"/>
              <w:start w:w="90" w:type="dxa"/>
              <w:bottom w:w="75" w:type="dxa"/>
              <w:end w:w="90" w:type="dxa"/>
            </w:tcMar>
          </w:tcPr>
          <w:p>
            <w:pPr>
              <w:spacing w:after="0" w:before="0" w:line="240" w:lineRule="auto"/>
            </w:pPr>
            <w:r/>
            <w:r>
              <w:rPr>
                <w:rFonts w:ascii="Arial" w:hAnsi="Arial"/>
                <w:b w:val="0"/>
                <w:sz w:val="15"/>
              </w:rPr>
              <w:t>$225</w:t>
            </w:r>
          </w:p>
        </w:tc>
        <w:tc>
          <w:tcPr>
            <w:tcW w:type="dxa" w:w="2592"/>
            <w:vAlign w:val="center"/>
            <w:tcMar>
              <w:top w:w="75" w:type="dxa"/>
              <w:start w:w="90" w:type="dxa"/>
              <w:bottom w:w="75" w:type="dxa"/>
              <w:end w:w="90" w:type="dxa"/>
            </w:tcMar>
          </w:tcPr>
          <w:p>
            <w:pPr>
              <w:spacing w:after="0" w:before="0" w:line="240" w:lineRule="auto"/>
            </w:pPr>
            <w:r/>
            <w:r>
              <w:rPr>
                <w:rFonts w:ascii="Arial" w:hAnsi="Arial"/>
                <w:b w:val="0"/>
                <w:sz w:val="15"/>
              </w:rPr>
              <w:t>$200 paralegal cap</w:t>
            </w:r>
          </w:p>
        </w:tc>
        <w:tc>
          <w:tcPr>
            <w:tcW w:type="dxa" w:w="3528"/>
            <w:vAlign w:val="center"/>
            <w:tcMar>
              <w:top w:w="75" w:type="dxa"/>
              <w:start w:w="90" w:type="dxa"/>
              <w:bottom w:w="75" w:type="dxa"/>
              <w:end w:w="90" w:type="dxa"/>
            </w:tcMar>
          </w:tcPr>
          <w:p>
            <w:pPr>
              <w:spacing w:after="0" w:before="0" w:line="240" w:lineRule="auto"/>
            </w:pPr>
            <w:r/>
            <w:r>
              <w:rPr>
                <w:rFonts w:ascii="Arial" w:hAnsi="Arial"/>
                <w:b w:val="0"/>
                <w:sz w:val="15"/>
              </w:rPr>
              <w:t>Above cap by $25/hr; no approved rate, and the proposed timekeeper addition is not shown as approved.</w:t>
            </w:r>
          </w:p>
        </w:tc>
      </w:tr>
    </w:tbl>
    <w:p>
      <w:pPr>
        <w:spacing w:after="0"/>
      </w:pPr>
    </w:p>
    <w:p>
      <w:pPr>
        <w:spacing w:before="0" w:after="100" w:line="257" w:lineRule="auto"/>
      </w:pPr>
      <w:r>
        <w:t>At planned hours, the direct category-cap excess is $58,500: Croft $15,500 (620 × $25), Okeke $24,500 (980 × $25), and Hsu/Hu $18,500 (740 × $25). This excludes the separate effect of unapproved Yoon/Novak increases. The 2024 workbook reports Novak at $360; the rate email reports $365, so the approved baseline must be verified from the engagement letter/rate schedule. The email also reports Yoon at $410, which matches the prior-year workbook.</w:t>
      </w:r>
    </w:p>
    <w:p>
      <w:pPr>
        <w:spacing w:before="0" w:after="140" w:line="257" w:lineRule="auto"/>
      </w:pPr>
      <w:r>
        <w:rPr>
          <w:b/>
          <w:i w:val="0"/>
        </w:rPr>
        <w:t xml:space="preserve">Action: </w:t>
      </w:r>
      <w:r>
        <w:rPr>
          <w:b w:val="0"/>
          <w:i w:val="0"/>
        </w:rPr>
        <w:t>Use only the last rate actually approved in writing, subject to the applicable cap, until the GC confirms otherwise in writing. Obtain the approved 2024/2025 rate schedule and resolve Novak’s $360/$365 discrepancy. The proposal’s reliance on a December notice cannot make the proposed rates effective retroactively or replace written approval.</w:t>
      </w:r>
    </w:p>
    <w:p>
      <w:pPr>
        <w:pStyle w:val="Heading1"/>
        <w:keepNext/>
      </w:pPr>
      <w:r>
        <w:t>3. Staffing and billable-task compliance</w:t>
      </w:r>
    </w:p>
    <w:p>
      <w:pPr>
        <w:pStyle w:val="Heading2"/>
        <w:keepNext/>
      </w:pPr>
      <w:r>
        <w:t>3.1 Hsu/Hu addition does not meet notice/approval requirements</w:t>
      </w:r>
    </w:p>
    <w:p>
      <w:pPr>
        <w:spacing w:before="0" w:after="120" w:line="257" w:lineRule="auto"/>
      </w:pPr>
      <w:r>
        <w:t>The April 25, 2025 email requests approval to add “Margaret Hsu” effective April 28—approximately one business day later—and asks the GC to confirm. The budget instead names “Margaret Hu.” No written approval appears in the supplied materials. OCG §4.3 requires at least ten business days’ advance notice and written approval; compressed notice is limited to genuinely exigent circumstances, supported by a contemporaneous explanation and expressly approved. The request does not provide a full experience/qualification profile, and $225 exceeds the $200 paralegal cap. The budget assigns 740 hours/$166,500 at that rate. Do not authorize/bill those hours until the timekeeper identity, qualifications, role, capped rate and GC approval are documented; unapproved time is at risk of nonpayment.</w:t>
      </w:r>
    </w:p>
    <w:p>
      <w:pPr>
        <w:pStyle w:val="Heading2"/>
        <w:keepNext/>
      </w:pPr>
      <w:r>
        <w:t>3.2 Trial staffing exceeds default attendance limit</w:t>
      </w:r>
    </w:p>
    <w:p>
      <w:pPr>
        <w:spacing w:before="0" w:after="120" w:line="257" w:lineRule="auto"/>
      </w:pPr>
      <w:r>
        <w:t>The L600 allocation assigns hours to four attorneys—Croft (140), Okeke (120), Yoon (110) and Novak (40)—and states that the “full trial team” will attend throughout. OCG §6.5 allows no more than two attorneys at a trial session without advance written GC pre-approval. The plan therefore requires a written request identifying which attorneys will attend, why more than two are needed, and the sessions/duration; otherwise reduce the attendance plan and its hours. Separately, only one attorney may attend a deposition or other proceeding absent advance written approval. The 12–15 deposition forecast should identify attendance assumptions and avoid duplicate attendance.</w:t>
      </w:r>
    </w:p>
    <w:p>
      <w:pPr>
        <w:pStyle w:val="Heading2"/>
        <w:keepNext/>
      </w:pPr>
      <w:r>
        <w:t>3.3 Administrative work is not billable even at paralegal rates</w:t>
      </w:r>
    </w:p>
    <w:p>
      <w:pPr>
        <w:spacing w:before="0" w:after="120" w:line="257" w:lineRule="auto"/>
      </w:pPr>
      <w:r>
        <w:t>The April 25 email describes Hsu/Hu as a way to shift “administrative and organizational tasks” from associates to paralegal billing rates. OCG §6.4(c) makes administrative tasks—including filing, organizing, indexing and cataloguing—non-billable regardless of who performs them; moving the work to a paralegal does not make it billable. The proposed role also includes document management, deposition logistics and maintaining binders/files, which should be screened task-by-task. Bill only substantive, permitted paralegal services (for example, eligible exhibit preparation) at an approved rate, and exclude clerical/administrative time entirely. The prior-year audit reduced $7,100 for administrative/clerical work, reinforcing this control.</w:t>
      </w:r>
    </w:p>
    <w:p>
      <w:pPr>
        <w:pStyle w:val="Heading2"/>
        <w:keepNext/>
      </w:pPr>
      <w:r>
        <w:t>3.4 Attorney cite-checking is expressly non-billable</w:t>
      </w:r>
    </w:p>
    <w:p>
      <w:pPr>
        <w:spacing w:before="0" w:after="120" w:line="257" w:lineRule="auto"/>
      </w:pPr>
      <w:r>
        <w:t>Ms. Novak’s biography assigns cite-checking to a junior associate. OCG §6.4(g) disallows attorney-rate proofreading and cite-checking; assign eligible cite-checking to paralegal/legal support at an approved lower rate. Do not bill attorney time for this task. Separate substantive exhibit preparation from non-billable filing, organizing, indexing and logistics under §6.4(c).</w:t>
      </w:r>
    </w:p>
    <w:p>
      <w:pPr>
        <w:pStyle w:val="Heading2"/>
        <w:keepNext/>
      </w:pPr>
      <w:r>
        <w:t>3.5 Staffing metrics largely pass on the forecast shown</w:t>
      </w:r>
    </w:p>
    <w:p>
      <w:pPr>
        <w:spacing w:before="0" w:after="140" w:line="257" w:lineRule="auto"/>
      </w:pPr>
      <w:r>
        <w:t>The proposed-period efficiency calculation is correct: Yoon and Novak total 1,400 of 3,000 attorney hours (46.67%), above the 40% threshold; paralegal hours are appropriately excluded. Okeke is budgeted at 980/3,000 attorney hours (32.67%), above the 15% significant-role threshold. However, §4.4 requires the efficiency ratio to be measured cumulatively and reviewed quarterly. Known 2024 actuals plus this forecast yield approximately 45.9% (1,810/3,943) before January–April 2025, which is missing. Confirm the cumulative ratio in each quarterly report. Continue diversity reporting under §4.5 and ensure any category information is voluntarily disclosed and treated confidentially.</w:t>
      </w:r>
    </w:p>
    <w:p>
      <w:pPr>
        <w:pStyle w:val="Heading1"/>
        <w:keepNext/>
      </w:pPr>
      <w:r>
        <w:t>4. Phase restriction: L700 must be removed</w:t>
      </w:r>
    </w:p>
    <w:p>
      <w:pPr>
        <w:spacing w:before="0" w:after="140" w:line="257" w:lineRule="auto"/>
      </w:pPr>
      <w:r>
        <w:t>The proposal includes 200 hours/$92,000 for post-trial motions and potential appellate proceedings as L700, describing it as prudent planning. OCG §5.4 and Appendix A prohibit post-trial/appellate reserves unless the Company expressly requests appellate planning in writing; any reserve also requires a separate line item, written supporting memorandum and independent GC approval. The prior-year actuals specifically state that no appellate planning was requested and no L700 budget existed. No subsequent written client request or approval is included. Remove the $92,000 L700 phase (and all corresponding L700 staffing hours) unless the GC first requests appellate planning in writing and separately approves a supported L700 budget. The current generic coordination language is not authorization.</w:t>
      </w:r>
    </w:p>
    <w:p>
      <w:pPr>
        <w:pStyle w:val="Heading1"/>
        <w:keepNext/>
      </w:pPr>
      <w:r>
        <w:t>5. Expenses: approvals and non-reimbursable charges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tcMar>
              <w:top w:w="75" w:type="dxa"/>
              <w:start w:w="90" w:type="dxa"/>
              <w:bottom w:w="75" w:type="dxa"/>
              <w:end w:w="90" w:type="dxa"/>
            </w:tcMar>
            <w:shd w:fill="17365D"/>
          </w:tcPr>
          <w:p>
            <w:pPr>
              <w:spacing w:after="0" w:before="0" w:line="240" w:lineRule="auto"/>
            </w:pPr>
            <w:r/>
            <w:r>
              <w:rPr>
                <w:rFonts w:ascii="Arial" w:hAnsi="Arial"/>
                <w:b/>
                <w:color w:val="FFFFFF"/>
                <w:sz w:val="14"/>
              </w:rPr>
              <w:t>Expense / amount</w:t>
            </w:r>
          </w:p>
        </w:tc>
        <w:tc>
          <w:tcPr>
            <w:tcW w:type="dxa" w:w="4392"/>
            <w:vAlign w:val="center"/>
            <w:tcMar>
              <w:top w:w="75" w:type="dxa"/>
              <w:start w:w="90" w:type="dxa"/>
              <w:bottom w:w="75" w:type="dxa"/>
              <w:end w:w="90" w:type="dxa"/>
            </w:tcMar>
            <w:shd w:fill="17365D"/>
          </w:tcPr>
          <w:p>
            <w:pPr>
              <w:spacing w:after="0" w:before="0" w:line="240" w:lineRule="auto"/>
            </w:pPr>
            <w:r/>
            <w:r>
              <w:rPr>
                <w:rFonts w:ascii="Arial" w:hAnsi="Arial"/>
                <w:b/>
                <w:color w:val="FFFFFF"/>
                <w:sz w:val="14"/>
              </w:rPr>
              <w:t>Guideline issue</w:t>
            </w:r>
          </w:p>
        </w:tc>
        <w:tc>
          <w:tcPr>
            <w:tcW w:type="dxa" w:w="2952"/>
            <w:vAlign w:val="center"/>
            <w:tcMar>
              <w:top w:w="75" w:type="dxa"/>
              <w:start w:w="90" w:type="dxa"/>
              <w:bottom w:w="75" w:type="dxa"/>
              <w:end w:w="90" w:type="dxa"/>
            </w:tcMar>
            <w:shd w:fill="17365D"/>
          </w:tcPr>
          <w:p>
            <w:pPr>
              <w:spacing w:after="0" w:before="0" w:line="240" w:lineRule="auto"/>
            </w:pPr>
            <w:r/>
            <w:r>
              <w:rPr>
                <w:rFonts w:ascii="Arial" w:hAnsi="Arial"/>
                <w:b/>
                <w:color w:val="FFFFFF"/>
                <w:sz w:val="14"/>
              </w:rPr>
              <w:t>Required action</w:t>
            </w:r>
          </w:p>
        </w:tc>
      </w:tr>
      <w:tr>
        <w:trPr>
          <w:cantSplit/>
        </w:trPr>
        <w:tc>
          <w:tcPr>
            <w:tcW w:type="dxa" w:w="2232"/>
            <w:vAlign w:val="center"/>
            <w:tcMar>
              <w:top w:w="75" w:type="dxa"/>
              <w:start w:w="90" w:type="dxa"/>
              <w:bottom w:w="75" w:type="dxa"/>
              <w:end w:w="90" w:type="dxa"/>
            </w:tcMar>
          </w:tcPr>
          <w:p>
            <w:pPr>
              <w:spacing w:after="0" w:before="0" w:line="240" w:lineRule="auto"/>
            </w:pPr>
            <w:r/>
            <w:r>
              <w:rPr>
                <w:rFonts w:ascii="Arial" w:hAnsi="Arial"/>
                <w:b w:val="0"/>
                <w:sz w:val="14"/>
              </w:rPr>
              <w:t>Clearpoint e-discovery — $285,000</w:t>
            </w:r>
          </w:p>
        </w:tc>
        <w:tc>
          <w:tcPr>
            <w:tcW w:type="dxa" w:w="4392"/>
            <w:vAlign w:val="center"/>
            <w:tcMar>
              <w:top w:w="75" w:type="dxa"/>
              <w:start w:w="90" w:type="dxa"/>
              <w:bottom w:w="75" w:type="dxa"/>
              <w:end w:w="90" w:type="dxa"/>
            </w:tcMar>
          </w:tcPr>
          <w:p>
            <w:pPr>
              <w:spacing w:after="0" w:before="0" w:line="240" w:lineRule="auto"/>
            </w:pPr>
            <w:r/>
            <w:r>
              <w:rPr>
                <w:rFonts w:ascii="Arial" w:hAnsi="Arial"/>
                <w:b w:val="0"/>
                <w:sz w:val="14"/>
              </w:rPr>
              <w:t>Exceeds $200,000 life-of-matter threshold. OCG §7.2(a) requires bids from at least three qualified vendors and documented GC approval before selection; sole source requires express written approval and justification. Clearpoint is described as engaged since inception, but bid/approval records are absent. Prior-year actuals show $108,500 already spent: if $285,000 is life-to-date, $176,500 remains; if incremental, projected life-of-matter spend is $393,500. Either interpretation exceeds the bidding threshold.</w:t>
            </w:r>
          </w:p>
        </w:tc>
        <w:tc>
          <w:tcPr>
            <w:tcW w:type="dxa" w:w="2952"/>
            <w:vAlign w:val="center"/>
            <w:tcMar>
              <w:top w:w="75" w:type="dxa"/>
              <w:start w:w="90" w:type="dxa"/>
              <w:bottom w:w="75" w:type="dxa"/>
              <w:end w:w="90" w:type="dxa"/>
            </w:tcMar>
          </w:tcPr>
          <w:p>
            <w:pPr>
              <w:spacing w:after="0" w:before="0" w:line="240" w:lineRule="auto"/>
            </w:pPr>
            <w:r/>
            <w:r>
              <w:rPr>
                <w:rFonts w:ascii="Arial" w:hAnsi="Arial"/>
                <w:b w:val="0"/>
                <w:sz w:val="14"/>
              </w:rPr>
              <w:t>Provide three-bid/evaluation record and approval, or a documented sole-source exception; clarify whether $285,000 is incremental or life-to-date. If it is life-to-date, show the $176,500 remaining after 2024 actuals; if incremental, show $393,500 projected life-of-matter spend. Break the budget and monthly summaries out by hosting, processing, platform licensing, document review and production, with cumulative-to-budget totals (§§5.2(c), 7.2(b)).</w:t>
            </w:r>
          </w:p>
        </w:tc>
      </w:tr>
      <w:tr>
        <w:trPr>
          <w:cantSplit/>
        </w:trPr>
        <w:tc>
          <w:tcPr>
            <w:tcW w:type="dxa" w:w="2232"/>
            <w:vAlign w:val="center"/>
            <w:tcMar>
              <w:top w:w="75" w:type="dxa"/>
              <w:start w:w="90" w:type="dxa"/>
              <w:bottom w:w="75" w:type="dxa"/>
              <w:end w:w="90" w:type="dxa"/>
            </w:tcMar>
            <w:shd w:fill="F2F6FA"/>
          </w:tcPr>
          <w:p>
            <w:pPr>
              <w:spacing w:after="0" w:before="0" w:line="240" w:lineRule="auto"/>
            </w:pPr>
            <w:r/>
            <w:r>
              <w:rPr>
                <w:rFonts w:ascii="Arial" w:hAnsi="Arial"/>
                <w:b w:val="0"/>
                <w:sz w:val="14"/>
              </w:rPr>
              <w:t>Experts — $90,000 and $85,000</w:t>
            </w:r>
          </w:p>
        </w:tc>
        <w:tc>
          <w:tcPr>
            <w:tcW w:type="dxa" w:w="4392"/>
            <w:vAlign w:val="center"/>
            <w:tcMar>
              <w:top w:w="75" w:type="dxa"/>
              <w:start w:w="90" w:type="dxa"/>
              <w:bottom w:w="75" w:type="dxa"/>
              <w:end w:w="90" w:type="dxa"/>
            </w:tcMar>
            <w:shd w:fill="F2F6FA"/>
          </w:tcPr>
          <w:p>
            <w:pPr>
              <w:spacing w:after="0" w:before="0" w:line="240" w:lineRule="auto"/>
            </w:pPr>
            <w:r/>
            <w:r>
              <w:rPr>
                <w:rFonts w:ascii="Arial" w:hAnsi="Arial"/>
                <w:b w:val="0"/>
                <w:sz w:val="14"/>
              </w:rPr>
              <w:t>Each proposed expert exceeds $75,000 per expert. OCG §7.3(a) requires pre-approval before retention with CV, scope, fee schedule/estimated total and written selection justification. The proposal says selection is underway and details will follow.</w:t>
            </w:r>
          </w:p>
        </w:tc>
        <w:tc>
          <w:tcPr>
            <w:tcW w:type="dxa" w:w="2952"/>
            <w:vAlign w:val="center"/>
            <w:tcMar>
              <w:top w:w="75" w:type="dxa"/>
              <w:start w:w="90" w:type="dxa"/>
              <w:bottom w:w="75" w:type="dxa"/>
              <w:end w:w="90" w:type="dxa"/>
            </w:tcMar>
            <w:shd w:fill="F2F6FA"/>
          </w:tcPr>
          <w:p>
            <w:pPr>
              <w:spacing w:after="0" w:before="0" w:line="240" w:lineRule="auto"/>
            </w:pPr>
            <w:r/>
            <w:r>
              <w:rPr>
                <w:rFonts w:ascii="Arial" w:hAnsi="Arial"/>
                <w:b w:val="0"/>
                <w:sz w:val="14"/>
              </w:rPr>
              <w:t>Submit a separate complete approval package for each expert before retention. Two testifying experts do not exceed the two-expert numerical limit in §7.3(b).</w:t>
            </w:r>
          </w:p>
        </w:tc>
      </w:tr>
      <w:tr>
        <w:trPr>
          <w:cantSplit/>
        </w:trPr>
        <w:tc>
          <w:tcPr>
            <w:tcW w:type="dxa" w:w="2232"/>
            <w:vAlign w:val="center"/>
            <w:tcMar>
              <w:top w:w="75" w:type="dxa"/>
              <w:start w:w="90" w:type="dxa"/>
              <w:bottom w:w="75" w:type="dxa"/>
              <w:end w:w="90" w:type="dxa"/>
            </w:tcMar>
          </w:tcPr>
          <w:p>
            <w:pPr>
              <w:spacing w:after="0" w:before="0" w:line="240" w:lineRule="auto"/>
            </w:pPr>
            <w:r/>
            <w:r>
              <w:rPr>
                <w:rFonts w:ascii="Arial" w:hAnsi="Arial"/>
                <w:b w:val="0"/>
                <w:sz w:val="14"/>
              </w:rPr>
              <w:t>Silvermark mock trial / jury consulting — $95,000</w:t>
            </w:r>
          </w:p>
        </w:tc>
        <w:tc>
          <w:tcPr>
            <w:tcW w:type="dxa" w:w="4392"/>
            <w:vAlign w:val="center"/>
            <w:tcMar>
              <w:top w:w="75" w:type="dxa"/>
              <w:start w:w="90" w:type="dxa"/>
              <w:bottom w:w="75" w:type="dxa"/>
              <w:end w:w="90" w:type="dxa"/>
            </w:tcMar>
          </w:tcPr>
          <w:p>
            <w:pPr>
              <w:spacing w:after="0" w:before="0" w:line="240" w:lineRule="auto"/>
            </w:pPr>
            <w:r/>
            <w:r>
              <w:rPr>
                <w:rFonts w:ascii="Arial" w:hAnsi="Arial"/>
                <w:b w:val="0"/>
                <w:sz w:val="14"/>
              </w:rPr>
              <w:t>Mock trials/jury consultants are specifically listed as unusual expenses requiring advance GC approval above $10,000 under §7.7. If Silvermark is retained as a consultant, the $95,000 also exceeds §7.3(a)’s $75,000 consultant threshold. No approval package is shown.</w:t>
            </w:r>
          </w:p>
        </w:tc>
        <w:tc>
          <w:tcPr>
            <w:tcW w:type="dxa" w:w="2952"/>
            <w:vAlign w:val="center"/>
            <w:tcMar>
              <w:top w:w="75" w:type="dxa"/>
              <w:start w:w="90" w:type="dxa"/>
              <w:bottom w:w="75" w:type="dxa"/>
              <w:end w:w="90" w:type="dxa"/>
            </w:tcMar>
          </w:tcPr>
          <w:p>
            <w:pPr>
              <w:spacing w:after="0" w:before="0" w:line="240" w:lineRule="auto"/>
            </w:pPr>
            <w:r/>
            <w:r>
              <w:rPr>
                <w:rFonts w:ascii="Arial" w:hAnsi="Arial"/>
                <w:b w:val="0"/>
                <w:sz w:val="14"/>
              </w:rPr>
              <w:t>Obtain advance written approval and provide scope, fee basis, deliverables and justification; provide consultant materials required by §7.3 if applicable. Prior-year actuals show no prior mock trial/jury consulting budget or spend.</w:t>
            </w:r>
          </w:p>
        </w:tc>
      </w:tr>
      <w:tr>
        <w:trPr>
          <w:cantSplit/>
        </w:trPr>
        <w:tc>
          <w:tcPr>
            <w:tcW w:type="dxa" w:w="2232"/>
            <w:vAlign w:val="center"/>
            <w:tcMar>
              <w:top w:w="75" w:type="dxa"/>
              <w:start w:w="90" w:type="dxa"/>
              <w:bottom w:w="75" w:type="dxa"/>
              <w:end w:w="90" w:type="dxa"/>
            </w:tcMar>
            <w:shd w:fill="F2F6FA"/>
          </w:tcPr>
          <w:p>
            <w:pPr>
              <w:spacing w:after="0" w:before="0" w:line="240" w:lineRule="auto"/>
            </w:pPr>
            <w:r/>
            <w:r>
              <w:rPr>
                <w:rFonts w:ascii="Arial" w:hAnsi="Arial"/>
                <w:b w:val="0"/>
                <w:sz w:val="14"/>
              </w:rPr>
              <w:t>Travel — $68,000</w:t>
            </w:r>
          </w:p>
        </w:tc>
        <w:tc>
          <w:tcPr>
            <w:tcW w:type="dxa" w:w="4392"/>
            <w:vAlign w:val="center"/>
            <w:tcMar>
              <w:top w:w="75" w:type="dxa"/>
              <w:start w:w="90" w:type="dxa"/>
              <w:bottom w:w="75" w:type="dxa"/>
              <w:end w:w="90" w:type="dxa"/>
            </w:tcMar>
            <w:shd w:fill="F2F6FA"/>
          </w:tcPr>
          <w:p>
            <w:pPr>
              <w:spacing w:after="0" w:before="0" w:line="240" w:lineRule="auto"/>
            </w:pPr>
            <w:r/>
            <w:r>
              <w:rPr>
                <w:rFonts w:ascii="Arial" w:hAnsi="Arial"/>
                <w:b w:val="0"/>
                <w:sz w:val="14"/>
              </w:rPr>
              <w:t>The narrative budgets business-class airfare for Croft to Miami/New York based on scheduling demands. OCG §7.4(a) reimburses economy only; business class requires advance written approval and extraordinary circumstances. Fare comparison documentation is required. Hotel caps are $275/night in major metros and $200 elsewhere; meals are capped at $75/day/person.</w:t>
            </w:r>
          </w:p>
        </w:tc>
        <w:tc>
          <w:tcPr>
            <w:tcW w:type="dxa" w:w="2952"/>
            <w:vAlign w:val="center"/>
            <w:tcMar>
              <w:top w:w="75" w:type="dxa"/>
              <w:start w:w="90" w:type="dxa"/>
              <w:bottom w:w="75" w:type="dxa"/>
              <w:end w:w="90" w:type="dxa"/>
            </w:tcMar>
            <w:shd w:fill="F2F6FA"/>
          </w:tcPr>
          <w:p>
            <w:pPr>
              <w:spacing w:after="0" w:before="0" w:line="240" w:lineRule="auto"/>
            </w:pPr>
            <w:r/>
            <w:r>
              <w:rPr>
                <w:rFonts w:ascii="Arial" w:hAnsi="Arial"/>
                <w:b w:val="0"/>
                <w:sz w:val="14"/>
              </w:rPr>
              <w:t>Remove business-class premium unless advance GC approval is obtained on an extraordinary-circumstances basis; otherwise limit reimbursement to lowest available economy fare. Break out airfare, lodging, ground transport and meals and document fare/hotel comparisons and applicable caps.</w:t>
            </w:r>
          </w:p>
        </w:tc>
      </w:tr>
      <w:tr>
        <w:trPr>
          <w:cantSplit/>
        </w:trPr>
        <w:tc>
          <w:tcPr>
            <w:tcW w:type="dxa" w:w="2232"/>
            <w:vAlign w:val="center"/>
            <w:tcMar>
              <w:top w:w="75" w:type="dxa"/>
              <w:start w:w="90" w:type="dxa"/>
              <w:bottom w:w="75" w:type="dxa"/>
              <w:end w:w="90" w:type="dxa"/>
            </w:tcMar>
          </w:tcPr>
          <w:p>
            <w:pPr>
              <w:spacing w:after="0" w:before="0" w:line="240" w:lineRule="auto"/>
            </w:pPr>
            <w:r/>
            <w:r>
              <w:rPr>
                <w:rFonts w:ascii="Arial" w:hAnsi="Arial"/>
                <w:b w:val="0"/>
                <w:sz w:val="14"/>
              </w:rPr>
              <w:t>Internal copying / printing — $15,000</w:t>
            </w:r>
          </w:p>
        </w:tc>
        <w:tc>
          <w:tcPr>
            <w:tcW w:type="dxa" w:w="4392"/>
            <w:vAlign w:val="center"/>
            <w:tcMar>
              <w:top w:w="75" w:type="dxa"/>
              <w:start w:w="90" w:type="dxa"/>
              <w:bottom w:w="75" w:type="dxa"/>
              <w:end w:w="90" w:type="dxa"/>
            </w:tcMar>
          </w:tcPr>
          <w:p>
            <w:pPr>
              <w:spacing w:after="0" w:before="0" w:line="240" w:lineRule="auto"/>
            </w:pPr>
            <w:r/>
            <w:r>
              <w:rPr>
                <w:rFonts w:ascii="Arial" w:hAnsi="Arial"/>
                <w:b w:val="0"/>
                <w:sz w:val="14"/>
              </w:rPr>
              <w:t>The proposal expressly budgets “internal document reproduction.” OCG §§7.5 and 7.8(a) prohibit reimbursement of internal copying/printing regardless of label.</w:t>
            </w:r>
          </w:p>
        </w:tc>
        <w:tc>
          <w:tcPr>
            <w:tcW w:type="dxa" w:w="2952"/>
            <w:vAlign w:val="center"/>
            <w:tcMar>
              <w:top w:w="75" w:type="dxa"/>
              <w:start w:w="90" w:type="dxa"/>
              <w:bottom w:w="75" w:type="dxa"/>
              <w:end w:w="90" w:type="dxa"/>
            </w:tcMar>
          </w:tcPr>
          <w:p>
            <w:pPr>
              <w:spacing w:after="0" w:before="0" w:line="240" w:lineRule="auto"/>
            </w:pPr>
            <w:r/>
            <w:r>
              <w:rPr>
                <w:rFonts w:ascii="Arial" w:hAnsi="Arial"/>
                <w:b w:val="0"/>
                <w:sz w:val="14"/>
              </w:rPr>
              <w:t>Delete the $15,000. Only third-party reproduction may be considered, with vendor, purpose, volume, unit cost and supporting third-party invoice.</w:t>
            </w:r>
          </w:p>
        </w:tc>
      </w:tr>
      <w:tr>
        <w:trPr>
          <w:cantSplit/>
        </w:trPr>
        <w:tc>
          <w:tcPr>
            <w:tcW w:type="dxa" w:w="2232"/>
            <w:vAlign w:val="center"/>
            <w:tcMar>
              <w:top w:w="75" w:type="dxa"/>
              <w:start w:w="90" w:type="dxa"/>
              <w:bottom w:w="75" w:type="dxa"/>
              <w:end w:w="90" w:type="dxa"/>
            </w:tcMar>
            <w:shd w:fill="F2F6FA"/>
          </w:tcPr>
          <w:p>
            <w:pPr>
              <w:spacing w:after="0" w:before="0" w:line="240" w:lineRule="auto"/>
            </w:pPr>
            <w:r/>
            <w:r>
              <w:rPr>
                <w:rFonts w:ascii="Arial" w:hAnsi="Arial"/>
                <w:b w:val="0"/>
                <w:sz w:val="14"/>
              </w:rPr>
              <w:t>Court reporter/deposition and filing costs — $50,500 combined</w:t>
            </w:r>
          </w:p>
        </w:tc>
        <w:tc>
          <w:tcPr>
            <w:tcW w:type="dxa" w:w="4392"/>
            <w:vAlign w:val="center"/>
            <w:tcMar>
              <w:top w:w="75" w:type="dxa"/>
              <w:start w:w="90" w:type="dxa"/>
              <w:bottom w:w="75" w:type="dxa"/>
              <w:end w:w="90" w:type="dxa"/>
            </w:tcMar>
            <w:shd w:fill="F2F6FA"/>
          </w:tcPr>
          <w:p>
            <w:pPr>
              <w:spacing w:after="0" w:before="0" w:line="240" w:lineRule="auto"/>
            </w:pPr>
            <w:r/>
            <w:r>
              <w:rPr>
                <w:rFonts w:ascii="Arial" w:hAnsi="Arial"/>
                <w:b w:val="0"/>
                <w:sz w:val="14"/>
              </w:rPr>
              <w:t>These categories are generally reimbursable at actual cost, but supporting receipts/invoices are required; expense categories exceeding $5,000 on a single monthly invoice must be substantiated under §7.1.</w:t>
            </w:r>
          </w:p>
        </w:tc>
        <w:tc>
          <w:tcPr>
            <w:tcW w:type="dxa" w:w="2952"/>
            <w:vAlign w:val="center"/>
            <w:tcMar>
              <w:top w:w="75" w:type="dxa"/>
              <w:start w:w="90" w:type="dxa"/>
              <w:bottom w:w="75" w:type="dxa"/>
              <w:end w:w="90" w:type="dxa"/>
            </w:tcMar>
            <w:shd w:fill="F2F6FA"/>
          </w:tcPr>
          <w:p>
            <w:pPr>
              <w:spacing w:after="0" w:before="0" w:line="240" w:lineRule="auto"/>
            </w:pPr>
            <w:r/>
            <w:r>
              <w:rPr>
                <w:rFonts w:ascii="Arial" w:hAnsi="Arial"/>
                <w:b w:val="0"/>
                <w:sz w:val="14"/>
              </w:rPr>
              <w:t>Retain estimates only as forecasts; submit actual third-party support with invoices and code individual entries. Do not treat budget approval as expense substantiation.</w:t>
            </w:r>
          </w:p>
        </w:tc>
      </w:tr>
    </w:tbl>
    <w:p>
      <w:pPr>
        <w:spacing w:after="0"/>
      </w:pPr>
    </w:p>
    <w:p>
      <w:pPr>
        <w:spacing w:before="0" w:after="140" w:line="257" w:lineRule="auto"/>
      </w:pPr>
      <w:r>
        <w:t>The expense arithmetic itself adds to $688,500. That arithmetic does not cure the approval and reimbursability problems above. Also identify any travel time embedded in attorney hours: under §6.4(e), travel time is non-billable unless a single trip exceeds four hours and the GC approves it in advance, in which case only 50% of the approved rate may be billed.</w:t>
      </w:r>
    </w:p>
    <w:p>
      <w:pPr>
        <w:pStyle w:val="Heading1"/>
        <w:keepNext/>
      </w:pPr>
      <w:r>
        <w:t>6. Supporting actuals and compliance history</w:t>
      </w:r>
    </w:p>
    <w:p>
      <w:pPr>
        <w:spacing w:before="0" w:after="100" w:line="257" w:lineRule="auto"/>
      </w:pPr>
      <w:r>
        <w:t>The prior-year file is useful for rates and spend history but is not a fully reliable phase baseline without correction. It reports net 2024 professional fees of $462,350 after $55,650 in Lexera audit reductions; the reductions include $22,400 for block billing, $12,850 for vague entries, $9,200 for excessive time, $7,100 for administrative/clerical tasks and $4,100 for other guideline adjustments. The proposed budget’s promise not to block bill is appropriate, but the scale and nature of prior reductions warrant a specific corrective control plan and careful invoice monitoring.</w:t>
      </w:r>
    </w:p>
    <w:p>
      <w:pPr>
        <w:spacing w:before="0" w:after="100" w:line="257" w:lineRule="auto"/>
      </w:pPr>
      <w:r>
        <w:t>The prior-year Phase Detail reports parent-level totals of 825 hours/$362,000 budget and 788 hours/$348,150 actual, while the same sheet reports totals of 1,025 hours/$485,000 budget and 988 hours/$462,350 actual. The latter totals reconcile to the net fee summary, but not to the parent-level figures; the listed subphase rows also should not be added on top of L300. Timekeeper Detail separately shows gross budget fees of $540,150 and net budget of $485,000 after a $55,150 adjustment. The Phase Detail also uses L800 for case administration, while OCG Appendix A lists L100 (Case Assessment, Development, and Administration) and does not list L800. Request corrected phase history and confirm all prospective budgets/invoices use the applicable Appendix A codes.</w:t>
      </w:r>
    </w:p>
    <w:p>
      <w:pPr>
        <w:spacing w:before="0" w:after="140" w:line="257" w:lineRule="auto"/>
      </w:pPr>
      <w:r>
        <w:t>The historical file also records the rates relevant to the proposed increases: Croft $825, Okeke $550, Yoon $410, Novak $360 (while the December email says $365), and paralegal Lisa Ferrante $195. Hsu/Hu is not a simple rate continuation: the proposed $225 is above the current $200 all-level paralegal cap.</w:t>
      </w:r>
    </w:p>
    <w:p>
      <w:pPr>
        <w:pStyle w:val="Heading1"/>
        <w:keepNext/>
      </w:pPr>
      <w:r>
        <w:t>7. Compliant elements and required resubmission package</w:t>
      </w:r>
    </w:p>
    <w:p>
      <w:pPr>
        <w:spacing w:before="0" w:after="80" w:line="257" w:lineRule="auto"/>
      </w:pPr>
      <w:r>
        <w:t>The proposal uses the standard Appendix A codes L200–L700 and the phase-hour totals tie to the timekeeper hours; the expense categories add to the stated total. The forecast efficiency ratio and Okeke’s significant-role percentage are mathematically above the OCG thresholds, and the two-expert count is within the numerical limit. Those points do not cure the approval, rate, phase, or reimbursement issues described above.</w:t>
      </w:r>
    </w:p>
    <w:p>
      <w:pPr>
        <w:spacing w:before="0" w:after="60" w:line="257" w:lineRule="auto"/>
      </w:pPr>
      <w:r>
        <w:t>Before approval, require Whitfield Garrett to submit the following consolidated revision:</w:t>
      </w:r>
    </w:p>
    <w:p>
      <w:pPr>
        <w:pStyle w:val="ListNumber"/>
        <w:spacing w:after="60" w:line="247" w:lineRule="auto"/>
        <w:ind w:left="403" w:hanging="230"/>
      </w:pPr>
      <w:r>
        <w:t>Reconciled phase-by-phase fees and staffing table using only GC-approved rates, with full name, title, role, relevant experience, phase hours and fees for every anticipated timekeeper—including Boyd Whitaker only if approved; correct the Croft/Okeke/Yoon/Novak/Hsu-Hu rate and identity records.</w:t>
      </w:r>
    </w:p>
    <w:p>
      <w:pPr>
        <w:pStyle w:val="ListNumber"/>
        <w:spacing w:after="60" w:line="247" w:lineRule="auto"/>
        <w:ind w:left="403" w:hanging="230"/>
      </w:pPr>
      <w:r>
        <w:t>Revised total and grand total, with L700 removed unless separately requested and approved, internal copying/printing removed, and every expense estimate identified as incremental or cumulative.</w:t>
      </w:r>
    </w:p>
    <w:p>
      <w:pPr>
        <w:pStyle w:val="ListNumber"/>
        <w:spacing w:after="60" w:line="247" w:lineRule="auto"/>
        <w:ind w:left="403" w:hanging="230"/>
      </w:pPr>
      <w:r>
        <w:t>Confirm the fully executed GC-approved engagement letter and rate schedule; provide written GC approvals or complete requests for any additional partner, Hsu/Hu, more than two trial attorneys, any multiple-attorney deposition attendance, and any rate increase. No work should begin before the required approval.</w:t>
      </w:r>
    </w:p>
    <w:p>
      <w:pPr>
        <w:pStyle w:val="ListNumber"/>
        <w:spacing w:after="60" w:line="247" w:lineRule="auto"/>
        <w:ind w:left="403" w:hanging="230"/>
      </w:pPr>
      <w:r>
        <w:t>Vendor and expert support: e-discovery bids/selection approval or sole-source exception; individual expert pre-approval packages; Silvermark approval; travel assumptions, airfare comparisons and expense breakdown.</w:t>
      </w:r>
    </w:p>
    <w:p>
      <w:pPr>
        <w:pStyle w:val="ListNumber"/>
        <w:spacing w:after="60" w:line="247" w:lineRule="auto"/>
        <w:ind w:left="403" w:hanging="230"/>
      </w:pPr>
      <w:r>
        <w:t>January–April 2025 actuals and a cumulative phase budget-to-actual bridge, corrected 2024 phase history, current staffing-efficiency ratio, and quarterly reporting plan; include the required monthly e-discovery reporting and expense substantiation controls.</w:t>
      </w:r>
    </w:p>
    <w:p>
      <w:pPr>
        <w:spacing w:before="160" w:after="0"/>
      </w:pPr>
      <w:r>
        <w:rPr>
          <w:b/>
          <w:color w:val="17365D"/>
        </w:rPr>
        <w:t xml:space="preserve">Bottom line: </w:t>
      </w:r>
      <w:r>
        <w:t>The budget should be returned as non-reconciled and not yet approvable. Written GC approval is required for any exception; this memorandum does not grant a waiver or authorize spend.</w:t>
      </w:r>
    </w:p>
    <w:sectPr w:rsidR="00FC693F" w:rsidRPr="0006063C" w:rsidSect="00034616">
      <w:headerReference w:type="default" r:id="rId9"/>
      <w:footerReference w:type="default" r:id="rId10"/>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color w:val="6B7785"/>
        <w:sz w:val="16"/>
      </w:rPr>
      <w:t xml:space="preserve">CONFIDENTIAL — FOR GENERAL COUNSEL REVIEW  |  </w:t>
    </w:r>
    <w:r>
      <w:rPr>
        <w:rFonts w:ascii="Arial" w:hAnsi="Arial"/>
        <w:color w:val="6B7785"/>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Arial" w:hAnsi="Arial"/>
        <w:b/>
        <w:color w:val="6B7785"/>
        <w:sz w:val="16"/>
      </w:rPr>
      <w:t>COLTON BEVERAGE  |  CONFIDENTIAL BUDGET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rial" w:hAnsi="Arial"/>
      <w:color w:val="242B3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Litigation Budget Issue Memorandum</dc:title>
  <dc:subject>Review of Whitfield Garrett proposed litigation budget against Colton Beverage OCG v4.2</dc:subject>
  <dc:creator>Colton Beverage Holdings, Inc. — Legal Budget Review</dc:creator>
  <cp:keywords>Confidential; litigation budget; outside counsel guidelines</cp:keywords>
  <dc:description>generated by python-docx</dc:description>
  <cp:lastModifiedBy/>
  <cp:revision>1</cp:revision>
  <dcterms:created xsi:type="dcterms:W3CDTF">2013-12-23T23:15:00Z</dcterms:created>
  <dcterms:modified xsi:type="dcterms:W3CDTF">2013-12-23T23:15:00Z</dcterms:modified>
  <cp:category/>
</cp:coreProperties>
</file>