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spacing w:after="40"/>
        <w:jc w:val="center"/>
      </w:pPr>
      <w:r>
        <w:rPr>
          <w:rFonts w:ascii="Arial" w:hAnsi="Arial"/>
          <w:b/>
          <w:bCs/>
          <w:color w:val="800000"/>
          <w:sz w:val="18"/>
        </w:rPr>
        <w:t xml:space="preserve">ATTORNEY–CLIENT PRIVILEGED</w:t>
      </w:r>
      <w:r>
        <w:rPr>
          <w:rFonts w:ascii="Arial" w:hAnsi="Arial"/>
          <w:b/>
          <w:color w:val="800000"/>
          <w:sz w:val="18"/>
        </w:rPr>
        <w:br/>
      </w:r>
      <w:r>
        <w:rPr>
          <w:rFonts w:ascii="Arial" w:hAnsi="Arial"/>
          <w:b/>
          <w:bCs/>
          <w:color w:val="800000"/>
          <w:sz w:val="18"/>
        </w:rPr>
        <w:t xml:space="preserve">ATTORNEY WORK PRODUCT — CONFIDENTIAL</w:t>
      </w:r>
    </w:p>
    <w:bookmarkStart w:id="40" w:name="Xf9a6098f53d4c9b1dc13854cd55aaed5209c729"/>
    <w:p>
      <w:pPr>
        <w:pStyle w:val="Heading1"/>
        <w:keepNext/>
        <w:spacing w:before="320" w:after="280"/>
        <w:jc w:val="center"/>
      </w:pPr>
      <w:r>
        <w:rPr>
          <w:b/>
          <w:color w:val="17365D"/>
          <w:sz w:val="36"/>
        </w:rPr>
        <w:t xml:space="preserve">VEIL-PIERCING AND RELATED LIABILITY RESEARCH MEMORANDUM</w:t>
      </w:r>
    </w:p>
    <w:p>
      <w:pPr>
        <w:pStyle w:val="FirstParagraph"/>
        <w:widowControl/>
      </w:pPr>
      <w:r>
        <w:rPr>
          <w:b/>
          <w:bCs/>
        </w:rPr>
        <w:t xml:space="preserve">To:</w:t>
      </w:r>
      <w:r>
        <w:t xml:space="preserve"> </w:t>
      </w:r>
      <w:r>
        <w:t xml:space="preserve">Thomas R. Ikeda, General Counsel, Cascade Industrial Holdings, Inc.</w:t>
      </w:r>
      <w:r>
        <w:br/>
      </w:r>
      <w:r>
        <w:rPr>
          <w:b/>
          <w:bCs/>
        </w:rPr>
        <w:t xml:space="preserve">From:</w:t>
      </w:r>
      <w:r>
        <w:t xml:space="preserve"> </w:t>
      </w:r>
      <w:r>
        <w:t xml:space="preserve">Legal Research Memorandum</w:t>
      </w:r>
      <w:r>
        <w:br/>
      </w:r>
      <w:r>
        <w:rPr>
          <w:b/>
          <w:bCs/>
        </w:rPr>
        <w:t xml:space="preserve">Date:</w:t>
      </w:r>
      <w:r>
        <w:t xml:space="preserve"> </w:t>
      </w:r>
      <w:r>
        <w:t xml:space="preserve">January 6, 2025</w:t>
      </w:r>
      <w:r>
        <w:br/>
      </w:r>
      <w:r>
        <w:rPr>
          <w:b/>
          <w:bCs/>
        </w:rPr>
        <w:t xml:space="preserve">Re:</w:t>
      </w:r>
      <w:r>
        <w:t xml:space="preserve"> </w:t>
      </w:r>
      <w:r>
        <w:t xml:space="preserve">Cascade Industrial Holdings, Inc. / Pryor Manufacturing LLC — multijurisdictional veil-piercing exposure, choice of law, direct liability, and remediation</w:t>
      </w:r>
    </w:p>
    <w:p>
      <w:pPr>
        <w:widowControl/>
      </w:pPr>
      <w:r>
        <w:pict>
          <v:rect style="width:0;height:1.5pt" o:hralign="center" o:hrstd="t" o:hr="t"/>
        </w:pict>
      </w:r>
    </w:p>
    <w:bookmarkStart w:id="20" w:name="executive-summary"/>
    <w:p>
      <w:pPr>
        <w:pStyle w:val="Heading2"/>
      </w:pPr>
      <w:r>
        <w:t xml:space="preserve">Executive summary</w:t>
      </w:r>
    </w:p>
    <w:p>
      <w:pPr>
        <w:pStyle w:val="FirstParagraph"/>
        <w:widowControl/>
      </w:pPr>
      <w:r>
        <w:t xml:space="preserve">Cascade Industrial Holdings, Inc. (</w:t>
      </w:r>
      <w:r>
        <w:t xml:space="preserve">“</w:t>
      </w:r>
      <w:r>
        <w:t xml:space="preserve">Cascade</w:t>
      </w:r>
      <w:r>
        <w:t xml:space="preserve">”</w:t>
      </w:r>
      <w:r>
        <w:t xml:space="preserve">), a Delaware corporation headquartered in Ohio, owns and manages Pryor Manufacturing LLC (</w:t>
      </w:r>
      <w:r>
        <w:t xml:space="preserve">“</w:t>
      </w:r>
      <w:r>
        <w:t xml:space="preserve">Pryor</w:t>
      </w:r>
      <w:r>
        <w:t xml:space="preserve">”</w:t>
      </w:r>
      <w:r>
        <w:t xml:space="preserve">), an Ohio LLC. The reviewed record presents unusually strong evidence of parent control and financial integration: Pryor has no governance body independent of Cascade; Cascade executives make product, environmental, budget, personnel, treasury, procurement, and contract decisions; the cash-management agreement gives Cascade unilateral control of cash sweeps without a required reserve; and intercompany debt and services charges are not supported by ordinary independent documentation or review. Public-facing signage, letterhead, addresses, IT, and product branding blur the entities’ identities. Those facts create material veil-piercing exposure, particularly under Ohio and Illinois formulations if the required misuse-of-form/injustice element is proven.</w:t>
      </w:r>
    </w:p>
    <w:p>
      <w:pPr>
        <w:pStyle w:val="BodyText"/>
        <w:widowControl/>
      </w:pPr>
      <w:r>
        <w:t xml:space="preserve">The critical qualification is that veil piercing is not the principal exposure in the Delgado action. The petition alleges, and the reviewed email chain materially supports, that Cascade’s own engineering organization designed the HP-4400 and that Cascade VP Nathan Choi directed production to proceed after receiving written safety objections from Pryor General Manager David Orvis. Texas law defines a product</w:t>
      </w:r>
      <w:r>
        <w:t xml:space="preserve"> </w:t>
      </w:r>
      <w:r>
        <w:t xml:space="preserve">“</w:t>
      </w:r>
      <w:r>
        <w:t xml:space="preserve">manufacturer</w:t>
      </w:r>
      <w:r>
        <w:t xml:space="preserve">”</w:t>
      </w:r>
      <w:r>
        <w:t xml:space="preserve"> </w:t>
      </w:r>
      <w:r>
        <w:t xml:space="preserve">broadly enough to include a designer. A finding of direct design liability would not depend on disregarding Pryor’s LLC form. Cascade’s actual design role, notice of the interlock concern, and decision to proceed therefore create</w:t>
      </w:r>
      <w:r>
        <w:t xml:space="preserve"> </w:t>
      </w:r>
      <w:r>
        <w:rPr>
          <w:b/>
          <w:bCs/>
        </w:rPr>
        <w:t xml:space="preserve">high direct-liability exposure</w:t>
      </w:r>
      <w:r>
        <w:t xml:space="preserve">, subject to proof of defect, causation, a legally adequate safer alternative design, and the applicable choice of product-liability law. OSHA 29 C.F.R. § 1910.217 is relevant evidence to investigate, but an alleged OSHA violation does not by itself establish a private products-liability claim or negligence per se.</w:t>
      </w:r>
    </w:p>
    <w:p>
      <w:pPr>
        <w:pStyle w:val="BodyText"/>
        <w:widowControl/>
      </w:pPr>
      <w:r>
        <w:t xml:space="preserve">The IEPA matter likewise has a substantial independent direct-operator theory. The alleged Whitfield memorandum approving a specific storage configuration and CFO Rachel Yun’s denial of a specific compliance-budget request are facility- and pollution-related decisions—not merely monitoring consolidated financial performance. Under</w:t>
      </w:r>
      <w:r>
        <w:t xml:space="preserve"> </w:t>
      </w:r>
      <w:r>
        <w:rPr>
          <w:i/>
          <w:iCs/>
        </w:rPr>
        <w:t xml:space="preserve">United States v. Bestfoods</w:t>
      </w:r>
      <w:r>
        <w:t xml:space="preserve">, 524 U.S. 51 (1998), analogous CERCLA operator principles distinguish ordinary parent oversight from direct management of pollution-related operations.</w:t>
      </w:r>
      <w:r>
        <w:t xml:space="preserve"> </w:t>
      </w:r>
      <w:r>
        <w:rPr>
          <w:i/>
          <w:iCs/>
        </w:rPr>
        <w:t xml:space="preserve">Bestfoods</w:t>
      </w:r>
      <w:r>
        <w:t xml:space="preserve"> </w:t>
      </w:r>
      <w:r>
        <w:t xml:space="preserve">is not itself a RCRA holding, so the IEPA must establish the statutory basis for Cascade’s direct liability and that the governing operator standard reaches Cascade’s conduct. The facts nevertheless create</w:t>
      </w:r>
      <w:r>
        <w:t xml:space="preserve"> </w:t>
      </w:r>
      <w:r>
        <w:rPr>
          <w:b/>
          <w:bCs/>
        </w:rPr>
        <w:t xml:space="preserve">high merits risk</w:t>
      </w:r>
      <w:r>
        <w:t xml:space="preserve"> </w:t>
      </w:r>
      <w:r>
        <w:t xml:space="preserve">if the claim is properly before the agency. Separately, the Canton Facility is in Ohio. The IEPA’s authority to impose Illinois-law penalties for Ohio storage and permitting conduct is a serious threshold issue; Illinois may have a more substantial nexus to shipment/manifests received by an Illinois TSDF than to storage at Canton. The complaint’s jurisdictional basis and each count should be tested rather than assumed.</w:t>
      </w:r>
    </w:p>
    <w:p>
      <w:pPr>
        <w:pStyle w:val="BodyText"/>
        <w:widowControl/>
      </w:pPr>
      <w:r>
        <w:t xml:space="preserve">For veil claims, do not conflate four questions: (1) which law governs member liability for Pryor’s obligations; (2) which law governs Cascade’s internal corporate affairs; (3) which state’s product-liability law governs direct tort claims; and (4) what law governs state-law alter ego issues in the Illinois administrative matter. The best choice-of-law position in the Texas action is that Ohio law governs whether Cascade, as Pryor’s member, is liable for Pryor’s debts, under the internal-affairs principle and Restatement (Second) of Conflict of Laws §§ 302 and 307. Delaware law governs internal affairs of Cascade itself but is not an automatic choice for liability of an Ohio LLC’s member. Texas law is likely to govern the underlying injury/product-liability issues because the sale/use and injury occurred in Texas and the plaintiffs are Texas residents. The question is issue-specific and not settled by the contract’s Ohio choice-of-law clause, which does not bind the Delgados or the IEPA on tort and statutory claims.</w:t>
      </w:r>
    </w:p>
    <w:p>
      <w:pPr>
        <w:pStyle w:val="BodyText"/>
        <w:widowControl/>
      </w:pPr>
      <w:r>
        <w:t xml:space="preserve">Texas law forecloses a freestanding</w:t>
      </w:r>
      <w:r>
        <w:t xml:space="preserve"> </w:t>
      </w:r>
      <w:r>
        <w:t xml:space="preserve">“</w:t>
      </w:r>
      <w:r>
        <w:t xml:space="preserve">single business enterprise</w:t>
      </w:r>
      <w:r>
        <w:t xml:space="preserve">”</w:t>
      </w:r>
      <w:r>
        <w:t xml:space="preserve"> </w:t>
      </w:r>
      <w:r>
        <w:t xml:space="preserve">claim after</w:t>
      </w:r>
      <w:r>
        <w:t xml:space="preserve"> </w:t>
      </w:r>
      <w:r>
        <w:rPr>
          <w:i/>
          <w:iCs/>
        </w:rPr>
        <w:t xml:space="preserve">SSP Partners v. Gladstrong Investments (USA) Corp.</w:t>
      </w:r>
      <w:r>
        <w:t xml:space="preserve">, 275 S.W.3d 444 (Tex. 2008). The integration evidence may still inform a recognized alter-ego theory, but does not independently impose enterprise liability. The Texas Business Organizations Code’s veil provisions expressly extend to LLCs. Tex. Bus. Orgs. Code § 101.002. The statutory actual-fraud/direct-benefit standard and the distinction between Cascade’s own torts and derivative liability for Pryor’s obligations should be briefed carefully. Delaware’s veil standard is demanding—mere ownership or a single economic enterprise is insufficient; fraud or a comparable misuse producing injustice is required. Ohio uses the</w:t>
      </w:r>
      <w:r>
        <w:t xml:space="preserve"> </w:t>
      </w:r>
      <w:r>
        <w:rPr>
          <w:i/>
          <w:iCs/>
        </w:rPr>
        <w:t xml:space="preserve">Belvedere</w:t>
      </w:r>
      <w:r>
        <w:t xml:space="preserve"> </w:t>
      </w:r>
      <w:r>
        <w:t xml:space="preserve">three-part test, narrowed by</w:t>
      </w:r>
      <w:r>
        <w:t xml:space="preserve"> </w:t>
      </w:r>
      <w:r>
        <w:rPr>
          <w:i/>
          <w:iCs/>
        </w:rPr>
        <w:t xml:space="preserve">Dombroski</w:t>
      </w:r>
      <w:r>
        <w:t xml:space="preserve">: complete domination, use of control to commit fraud/illegal or similarly unlawful conduct, and proximate injury. Ohio Rev. Code § 1706.26 makes failure to observe LLC formalities alone insufficient; it does not immunize a member that uses an LLC to commit a wrongful act. Illinois’s instrumentality test asks for unity of interest and ownership plus circumstances in which respecting separateness would sanction fraud or promote injustice; inability to collect alone is generally not enough.</w:t>
      </w:r>
    </w:p>
    <w:p>
      <w:pPr>
        <w:pStyle w:val="BodyText"/>
        <w:keepNext/>
        <w:pageBreakBefore/>
        <w:widowControl/>
      </w:pPr>
      <w:r>
        <w:rPr>
          <w:b/>
          <w:bCs/>
        </w:rPr>
        <w:t xml:space="preserve">Risk at a glance (subject to proof and choice of law):</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on"/>
          <w:cantSplit/>
          <w:tblHeader w:val="true"/>
          <w:cantSplit/>
          <w:tblHeader w:val="true"/>
          <w:cantSplit/>
          <w:tblHeader w:val="true"/>
        </w:trPr>
        <w:tc>
          <w:tcPr>
            <w:tcW w:type="dxa" w:w="2376"/>
            <w:vAlign w:val="center"/>
            <w:shd w:fill="17365D"/>
          </w:tcPr>
          <w:p>
            <w:pPr>
              <w:pStyle w:val="Compact"/>
              <w:spacing w:after="40" w:before="40" w:line="240" w:lineRule="auto"/>
              <w:jc w:val="left"/>
            </w:pPr>
            <w:r>
              <w:rPr>
                <w:rFonts w:ascii="Arial" w:hAnsi="Arial"/>
                <w:b/>
                <w:color w:val="FFFFFF"/>
                <w:sz w:val="17"/>
              </w:rPr>
              <w:t xml:space="preserve">Theory / forum</w:t>
            </w:r>
          </w:p>
        </w:tc>
        <w:tc>
          <w:tcPr>
            <w:tcW w:type="dxa" w:w="2088"/>
            <w:vAlign w:val="center"/>
            <w:shd w:fill="17365D"/>
          </w:tcPr>
          <w:p>
            <w:pPr>
              <w:pStyle w:val="Compact"/>
              <w:spacing w:after="40" w:before="40" w:line="240" w:lineRule="auto"/>
              <w:jc w:val="right"/>
            </w:pPr>
            <w:r>
              <w:rPr>
                <w:rFonts w:ascii="Arial" w:hAnsi="Arial"/>
                <w:b/>
                <w:color w:val="FFFFFF"/>
                <w:sz w:val="17"/>
              </w:rPr>
              <w:t xml:space="preserve">Preliminary risk</w:t>
            </w:r>
          </w:p>
        </w:tc>
        <w:tc>
          <w:tcPr>
            <w:tcW w:type="dxa" w:w="5558"/>
            <w:vAlign w:val="center"/>
            <w:shd w:fill="17365D"/>
          </w:tcPr>
          <w:p>
            <w:pPr>
              <w:pStyle w:val="Compact"/>
              <w:spacing w:after="40" w:before="40" w:line="240" w:lineRule="auto"/>
              <w:jc w:val="left"/>
            </w:pPr>
            <w:r>
              <w:rPr>
                <w:rFonts w:ascii="Arial" w:hAnsi="Arial"/>
                <w:b/>
                <w:color w:val="FFFFFF"/>
                <w:sz w:val="17"/>
              </w:rPr>
              <w:t xml:space="preserve">Principal reason</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Texas single-business-enterprise theory</w:t>
            </w:r>
          </w:p>
        </w:tc>
        <w:tc>
          <w:tcPr>
            <w:tcW w:type="dxa" w:w="2088"/>
            <w:vAlign w:val="center"/>
          </w:tcPr>
          <w:p>
            <w:pPr>
              <w:pStyle w:val="Compact"/>
              <w:spacing w:after="40" w:before="40" w:line="240" w:lineRule="auto"/>
              <w:jc w:val="right"/>
            </w:pPr>
            <w:r>
              <w:rPr>
                <w:rFonts w:ascii="Arial" w:hAnsi="Arial"/>
                <w:color w:val="232323"/>
                <w:sz w:val="17"/>
              </w:rPr>
              <w:t xml:space="preserve">Low / legally unavailable as an independent theory</w:t>
            </w:r>
          </w:p>
        </w:tc>
        <w:tc>
          <w:tcPr>
            <w:tcW w:type="dxa" w:w="5558"/>
            <w:vAlign w:val="center"/>
          </w:tcPr>
          <w:p>
            <w:pPr>
              <w:pStyle w:val="Compact"/>
              <w:spacing w:after="40" w:before="40" w:line="240" w:lineRule="auto"/>
              <w:jc w:val="left"/>
            </w:pPr>
            <w:r>
              <w:rPr>
                <w:rFonts w:ascii="Arial" w:hAnsi="Arial"/>
                <w:i/>
                <w:iCs/>
                <w:color w:val="232323"/>
                <w:sz w:val="17"/>
              </w:rPr>
              <w:t xml:space="preserve">SSP Partners</w:t>
            </w:r>
            <w:r>
              <w:rPr>
                <w:rFonts w:ascii="Arial" w:hAnsi="Arial"/>
                <w:color w:val="232323"/>
                <w:sz w:val="17"/>
              </w:rPr>
              <w:t xml:space="preserve"> </w:t>
            </w:r>
            <w:r>
              <w:rPr>
                <w:rFonts w:ascii="Arial" w:hAnsi="Arial"/>
                <w:color w:val="232323"/>
                <w:sz w:val="17"/>
              </w:rPr>
              <w:t xml:space="preserve">rejects it as a standalone basis; integration remains evidence, not a separate cause of action.</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Veil piercing for Delgado under Ohio law</w:t>
            </w:r>
          </w:p>
        </w:tc>
        <w:tc>
          <w:tcPr>
            <w:tcW w:type="dxa" w:w="2088"/>
            <w:vAlign w:val="center"/>
          </w:tcPr>
          <w:p>
            <w:pPr>
              <w:pStyle w:val="Compact"/>
              <w:spacing w:after="40" w:before="40" w:line="240" w:lineRule="auto"/>
              <w:jc w:val="right"/>
            </w:pPr>
            <w:r>
              <w:rPr>
                <w:rFonts w:ascii="Arial" w:hAnsi="Arial"/>
                <w:color w:val="232323"/>
                <w:sz w:val="17"/>
              </w:rPr>
              <w:t xml:space="preserve">Moderate–high</w:t>
            </w:r>
          </w:p>
        </w:tc>
        <w:tc>
          <w:tcPr>
            <w:tcW w:type="dxa" w:w="5558"/>
            <w:vAlign w:val="center"/>
          </w:tcPr>
          <w:p>
            <w:pPr>
              <w:pStyle w:val="Compact"/>
              <w:spacing w:after="40" w:before="40" w:line="240" w:lineRule="auto"/>
              <w:jc w:val="left"/>
            </w:pPr>
            <w:r>
              <w:rPr>
                <w:rFonts w:ascii="Arial" w:hAnsi="Arial"/>
                <w:color w:val="232323"/>
                <w:sz w:val="17"/>
              </w:rPr>
              <w:t xml:space="preserve">Pervasive control and financial practices are adverse; second element and causation under</w:t>
            </w:r>
            <w:r>
              <w:rPr>
                <w:rFonts w:ascii="Arial" w:hAnsi="Arial"/>
                <w:color w:val="232323"/>
                <w:sz w:val="17"/>
              </w:rPr>
              <w:t xml:space="preserve"> </w:t>
            </w:r>
            <w:r>
              <w:rPr>
                <w:rFonts w:ascii="Arial" w:hAnsi="Arial"/>
                <w:i/>
                <w:iCs/>
                <w:color w:val="232323"/>
                <w:sz w:val="17"/>
              </w:rPr>
              <w:t xml:space="preserve">Dombroski</w:t>
            </w:r>
            <w:r>
              <w:rPr>
                <w:rFonts w:ascii="Arial" w:hAnsi="Arial"/>
                <w:color w:val="232323"/>
                <w:sz w:val="17"/>
              </w:rPr>
              <w:t xml:space="preserve"> </w:t>
            </w:r>
            <w:r>
              <w:rPr>
                <w:rFonts w:ascii="Arial" w:hAnsi="Arial"/>
                <w:color w:val="232323"/>
                <w:sz w:val="17"/>
              </w:rPr>
              <w:t xml:space="preserve">remain litigable.</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Veil piercing for Delgado under Texas law</w:t>
            </w:r>
          </w:p>
        </w:tc>
        <w:tc>
          <w:tcPr>
            <w:tcW w:type="dxa" w:w="2088"/>
            <w:vAlign w:val="center"/>
          </w:tcPr>
          <w:p>
            <w:pPr>
              <w:pStyle w:val="Compact"/>
              <w:spacing w:after="40" w:before="40" w:line="240" w:lineRule="auto"/>
              <w:jc w:val="right"/>
            </w:pPr>
            <w:r>
              <w:rPr>
                <w:rFonts w:ascii="Arial" w:hAnsi="Arial"/>
                <w:color w:val="232323"/>
                <w:sz w:val="17"/>
              </w:rPr>
              <w:t xml:space="preserve">Moderate</w:t>
            </w:r>
          </w:p>
        </w:tc>
        <w:tc>
          <w:tcPr>
            <w:tcW w:type="dxa" w:w="5558"/>
            <w:vAlign w:val="center"/>
          </w:tcPr>
          <w:p>
            <w:pPr>
              <w:pStyle w:val="Compact"/>
              <w:spacing w:after="40" w:before="40" w:line="240" w:lineRule="auto"/>
              <w:jc w:val="left"/>
            </w:pPr>
            <w:r>
              <w:rPr>
                <w:rFonts w:ascii="Arial" w:hAnsi="Arial"/>
                <w:color w:val="232323"/>
                <w:sz w:val="17"/>
              </w:rPr>
              <w:t xml:space="preserve">Dominance is well supported, but statutory actual fraud/direct-benefit requirements and absence of identified deception of plaintiffs are meaningful defenses.</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Veil piercing under Delaware law</w:t>
            </w:r>
          </w:p>
        </w:tc>
        <w:tc>
          <w:tcPr>
            <w:tcW w:type="dxa" w:w="2088"/>
            <w:vAlign w:val="center"/>
          </w:tcPr>
          <w:p>
            <w:pPr>
              <w:pStyle w:val="Compact"/>
              <w:spacing w:after="40" w:before="40" w:line="240" w:lineRule="auto"/>
              <w:jc w:val="right"/>
            </w:pPr>
            <w:r>
              <w:rPr>
                <w:rFonts w:ascii="Arial" w:hAnsi="Arial"/>
                <w:color w:val="232323"/>
                <w:sz w:val="17"/>
              </w:rPr>
              <w:t xml:space="preserve">Low–moderate to moderate</w:t>
            </w:r>
          </w:p>
        </w:tc>
        <w:tc>
          <w:tcPr>
            <w:tcW w:type="dxa" w:w="5558"/>
            <w:vAlign w:val="center"/>
          </w:tcPr>
          <w:p>
            <w:pPr>
              <w:pStyle w:val="Compact"/>
              <w:spacing w:after="40" w:before="40" w:line="240" w:lineRule="auto"/>
              <w:jc w:val="left"/>
            </w:pPr>
            <w:r>
              <w:rPr>
                <w:rFonts w:ascii="Arial" w:hAnsi="Arial"/>
                <w:color w:val="232323"/>
                <w:sz w:val="17"/>
              </w:rPr>
              <w:t xml:space="preserve">Most favorable standard; difficult</w:t>
            </w:r>
            <w:r>
              <w:rPr>
                <w:rFonts w:ascii="Arial" w:hAnsi="Arial"/>
                <w:color w:val="232323"/>
                <w:sz w:val="17"/>
              </w:rPr>
              <w:t xml:space="preserve"> </w:t>
            </w:r>
            <w:r>
              <w:rPr>
                <w:rFonts w:ascii="Arial" w:hAnsi="Arial"/>
                <w:color w:val="232323"/>
                <w:sz w:val="17"/>
              </w:rPr>
              <w:t xml:space="preserve">“</w:t>
            </w:r>
            <w:r>
              <w:rPr>
                <w:rFonts w:ascii="Arial" w:hAnsi="Arial"/>
                <w:color w:val="232323"/>
                <w:sz w:val="17"/>
              </w:rPr>
              <w:t xml:space="preserve">fraud or similar injustice</w:t>
            </w:r>
            <w:r>
              <w:rPr>
                <w:rFonts w:ascii="Arial" w:hAnsi="Arial"/>
                <w:color w:val="232323"/>
                <w:sz w:val="17"/>
              </w:rPr>
              <w:t xml:space="preserve">”</w:t>
            </w:r>
            <w:r>
              <w:rPr>
                <w:rFonts w:ascii="Arial" w:hAnsi="Arial"/>
                <w:color w:val="232323"/>
                <w:sz w:val="17"/>
              </w:rPr>
              <w:t xml:space="preserve"> </w:t>
            </w:r>
            <w:r>
              <w:rPr>
                <w:rFonts w:ascii="Arial" w:hAnsi="Arial"/>
                <w:color w:val="232323"/>
                <w:sz w:val="17"/>
              </w:rPr>
              <w:t xml:space="preserve">showing, but cash extraction, deficient governance, and known-risk conduct create a factual path.</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Direct HP-4400 design/product liability against Cascade</w:t>
            </w:r>
          </w:p>
        </w:tc>
        <w:tc>
          <w:tcPr>
            <w:tcW w:type="dxa" w:w="2088"/>
            <w:vAlign w:val="center"/>
          </w:tcPr>
          <w:p>
            <w:pPr>
              <w:pStyle w:val="Compact"/>
              <w:spacing w:after="40" w:before="40" w:line="240" w:lineRule="auto"/>
              <w:jc w:val="right"/>
            </w:pPr>
            <w:r>
              <w:rPr>
                <w:rFonts w:ascii="Arial" w:hAnsi="Arial"/>
                <w:color w:val="232323"/>
                <w:sz w:val="17"/>
              </w:rPr>
              <w:t xml:space="preserve">High</w:t>
            </w:r>
          </w:p>
        </w:tc>
        <w:tc>
          <w:tcPr>
            <w:tcW w:type="dxa" w:w="5558"/>
            <w:vAlign w:val="center"/>
          </w:tcPr>
          <w:p>
            <w:pPr>
              <w:pStyle w:val="Compact"/>
              <w:spacing w:after="40" w:before="40" w:line="240" w:lineRule="auto"/>
              <w:jc w:val="left"/>
            </w:pPr>
            <w:r>
              <w:rPr>
                <w:rFonts w:ascii="Arial" w:hAnsi="Arial"/>
                <w:color w:val="232323"/>
                <w:sz w:val="17"/>
              </w:rPr>
              <w:t xml:space="preserve">Cascade’s direct design approval and decision to proceed after a documented safety objection are independent of the veil.</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IEPA direct operator liability</w:t>
            </w:r>
          </w:p>
        </w:tc>
        <w:tc>
          <w:tcPr>
            <w:tcW w:type="dxa" w:w="2088"/>
            <w:vAlign w:val="center"/>
          </w:tcPr>
          <w:p>
            <w:pPr>
              <w:pStyle w:val="Compact"/>
              <w:spacing w:after="40" w:before="40" w:line="240" w:lineRule="auto"/>
              <w:jc w:val="right"/>
            </w:pPr>
            <w:r>
              <w:rPr>
                <w:rFonts w:ascii="Arial" w:hAnsi="Arial"/>
                <w:color w:val="232323"/>
                <w:sz w:val="17"/>
              </w:rPr>
              <w:t xml:space="preserve">High on merits if jurisdiction/statutory basis is established</w:t>
            </w:r>
          </w:p>
        </w:tc>
        <w:tc>
          <w:tcPr>
            <w:tcW w:type="dxa" w:w="5558"/>
            <w:vAlign w:val="center"/>
          </w:tcPr>
          <w:p>
            <w:pPr>
              <w:pStyle w:val="Compact"/>
              <w:spacing w:after="40" w:before="40" w:line="240" w:lineRule="auto"/>
              <w:jc w:val="left"/>
            </w:pPr>
            <w:r>
              <w:rPr>
                <w:rFonts w:ascii="Arial" w:hAnsi="Arial"/>
                <w:color w:val="232323"/>
                <w:sz w:val="17"/>
              </w:rPr>
              <w:t xml:space="preserve">Specific waste-storage directive and budget veto;</w:t>
            </w:r>
            <w:r>
              <w:rPr>
                <w:rFonts w:ascii="Arial" w:hAnsi="Arial"/>
                <w:color w:val="232323"/>
                <w:sz w:val="17"/>
              </w:rPr>
              <w:t xml:space="preserve"> </w:t>
            </w:r>
            <w:r>
              <w:rPr>
                <w:rFonts w:ascii="Arial" w:hAnsi="Arial"/>
                <w:i/>
                <w:iCs/>
                <w:color w:val="232323"/>
                <w:sz w:val="17"/>
              </w:rPr>
              <w:t xml:space="preserve">Bestfoods</w:t>
            </w:r>
            <w:r>
              <w:rPr>
                <w:rFonts w:ascii="Arial" w:hAnsi="Arial"/>
                <w:color w:val="232323"/>
                <w:sz w:val="17"/>
              </w:rPr>
              <w:t xml:space="preserve">-type operational facts.</w:t>
            </w:r>
          </w:p>
        </w:tc>
      </w:tr>
      <w:tr>
        <w:trPr>
          <w:cantSplit/>
          <w:cantSplit/>
          <w:cantSplit/>
        </w:trPr>
        <w:tc>
          <w:tcPr>
            <w:tcW w:type="dxa" w:w="2376"/>
            <w:vAlign w:val="center"/>
          </w:tcPr>
          <w:p>
            <w:pPr>
              <w:pStyle w:val="Compact"/>
              <w:spacing w:after="40" w:before="40" w:line="240" w:lineRule="auto"/>
              <w:jc w:val="left"/>
            </w:pPr>
            <w:r>
              <w:rPr>
                <w:rFonts w:ascii="Arial" w:hAnsi="Arial"/>
                <w:color w:val="232323"/>
                <w:sz w:val="17"/>
              </w:rPr>
              <w:t xml:space="preserve">Illinois/Ohio veil claim in IEPA matter</w:t>
            </w:r>
          </w:p>
        </w:tc>
        <w:tc>
          <w:tcPr>
            <w:tcW w:type="dxa" w:w="2088"/>
            <w:vAlign w:val="center"/>
          </w:tcPr>
          <w:p>
            <w:pPr>
              <w:pStyle w:val="Compact"/>
              <w:spacing w:after="40" w:before="40" w:line="240" w:lineRule="auto"/>
              <w:jc w:val="right"/>
            </w:pPr>
            <w:r>
              <w:rPr>
                <w:rFonts w:ascii="Arial" w:hAnsi="Arial"/>
                <w:color w:val="232323"/>
                <w:sz w:val="17"/>
              </w:rPr>
              <w:t xml:space="preserve">Moderate–high</w:t>
            </w:r>
          </w:p>
        </w:tc>
        <w:tc>
          <w:tcPr>
            <w:tcW w:type="dxa" w:w="5558"/>
            <w:vAlign w:val="center"/>
          </w:tcPr>
          <w:p>
            <w:pPr>
              <w:pStyle w:val="Compact"/>
              <w:spacing w:after="40" w:before="40" w:line="240" w:lineRule="auto"/>
              <w:jc w:val="left"/>
            </w:pPr>
            <w:r>
              <w:rPr>
                <w:rFonts w:ascii="Arial" w:hAnsi="Arial"/>
                <w:color w:val="232323"/>
                <w:sz w:val="17"/>
              </w:rPr>
              <w:t xml:space="preserve">Financial/control facts are strong, but choice of law, fraud/injustice, and IEPA’s territorial authority must be established.</w:t>
            </w:r>
          </w:p>
        </w:tc>
      </w:tr>
    </w:tbl>
    <w:p>
      <w:pPr>
        <w:pStyle w:val="BodyText"/>
        <w:widowControl/>
      </w:pPr>
      <w:r>
        <w:t xml:space="preserve">These are litigation assessments, not predictions. The petition and agency complaint contain allegations, not adjudicated findings; critical underlying records (including Pryor’s LLC agreement, the Whitfield memorandum, actual policies, inspection report, and full financial ledger support) were not supplied.</w:t>
      </w:r>
    </w:p>
    <w:bookmarkEnd w:id="20"/>
    <w:bookmarkStart w:id="21" w:name="Xab64395928daf2589ed03d55a5b8a65c608a275"/>
    <w:p>
      <w:pPr>
        <w:pStyle w:val="Heading2"/>
      </w:pPr>
      <w:r>
        <w:t xml:space="preserve">1. Scope, record, and key factual qualifications</w:t>
      </w:r>
    </w:p>
    <w:p>
      <w:pPr>
        <w:pStyle w:val="FirstParagraph"/>
        <w:widowControl/>
      </w:pPr>
      <w:r>
        <w:t xml:space="preserve">This memorandum reviews the eight supplied materials: (1) Cascade’s corporate structure and governance summary dated December 2, 2024; (2) the July 14–19, 2022 Orvis–Choi email chain concerning the HP-4400 safety interlock; (3) Birchfield &amp; Novak’s November 22, 2024 preliminary assessment; (4) the Delgados’ November 8, 2024 original petition; (5) the August 1, 2016 Intercompany Cash Management Agreement; (6) the October 3, 2024 IEPA administrative complaint; (7) Pryor’s FY2020–FY2024 financial workbook; and (8) the December 10, 2024 insurance-coverage summary. The analysis is based on those materials and authorities cited below; it is not a substitute for review of the complete operating agreement, corporate and LLC records, policies, product file, environmental inspection record, manifests, or jurisdiction-specific filings.</w:t>
      </w:r>
    </w:p>
    <w:p>
      <w:pPr>
        <w:pStyle w:val="BodyText"/>
        <w:widowControl/>
      </w:pPr>
      <w:r>
        <w:t xml:space="preserve">The materials identify Cascade as a Delaware corporation formed in 2011, with its principal office in Columbus, Ohio; Pryor as an Ohio LLC formed in 2014, with Akron and Canton facilities and 312 employees; and Cascade as Pryor’s sole member and manager. Pryor’s FY2024 revenue is reported as $214.3 million. Cascade’s FY2024 consolidated revenue is approximately $1.87 billion. Cascade purchased Pryor’s membership interests for $78.5 million, while the records show one $3.5 million equity contribution at formation and no later equity contributions. The acquisition price paid to former owners, however, is not itself a measure of the equity Pryor needed or received; it should not be treated as a direct capitalization comparison without tracing the acquired assets, liabilities, and purchase accounting.</w:t>
      </w:r>
    </w:p>
    <w:p>
      <w:pPr>
        <w:pStyle w:val="BodyText"/>
        <w:widowControl/>
      </w:pPr>
      <w:r>
        <w:rPr>
          <w:b/>
          <w:bCs/>
        </w:rPr>
        <w:t xml:space="preserve">The financial materials need reconciliation before use in pleadings, expert reports, or board decisions.</w:t>
      </w:r>
      <w:r>
        <w:t xml:space="preserve"> </w:t>
      </w:r>
      <w:r>
        <w:t xml:space="preserve">The summary and petition describe Pryor’s equity as only $4.2 million and quote a 9.81:1 debt-to-equity ratio. The workbook’s December 31, 2024 balance sheet instead reports total member’s equity of $21.7 million (initial capital $3.5 million, retained earnings $4.2 million, and</w:t>
      </w:r>
      <w:r>
        <w:t xml:space="preserve"> </w:t>
      </w:r>
      <w:r>
        <w:t xml:space="preserve">“</w:t>
      </w:r>
      <w:r>
        <w:t xml:space="preserve">current year net income—undistributed</w:t>
      </w:r>
      <w:r>
        <w:t xml:space="preserve">”</w:t>
      </w:r>
      <w:r>
        <w:t xml:space="preserve"> </w:t>
      </w:r>
      <w:r>
        <w:t xml:space="preserve">of $14.0 million), total assets of $84.45 million, and total liabilities of $62.75 million. On those workbook figures, intercompany debt of $41.2 million divided by total member’s equity of $21.7 million is approximately 1.90:1. The 9.81 figure is debt divided by the $4.2 million retained-earnings line, not by total equity. The workbook also reports FY2024 net income of $16.8 million and a $12.6 million management distribution, but its P&amp;L treats the</w:t>
      </w:r>
      <w:r>
        <w:t xml:space="preserve"> </w:t>
      </w:r>
      <w:r>
        <w:t xml:space="preserve">“</w:t>
      </w:r>
      <w:r>
        <w:t xml:space="preserve">distribution</w:t>
      </w:r>
      <w:r>
        <w:t xml:space="preserve">”</w:t>
      </w:r>
      <w:r>
        <w:t xml:space="preserve"> </w:t>
      </w:r>
      <w:r>
        <w:t xml:space="preserve">as an operating expense while the agreement characterizes it as a member distribution reducing equity; its equity presentation and retained-earnings roll-forward are not readily reconciled. A forensic accountant should reconcile general ledger, tax, audited/consolidated, and legal-entity statements. Until then, do not repeat the $4.2 million as Pryor’s total equity or the 9.81 ratio as conventional debt-to-equity.</w:t>
      </w:r>
    </w:p>
    <w:p>
      <w:pPr>
        <w:pStyle w:val="BodyText"/>
        <w:widowControl/>
      </w:pPr>
      <w:r>
        <w:t xml:space="preserve">Other financial distinctions matter. The $31.6 million FY2024 gross cash sweep</w:t>
      </w:r>
      <w:r>
        <w:t xml:space="preserve"> </w:t>
      </w:r>
      <w:r>
        <w:rPr>
          <w:b/>
          <w:bCs/>
        </w:rPr>
        <w:t xml:space="preserve">already includes</w:t>
      </w:r>
      <w:r>
        <w:t xml:space="preserve"> </w:t>
      </w:r>
      <w:r>
        <w:t xml:space="preserve">the $5.3 million services fee, the $12.6 million member distribution, and $13.7 million additional operating cash; adding the two named components again produces an erroneous $49.5 million. The workbook separately reports $2.678 million interest paid on intercompany debt and $6.4 million in advances from Cascade; on its presentation, total cash transferred to Cascade including interest was $34.278 million, and net FY2024 cash outflow after advances was $27.878 million. Cash sweeps exceeded operating cash flow in each year shown; FY2024 net operating cash flow is reported at $21.2 million, capital expenditures at $6.4 million, and ending cash at $1.85 million. Those facts may support depletion and dependence arguments even after correcting the equity ratio. The agreement is unusually one-sided: no minimum reserve, no obligation to return swept amounts, commingling in Cascade’s treasury, and Cascade’s sole discretion over amount/timing and use of proceeds.</w:t>
      </w:r>
    </w:p>
    <w:p>
      <w:pPr>
        <w:pStyle w:val="BodyText"/>
        <w:widowControl/>
      </w:pPr>
      <w:r>
        <w:t xml:space="preserve">The Orvis email is especially consequential. Orvis, acting as Pryor GM and Cascade VP of Operations, warned Choi that Pryor QA viewed the single-point interlock as potentially inconsistent with OSHA 29 C.F.R. § 1910.217 for full-revolution presses; the chain describes a faster press cycle and recommends a redundant relay. Choi responded for Cascade Engineering that Cascade had reviewed the issue and directed Pryor to proceed with the existing design, citing prior-model experience, internal testing, cost, certification timing, and delivery commitments. Denise Colter was copied. The record described so far does not include the full QA memo, engineering design specification, verification protocol, post-incident failure analysis, or evidence that the OSHA provisions actually apply to this design. Obtain and preserve all of them.</w:t>
      </w:r>
    </w:p>
    <w:p>
      <w:pPr>
        <w:pStyle w:val="BodyText"/>
        <w:widowControl/>
      </w:pPr>
      <w:r>
        <w:t xml:space="preserve">The IEPA complaint alleges unpermitted storage of approximately 84,000 gallons of spent hydraulic fluid at Pryor’s Canton, Ohio facility from January 2023 through August 2024, inaccurate manifests for shipments to a Peoria, Illinois TSDF, a December 8, 2022 Whitfield directive approving the existing storage configuration, and a March 2023 request for $340,000 in environmental funding denied by Yun in April 2023. The complaint itself describes the facility-specific decision and budget veto as Cascade acts. The underlying Whitfield memorandum, budget request/denial, manifests, inspection report, and environmental sampling results were not provided. The IEPA complaint’s assertion of Illinois authority over a facility physically located in Ohio warrants focused threshold analysis.</w:t>
      </w:r>
    </w:p>
    <w:bookmarkEnd w:id="21"/>
    <w:bookmarkStart w:id="24" w:name="choice-of-law-separate-the-issues"/>
    <w:p>
      <w:pPr>
        <w:pStyle w:val="Heading2"/>
      </w:pPr>
      <w:r>
        <w:t xml:space="preserve">2. Choice of law: separate the issues</w:t>
      </w:r>
    </w:p>
    <w:bookmarkStart w:id="22" w:name="Xb072f3f9d213ca95d200e8a97b4e5340d790734"/>
    <w:p>
      <w:pPr>
        <w:pStyle w:val="Heading3"/>
      </w:pPr>
      <w:r>
        <w:t xml:space="preserve">A. Texas tort conflicts rules and the internal-affairs issue</w:t>
      </w:r>
    </w:p>
    <w:p>
      <w:pPr>
        <w:pStyle w:val="FirstParagraph"/>
        <w:widowControl/>
      </w:pPr>
      <w:r>
        <w:t xml:space="preserve">Texas applies the</w:t>
      </w:r>
      <w:r>
        <w:t xml:space="preserve"> </w:t>
      </w:r>
      <w:r>
        <w:t xml:space="preserve">“</w:t>
      </w:r>
      <w:r>
        <w:t xml:space="preserve">most significant relationship</w:t>
      </w:r>
      <w:r>
        <w:t xml:space="preserve">”</w:t>
      </w:r>
      <w:r>
        <w:t xml:space="preserve"> </w:t>
      </w:r>
      <w:r>
        <w:t xml:space="preserve">approach of Restatement (Second) of Conflict of Laws to substantive tort issues.</w:t>
      </w:r>
      <w:r>
        <w:t xml:space="preserve"> </w:t>
      </w:r>
      <w:r>
        <w:rPr>
          <w:i/>
          <w:iCs/>
        </w:rPr>
        <w:t xml:space="preserve">Duncan v. Cessna Aircraft Co.</w:t>
      </w:r>
      <w:r>
        <w:t xml:space="preserve">, 665 S.W.2d 414, 420–21 (Tex. 1984);</w:t>
      </w:r>
      <w:r>
        <w:t xml:space="preserve"> </w:t>
      </w:r>
      <w:r>
        <w:rPr>
          <w:i/>
          <w:iCs/>
        </w:rPr>
        <w:t xml:space="preserve">Torrington Co. v. Stutzman</w:t>
      </w:r>
      <w:r>
        <w:t xml:space="preserve">, 46 S.W.3d 829, 848–49 (Tex. 2000). Sections 6 and 145 direct attention to the place of injury, place of conduct, domiciles and business locations, and the parties’ relationship, assessed in light of the policies behind the particular rule. Product injury occurred in Harris County; Delgado and Garza are Texas-based; the product was sold and used in Texas; and Pryor’s distributor placed it there. Conversely, Cascade’s engineering decisions were made in Ohio, Pryor is an Ohio manufacturer, and Cascade’s headquarters are in Ohio. Texas has a strong interest in conduct and injuries in Texas; Ohio has an interest in the conduct of Ohio-based manufacturers and engineering operations. On the present record, Texas is the leading candidate for the substantive products-liability and injury rules, but the design-conduct contact gives Ohio a non-frivolous argument. The forum is not, by itself, dispositive.</w:t>
      </w:r>
    </w:p>
    <w:p>
      <w:pPr>
        <w:pStyle w:val="BodyText"/>
        <w:widowControl/>
      </w:pPr>
      <w:r>
        <w:t xml:space="preserve">Veil piercing is a distinct issue from the underlying tort. The internal-affairs doctrine generally assigns governance and member-liability questions to the law of the entity’s state of organization. Restatement §§ 302, 307; see also</w:t>
      </w:r>
      <w:r>
        <w:t xml:space="preserve"> </w:t>
      </w:r>
      <w:r>
        <w:rPr>
          <w:i/>
          <w:iCs/>
        </w:rPr>
        <w:t xml:space="preserve">H.B. Zachry Co. v. O’Brien</w:t>
      </w:r>
      <w:r>
        <w:t xml:space="preserve">, 378 S.W.2d 423, 426 (Tex. 1964) (internal corporate affairs ordinarily governed by law of incorporation). Section 307 specifically points to the law of the state of incorporation to determine the existence and extent of a shareholder’s liability for corporate debts; by analogy, Pryor’s organization state is the natural source for the liability of its member for Pryor’s obligations. Pryor is an Ohio LLC, so Ohio law is the strongest initial candidate for whether Cascade may be liable as member for Pryor’s debts. This is not a purely internal controversy—Delgado and the IEPA are external claimants—and a Texas court may consider Texas’s injury and remedial interests. Nevertheless, Delaware is not the automatic answer merely because Cascade is incorporated there.</w:t>
      </w:r>
    </w:p>
    <w:p>
      <w:pPr>
        <w:pStyle w:val="BodyText"/>
        <w:widowControl/>
      </w:pPr>
      <w:r>
        <w:t xml:space="preserve">The choice is best framed by entity and theory:</w:t>
      </w:r>
    </w:p>
    <w:p>
      <w:pPr>
        <w:pStyle w:val="Compact"/>
        <w:numPr>
          <w:ilvl w:val="0"/>
          <w:numId w:val="1001"/>
        </w:numPr>
      </w:pPr>
      <w:r>
        <w:rPr>
          <w:b/>
          <w:bCs/>
        </w:rPr>
        <w:t xml:space="preserve">Cascade’s corporate internal affairs</w:t>
      </w:r>
      <w:r>
        <w:t xml:space="preserve"> </w:t>
      </w:r>
      <w:r>
        <w:t xml:space="preserve">(its authority, director/officer duties, and internal governance) point to Delaware.</w:t>
      </w:r>
    </w:p>
    <w:p>
      <w:pPr>
        <w:pStyle w:val="Compact"/>
        <w:numPr>
          <w:ilvl w:val="0"/>
          <w:numId w:val="1001"/>
        </w:numPr>
      </w:pPr>
      <w:r>
        <w:rPr>
          <w:b/>
          <w:bCs/>
        </w:rPr>
        <w:t xml:space="preserve">Cascade’s liability as member for Pryor’s obligations</w:t>
      </w:r>
      <w:r>
        <w:t xml:space="preserve"> </w:t>
      </w:r>
      <w:r>
        <w:t xml:space="preserve">points most strongly to Ohio, Pryor’s state of organization, subject to the Texas court’s issue-specific conflicts analysis.</w:t>
      </w:r>
    </w:p>
    <w:p>
      <w:pPr>
        <w:pStyle w:val="Compact"/>
        <w:numPr>
          <w:ilvl w:val="0"/>
          <w:numId w:val="1001"/>
        </w:numPr>
      </w:pPr>
      <w:r>
        <w:rPr>
          <w:b/>
          <w:bCs/>
        </w:rPr>
        <w:t xml:space="preserve">Direct product-liability claims against Cascade</w:t>
      </w:r>
      <w:r>
        <w:t xml:space="preserve"> </w:t>
      </w:r>
      <w:r>
        <w:t xml:space="preserve">are governed by the applicable tort/product-liability law, likely Texas on the injury and market contacts, not by an LLC internal-affairs rule.</w:t>
      </w:r>
    </w:p>
    <w:p>
      <w:pPr>
        <w:pStyle w:val="Compact"/>
        <w:numPr>
          <w:ilvl w:val="0"/>
          <w:numId w:val="1001"/>
        </w:numPr>
      </w:pPr>
      <w:r>
        <w:rPr>
          <w:b/>
          <w:bCs/>
        </w:rPr>
        <w:t xml:space="preserve">The cash-management agreement</w:t>
      </w:r>
      <w:r>
        <w:t xml:space="preserve"> </w:t>
      </w:r>
      <w:r>
        <w:t xml:space="preserve">selects Ohio law for that contract. That clause may govern disputes between Cascade and Pryor about the agreement’s interpretation or performance. It does not bind Delgado or the IEPA and does not decide their noncontractual claims.</w:t>
      </w:r>
    </w:p>
    <w:p>
      <w:pPr>
        <w:pStyle w:val="Compact"/>
        <w:numPr>
          <w:ilvl w:val="0"/>
          <w:numId w:val="1001"/>
        </w:numPr>
      </w:pPr>
      <w:r>
        <w:rPr>
          <w:b/>
          <w:bCs/>
        </w:rPr>
        <w:t xml:space="preserve">The IEPA proceeding</w:t>
      </w:r>
      <w:r>
        <w:t xml:space="preserve"> </w:t>
      </w:r>
      <w:r>
        <w:t xml:space="preserve">is not governed by the Texas conflicts rules. Illinois law and its own conflicts/administrative rules may govern state-law alter ego issues, while Ohio law remains a substantial candidate for the liability of a member of an Ohio LLC. Federal RCRA requirements apply according to statute and authorized-program scope.</w:t>
      </w:r>
    </w:p>
    <w:bookmarkEnd w:id="22"/>
    <w:bookmarkStart w:id="23" w:name="b.-recommended-choice-of-law-position"/>
    <w:p>
      <w:pPr>
        <w:pStyle w:val="Heading3"/>
      </w:pPr>
      <w:r>
        <w:t xml:space="preserve">B. Recommended choice-of-law position</w:t>
      </w:r>
    </w:p>
    <w:p>
      <w:pPr>
        <w:pStyle w:val="FirstParagraph"/>
        <w:widowControl/>
      </w:pPr>
      <w:r>
        <w:t xml:space="preserve">In the Texas action, move early for a ruling that</w:t>
      </w:r>
      <w:r>
        <w:t xml:space="preserve"> </w:t>
      </w:r>
      <w:r>
        <w:rPr>
          <w:b/>
          <w:bCs/>
        </w:rPr>
        <w:t xml:space="preserve">Ohio law governs the derivative veil-piercing question</w:t>
      </w:r>
      <w:r>
        <w:t xml:space="preserve">, while acknowledging that Texas law governs or may govern direct product-liability issues. Preserve Delaware law as a secondary argument only for matters concerning Cascade’s internal corporate affairs; do not overstate it as the governing veil law for Pryor. The brief should use Restatement §§ 302 and 307, Texas’s issue-specific conflicts method, Pryor’s Ohio organization and operations, and the limited reach of the Ohio choice-of-law clause. Explain why using Texas law to decide whether an Ohio LLC’s member is answerable for the LLC’s debts would intrude on the state-of-organization interest, while candidly addressing Texas’s competing interest in a Texas injury and Texas resident claimants.</w:t>
      </w:r>
    </w:p>
    <w:p>
      <w:pPr>
        <w:pStyle w:val="BodyText"/>
        <w:widowControl/>
      </w:pPr>
      <w:r>
        <w:t xml:space="preserve">Seek a separate ruling that the complaint’s single-business-enterprise count is not an independent Texas theory after</w:t>
      </w:r>
      <w:r>
        <w:t xml:space="preserve"> </w:t>
      </w:r>
      <w:r>
        <w:rPr>
          <w:i/>
          <w:iCs/>
        </w:rPr>
        <w:t xml:space="preserve">SSP Partners</w:t>
      </w:r>
      <w:r>
        <w:t xml:space="preserve">. Do not argue that Ohio/Delaware choice of law disposes of Cascade’s own design tort. In the IEPA proceeding, separately challenge the agency’s statutory and territorial basis for applying Illinois permitting/storage provisions to the Canton facility, while addressing any Illinois nexus from waste shipment, manifest preparation/receipt, or TSDF conduct. Avoid inconsistent positions between the Texas and administrative matters.</w:t>
      </w:r>
    </w:p>
    <w:bookmarkEnd w:id="23"/>
    <w:bookmarkEnd w:id="24"/>
    <w:bookmarkStart w:id="29" w:name="veil-piercing-standards-and-application"/>
    <w:p>
      <w:pPr>
        <w:pStyle w:val="Heading2"/>
      </w:pPr>
      <w:r>
        <w:t xml:space="preserve">3. Veil-piercing standards and application</w:t>
      </w:r>
    </w:p>
    <w:bookmarkStart w:id="25" w:name="a.-delaware"/>
    <w:p>
      <w:pPr>
        <w:pStyle w:val="Heading3"/>
      </w:pPr>
      <w:r>
        <w:t xml:space="preserve">A. Delaware</w:t>
      </w:r>
    </w:p>
    <w:p>
      <w:pPr>
        <w:pStyle w:val="FirstParagraph"/>
        <w:widowControl/>
      </w:pPr>
      <w:r>
        <w:t xml:space="preserve">Under Delaware law, a court may disregard an entity’s separate existence only in exceptional circumstances. Ownership, common management, shared services, or the fact that affiliated companies function as a single economic enterprise is not enough standing alone. The claimant generally must establish that the entity is a sham or alter ego and that respecting separateness would produce fraud or a comparable injustice.</w:t>
      </w:r>
      <w:r>
        <w:t xml:space="preserve"> </w:t>
      </w:r>
      <w:r>
        <w:rPr>
          <w:i/>
          <w:iCs/>
        </w:rPr>
        <w:t xml:space="preserve">Wallace ex rel. Cencom Cable Income Partners II, Inc. v. Wood</w:t>
      </w:r>
      <w:r>
        <w:t xml:space="preserve">, 752 A.2d 1175, 1183–84 (Del. Ch. 1999);</w:t>
      </w:r>
      <w:r>
        <w:t xml:space="preserve"> </w:t>
      </w:r>
      <w:r>
        <w:rPr>
          <w:i/>
          <w:iCs/>
        </w:rPr>
        <w:t xml:space="preserve">Geyer v. Ingersoll Publ’ns Co.</w:t>
      </w:r>
      <w:r>
        <w:t xml:space="preserve">, 621 A.2d 784, 793 (Del. Ch. 1992). Relevant, nonexclusive considerations include undercapitalization, insolvency, failure to observe separateness, absence of records or functioning governance, siphoning or commingling of funds, and whether the subsidiary is a facade for the parent. No one factor controls.</w:t>
      </w:r>
    </w:p>
    <w:p>
      <w:pPr>
        <w:pStyle w:val="BodyText"/>
        <w:widowControl/>
      </w:pPr>
      <w:r>
        <w:t xml:space="preserve">Delaware’s LLC statute provides that a member is not liable for LLC debts solely by reason of being or acting as a member. 6 Del. C. § 18-303(a). That statutory shield does not make veil piercing categorically unavailable, but reinforces that ownership alone is not liability. Delaware law is relevant to Cascade’s own internal affairs; if a court instead applies Delaware to the veil claim, the stringent standard is favorable compared with a loose enterprise-liability rule.</w:t>
      </w:r>
    </w:p>
    <w:p>
      <w:pPr>
        <w:pStyle w:val="BodyText"/>
        <w:widowControl/>
      </w:pPr>
      <w:r>
        <w:rPr>
          <w:b/>
          <w:bCs/>
        </w:rPr>
        <w:t xml:space="preserve">Application.</w:t>
      </w:r>
      <w:r>
        <w:t xml:space="preserve"> </w:t>
      </w:r>
      <w:r>
        <w:t xml:space="preserve">Cascade has meaningful defenses: Pryor has 312 employees, two operating facilities, its own customers, products, revenue, assets, bank account and state registration; it is not a dormant shell. It maintains a ledger and produces a separate federal information return. A separate entity can use shared services and centralized treasury without automatically losing its identity. The injury claim does not, on this record, involve a representation made to the Delgados that induced them to transact with Cascade, nor is there evidence yet of a transfer made after the injury to defeat this particular claim.</w:t>
      </w:r>
    </w:p>
    <w:p>
      <w:pPr>
        <w:pStyle w:val="BodyText"/>
        <w:widowControl/>
      </w:pPr>
      <w:r>
        <w:t xml:space="preserve">The adverse evidence is nonetheless substantial. Cascade’s own agreement says the entities did not negotiate at arm’s length, Pryor lacked independent counsel/advisers, Cascade may take all cash and use it for its own purposes, and Cascade has no duty to return swept funds. There is no reserve requirement, no independent Pryor review, and no independently set services fee. The $41.2 million</w:t>
      </w:r>
      <w:r>
        <w:t xml:space="preserve"> </w:t>
      </w:r>
      <w:r>
        <w:t xml:space="preserve">“</w:t>
      </w:r>
      <w:r>
        <w:t xml:space="preserve">debt</w:t>
      </w:r>
      <w:r>
        <w:t xml:space="preserve">”</w:t>
      </w:r>
      <w:r>
        <w:t xml:space="preserve"> </w:t>
      </w:r>
      <w:r>
        <w:t xml:space="preserve">has no written note, maturity, repayment schedule, security, or covenants; principal has never been repaid, while interest has been paid. Cascade’s personnel control the very product-design and environmental decisions that generated the pending claims. The cash extraction and risk-control facts could support an inference that Pryor was maintained as a liability-bearing operating entity without resources commensurate with known hazards. Under Delaware’s standard, a plaintiff must connect this misuse to fraud or a comparable injustice; mere inability to collect is not enough. The documented safety and environmental choices materially strengthen that connection, but do not establish it as a matter of law.</w:t>
      </w:r>
    </w:p>
    <w:p>
      <w:pPr>
        <w:pStyle w:val="BodyText"/>
        <w:widowControl/>
      </w:pPr>
      <w:r>
        <w:rPr>
          <w:b/>
          <w:bCs/>
        </w:rPr>
        <w:t xml:space="preserve">Assessment:</w:t>
      </w:r>
      <w:r>
        <w:t xml:space="preserve"> </w:t>
      </w:r>
      <w:r>
        <w:t xml:space="preserve">Low–moderate to moderate veil risk under Delaware law, with risk rising if discovery shows deliberate asset depletion in the face of known foreseeable claims, misleading representations, insolvency, or that transactions lacked real services/consideration. Delaware is the most favorable of the four candidate veil standards, not a guaranteed defense.</w:t>
      </w:r>
    </w:p>
    <w:bookmarkEnd w:id="25"/>
    <w:bookmarkStart w:id="26" w:name="b.-ohio"/>
    <w:p>
      <w:pPr>
        <w:pStyle w:val="Heading3"/>
      </w:pPr>
      <w:r>
        <w:t xml:space="preserve">B. Ohio</w:t>
      </w:r>
    </w:p>
    <w:p>
      <w:pPr>
        <w:pStyle w:val="FirstParagraph"/>
        <w:widowControl/>
      </w:pPr>
      <w:r>
        <w:t xml:space="preserve">Ohio’s traditional three-part test asks whether: (1) the defendant exercised complete control and domination such that the company had no separate mind, will, or existence; (2) that control was exercised to commit fraud, an illegal act, or a similarly unlawful act against the claimant; and (3) the control and wrongful conduct proximately caused the claimant’s injury or unjust loss.</w:t>
      </w:r>
      <w:r>
        <w:t xml:space="preserve"> </w:t>
      </w:r>
      <w:r>
        <w:rPr>
          <w:i/>
          <w:iCs/>
        </w:rPr>
        <w:t xml:space="preserve">Belvedere Condominium Unit Owners’ Ass’n v. R.E. Roark Cos.</w:t>
      </w:r>
      <w:r>
        <w:t xml:space="preserve">, 67 Ohio St. 3d 274, 289, 617 N.E.2d 1075 (1993). In</w:t>
      </w:r>
      <w:r>
        <w:t xml:space="preserve"> </w:t>
      </w:r>
      <w:r>
        <w:rPr>
          <w:i/>
          <w:iCs/>
        </w:rPr>
        <w:t xml:space="preserve">Dombroski v. WellPoint, Inc.</w:t>
      </w:r>
      <w:r>
        <w:t xml:space="preserve">, the Ohio Supreme Court rejected the more expansive</w:t>
      </w:r>
      <w:r>
        <w:t xml:space="preserve"> </w:t>
      </w:r>
      <w:r>
        <w:t xml:space="preserve">“</w:t>
      </w:r>
      <w:r>
        <w:t xml:space="preserve">unjust or inequitable</w:t>
      </w:r>
      <w:r>
        <w:t xml:space="preserve">”</w:t>
      </w:r>
      <w:r>
        <w:t xml:space="preserve"> </w:t>
      </w:r>
      <w:r>
        <w:t xml:space="preserve">formulation and held that the second prong requires fraud, an illegal act, or a similarly unlawful act. 119 Ohio St. 3d 506, 513–14, 895 N.E.2d 538 (2008). Undercapitalization and control are relevant but do not alone establish the second prong.</w:t>
      </w:r>
    </w:p>
    <w:p>
      <w:pPr>
        <w:pStyle w:val="BodyText"/>
        <w:widowControl/>
      </w:pPr>
      <w:r>
        <w:t xml:space="preserve">Ohio’s LLC Act provides that failure to observe formalities relating to the exercise of an LLC’s powers or management is not, by itself, grounds to impose member or manager liability. Ohio Rev. Code § 1706.26. This is important because LLCs need not mimic corporate board formalities. It does not license misuse of the LLC or bar traditional veil analysis where the statutory test is otherwise met. Pryor was formed in 2014, before the current Chapter 1706 effective date; counsel should verify the transition provisions and the version applicable to each relevant period. The current Act’s no-formalities rule is consistent with the central point that absence of meetings/minutes alone is insufficient.</w:t>
      </w:r>
    </w:p>
    <w:p>
      <w:pPr>
        <w:pStyle w:val="BodyText"/>
        <w:widowControl/>
      </w:pPr>
      <w:r>
        <w:rPr>
          <w:b/>
          <w:bCs/>
        </w:rPr>
        <w:t xml:space="preserve">Application.</w:t>
      </w:r>
      <w:r>
        <w:t xml:space="preserve"> </w:t>
      </w:r>
      <w:r>
        <w:t xml:space="preserve">The first prong is a substantial plaintiff strength. Cascade’s CEO approval rights reach product design, capital expenditures above $50,000, and managerial hiring/termination; Cascade’s officers control bank transactions, budgets, procurement, accounting, services, legal, and IT. Orvis reports to the same CEO in both roles. Cascade designed the HP-4400 and overruled the safety objection. Whitfield selected a specific Canton waste-storage configuration and Yun denied the funding request. The contract and cash sweeps leave little independent economic discretion. Separate employees, facilities, customers and operating assets are counterweights but do not eliminate actual domination.</w:t>
      </w:r>
    </w:p>
    <w:p>
      <w:pPr>
        <w:pStyle w:val="BodyText"/>
        <w:widowControl/>
      </w:pPr>
      <w:r>
        <w:t xml:space="preserve">The second and third prongs are the main Ohio defense. In the Delgado case, the current record supports an allegation of negligent or grossly negligent design and a disputed safety-standard violation. It does not yet show that Cascade used Pryor to perpetrate fraud or an illegal/similarly unlawful act against the Delgados. Plaintiffs will argue that knowingly proceeding with a potentially noncompliant, high-risk design, while extracting cash and leaving the manufacturer with limited liquid resources, is a similarly unlawful misuse. Whether design negligence or a regulatory violation meets</w:t>
      </w:r>
      <w:r>
        <w:t xml:space="preserve"> </w:t>
      </w:r>
      <w:r>
        <w:rPr>
          <w:i/>
          <w:iCs/>
        </w:rPr>
        <w:t xml:space="preserve">Dombroski</w:t>
      </w:r>
      <w:r>
        <w:t xml:space="preserve">’s narrowed second prong is contestable; the evidence and applicable law on the interlock’s actual compliance will matter. The injury must also be proximately caused by the misuse of control, not simply by the product defect.</w:t>
      </w:r>
    </w:p>
    <w:p>
      <w:pPr>
        <w:pStyle w:val="BodyText"/>
        <w:widowControl/>
      </w:pPr>
      <w:r>
        <w:t xml:space="preserve">The environmental matter is more difficult for Cascade under this test. If the Canton storage and permitting allegations are substantiated, the alleged specific direction to store waste in existing tanks, subsequent denial of funds for compliant equipment, and lack of any alternative compliance direction support a direct link between Cascade’s control and the statutory violation. A proved RCRA or corresponding Ohio/Illinois regulatory violation is a stronger candidate for</w:t>
      </w:r>
      <w:r>
        <w:t xml:space="preserve"> </w:t>
      </w:r>
      <w:r>
        <w:t xml:space="preserve">“</w:t>
      </w:r>
      <w:r>
        <w:t xml:space="preserve">illegal or similarly unlawful act</w:t>
      </w:r>
      <w:r>
        <w:t xml:space="preserve">”</w:t>
      </w:r>
      <w:r>
        <w:t xml:space="preserve"> </w:t>
      </w:r>
      <w:r>
        <w:t xml:space="preserve">than ordinary design negligence. Causation and the forum/agency’s authority remain separate requirements.</w:t>
      </w:r>
    </w:p>
    <w:p>
      <w:pPr>
        <w:pStyle w:val="BodyText"/>
        <w:widowControl/>
      </w:pPr>
      <w:r>
        <w:rPr>
          <w:b/>
          <w:bCs/>
        </w:rPr>
        <w:t xml:space="preserve">Assessment:</w:t>
      </w:r>
      <w:r>
        <w:t xml:space="preserve"> </w:t>
      </w:r>
      <w:r>
        <w:t xml:space="preserve">Moderate–high veil risk under Ohio law on the combined record; stronger for the environmental claim than for a derivative Delgado product claim. The second</w:t>
      </w:r>
      <w:r>
        <w:t xml:space="preserve"> </w:t>
      </w:r>
      <w:r>
        <w:rPr>
          <w:i/>
          <w:iCs/>
        </w:rPr>
        <w:t xml:space="preserve">Belvedere</w:t>
      </w:r>
      <w:r>
        <w:t xml:space="preserve"> </w:t>
      </w:r>
      <w:r>
        <w:t xml:space="preserve">element is the principal defense and should not be obscured by a generic</w:t>
      </w:r>
      <w:r>
        <w:t xml:space="preserve"> </w:t>
      </w:r>
      <w:r>
        <w:t xml:space="preserve">“</w:t>
      </w:r>
      <w:r>
        <w:t xml:space="preserve">injustice</w:t>
      </w:r>
      <w:r>
        <w:t xml:space="preserve">”</w:t>
      </w:r>
      <w:r>
        <w:t xml:space="preserve"> </w:t>
      </w:r>
      <w:r>
        <w:t xml:space="preserve">narrative.</w:t>
      </w:r>
    </w:p>
    <w:bookmarkEnd w:id="26"/>
    <w:bookmarkStart w:id="27" w:name="c.-texas"/>
    <w:p>
      <w:pPr>
        <w:pStyle w:val="Heading3"/>
      </w:pPr>
      <w:r>
        <w:t xml:space="preserve">C. Texas</w:t>
      </w:r>
    </w:p>
    <w:p>
      <w:pPr>
        <w:pStyle w:val="FirstParagraph"/>
        <w:widowControl/>
      </w:pPr>
      <w:r>
        <w:t xml:space="preserve">Texas distinguishes a parent’s own liability from liability imposed solely because of its relationship with a subsidiary. The Texas Supreme Court rejected</w:t>
      </w:r>
      <w:r>
        <w:t xml:space="preserve"> </w:t>
      </w:r>
      <w:r>
        <w:t xml:space="preserve">“</w:t>
      </w:r>
      <w:r>
        <w:t xml:space="preserve">single business enterprise</w:t>
      </w:r>
      <w:r>
        <w:t xml:space="preserve">”</w:t>
      </w:r>
      <w:r>
        <w:t xml:space="preserve"> </w:t>
      </w:r>
      <w:r>
        <w:t xml:space="preserve">as an independent basis to disregard separateness; common ownership, integrated operations, and shared resources cannot by themselves impose affiliate liability.</w:t>
      </w:r>
      <w:r>
        <w:t xml:space="preserve"> </w:t>
      </w:r>
      <w:r>
        <w:rPr>
          <w:i/>
          <w:iCs/>
        </w:rPr>
        <w:t xml:space="preserve">SSP Partners v. Gladstrong Invs. (USA) Corp.</w:t>
      </w:r>
      <w:r>
        <w:t xml:space="preserve">, 275 S.W.3d 444, 451–56 (Tex. 2008). The SBE allegations in the petition should be challenged as a separate cause of action, while recognizing that the same integration evidence may be relevant to an otherwise valid alter-ego claim.</w:t>
      </w:r>
    </w:p>
    <w:p>
      <w:pPr>
        <w:pStyle w:val="BodyText"/>
        <w:widowControl/>
      </w:pPr>
      <w:r>
        <w:t xml:space="preserve">For corporations, Tex. Bus. Orgs. Code §§ 21.223–.226 limit owner/affiliate liability; § 101.002 expressly applies those provisions to LLCs and their members/managers. Section 21.223(a)(1) bars veil theories such as alter ego, constructive fraud, or sham to perpetrate fraud for a contractual obligation. Section 21.223(a)(2) addresses other obligations and requires that the owner/affiliate caused the entity to be used to perpetrate, and did perpetrate, actual fraud on the obligee primarily for the owner’s/affiliate’s direct personal benefit. The statutory language must be applied to the specific obligation and theory pleaded; it is not a defense to a parent’s own tort or to liability imposed on a person by an independent statute. See Tex. Bus. Orgs. Code §§ 21.223, 101.002. Older common-law formulations in</w:t>
      </w:r>
      <w:r>
        <w:t xml:space="preserve"> </w:t>
      </w:r>
      <w:r>
        <w:rPr>
          <w:i/>
          <w:iCs/>
        </w:rPr>
        <w:t xml:space="preserve">Castleberry v. Branscum</w:t>
      </w:r>
      <w:r>
        <w:t xml:space="preserve">, 721 S.W.2d 270 (Tex. 1986), must be read with the later statute and</w:t>
      </w:r>
      <w:r>
        <w:t xml:space="preserve"> </w:t>
      </w:r>
      <w:r>
        <w:rPr>
          <w:i/>
          <w:iCs/>
        </w:rPr>
        <w:t xml:space="preserve">SSP Partners</w:t>
      </w:r>
      <w:r>
        <w:t xml:space="preserve">, not as an unqualified constructive-fraud route around it.</w:t>
      </w:r>
    </w:p>
    <w:p>
      <w:pPr>
        <w:pStyle w:val="BodyText"/>
        <w:widowControl/>
      </w:pPr>
      <w:r>
        <w:rPr>
          <w:b/>
          <w:bCs/>
        </w:rPr>
        <w:t xml:space="preserve">Application.</w:t>
      </w:r>
      <w:r>
        <w:t xml:space="preserve"> </w:t>
      </w:r>
      <w:r>
        <w:t xml:space="preserve">Pryor’s lack of independent governance and the cash-management terms provide strong evidence of domination; the entity-integration allegations are not trivial. However, the pleaded veil theory must show more than that Cascade benefited from ordinary distributions, set budgets, or centralized services. Plaintiffs will rely on the parent’s direct cash benefit from services fees/distributions and the agreement’s right to sweep and commingle all remaining cash. They will argue that Cascade used Pryor to manufacture a dangerous product while moving cash and keeping the operating entity unable to meet foreseeable claims. Cascade can respond that distributions to a corporate parent are not automatically the statutory</w:t>
      </w:r>
      <w:r>
        <w:t xml:space="preserve"> </w:t>
      </w:r>
      <w:r>
        <w:t xml:space="preserve">“</w:t>
      </w:r>
      <w:r>
        <w:t xml:space="preserve">direct personal benefit</w:t>
      </w:r>
      <w:r>
        <w:t xml:space="preserve">”</w:t>
      </w:r>
      <w:r>
        <w:t xml:space="preserve"> </w:t>
      </w:r>
      <w:r>
        <w:t xml:space="preserve">of actual fraud; that no actual fraud on these plaintiffs, deception, or fraudulent transfer has yet been shown; and that design negligence belongs in a direct claim, not a veil theory. The affirmative email evidence gives plaintiffs a strong culpability narrative but does not alone prove actual fraud in the use of the LLC form.</w:t>
      </w:r>
    </w:p>
    <w:p>
      <w:pPr>
        <w:pStyle w:val="BodyText"/>
        <w:widowControl/>
      </w:pPr>
      <w:r>
        <w:t xml:space="preserve">The Texas-law defense should therefore be targeted, not absolute: seek dismissal of SBE as an independent theory; require particularized proof of the statutory actual-fraud/direct-benefit elements for member liability; and distinguish Cascade’s direct conduct from derivative liability. The state-law classification of the veil claim and application of §21.223 to this tort-creditor fact pattern should be developed with current Texas appellate authority before briefing. Texas provides no safe harbor for a parent that directly designs a product or directly operates a facility.</w:t>
      </w:r>
    </w:p>
    <w:p>
      <w:pPr>
        <w:pStyle w:val="BodyText"/>
        <w:widowControl/>
      </w:pPr>
      <w:r>
        <w:rPr>
          <w:b/>
          <w:bCs/>
        </w:rPr>
        <w:t xml:space="preserve">Assessment:</w:t>
      </w:r>
      <w:r>
        <w:t xml:space="preserve"> </w:t>
      </w:r>
      <w:r>
        <w:t xml:space="preserve">Moderate veil risk under Texas law. Domination is well documented; the statutory misuse/fraud/direct-benefit element is meaningfully disputed. Direct design liability is separately high-risk. SBE is not a viable standalone route under controlling Texas Supreme Court law.</w:t>
      </w:r>
    </w:p>
    <w:bookmarkEnd w:id="27"/>
    <w:bookmarkStart w:id="28" w:name="d.-illinois-iepa-proceeding"/>
    <w:p>
      <w:pPr>
        <w:pStyle w:val="Heading3"/>
      </w:pPr>
      <w:r>
        <w:t xml:space="preserve">D. Illinois (IEPA proceeding)</w:t>
      </w:r>
    </w:p>
    <w:p>
      <w:pPr>
        <w:pStyle w:val="FirstParagraph"/>
        <w:widowControl/>
      </w:pPr>
      <w:r>
        <w:t xml:space="preserve">Illinois courts generally apply an instrumentality/alter-ego test requiring (1) unity of interest and ownership such that the separate personalities of parent and subsidiary no longer exist and (2) circumstances in which respecting the separate existence would sanction fraud or promote injustice.</w:t>
      </w:r>
      <w:r>
        <w:t xml:space="preserve"> </w:t>
      </w:r>
      <w:r>
        <w:rPr>
          <w:i/>
          <w:iCs/>
        </w:rPr>
        <w:t xml:space="preserve">Sea-Land Services, Inc. v. Pepper Source</w:t>
      </w:r>
      <w:r>
        <w:t xml:space="preserve">, 941 F.2d 519, 520–21 (7th Cir. 1991) (Illinois law);</w:t>
      </w:r>
      <w:r>
        <w:t xml:space="preserve"> </w:t>
      </w:r>
      <w:r>
        <w:rPr>
          <w:i/>
          <w:iCs/>
        </w:rPr>
        <w:t xml:space="preserve">Fontana v. TLD Builders, Inc.</w:t>
      </w:r>
      <w:r>
        <w:t xml:space="preserve">, 840 N.E.2d 767, 778–79 (Ill. App. Ct. 2005). Factors commonly considered include inadequate capitalization, failure to observe separateness, nonfunctioning officers/directors, absence of records, commingling, diversion of assets, insolvency, and use of the entity as a facade. They are evidence, not a mechanical checklist. Illinois courts require more for the second prong than a creditor’s inability to collect; the plaintiff must identify fraud or an inequitable consequence beyond the ordinary consequence of limited liability. See</w:t>
      </w:r>
      <w:r>
        <w:t xml:space="preserve"> </w:t>
      </w:r>
      <w:r>
        <w:rPr>
          <w:i/>
          <w:iCs/>
        </w:rPr>
        <w:t xml:space="preserve">Sea-Land Services, Inc. v. Pepper Source</w:t>
      </w:r>
      <w:r>
        <w:t xml:space="preserve">, 993 F.2d 1309, 1312–13 (7th Cir. 1993).</w:t>
      </w:r>
    </w:p>
    <w:p>
      <w:pPr>
        <w:pStyle w:val="BodyText"/>
        <w:widowControl/>
      </w:pPr>
      <w:r>
        <w:t xml:space="preserve">Illinois law has its own LLC statute protecting members against liability solely from membership and stating that failure to observe formalities alone is not a basis for liability. 805 ILCS 180/10-10. Pryor is an Ohio LLC, however, so Illinois corporate/LLC provisions do not automatically displace Ohio law on member liability; Illinois law may be applied as the forum’s remedial doctrine, while Ohio remains a strong internal-affairs choice. The administrative forum’s statutory authority and choice rules should be established before treating Illinois veil precedent as controlling.</w:t>
      </w:r>
    </w:p>
    <w:p>
      <w:pPr>
        <w:pStyle w:val="BodyText"/>
        <w:widowControl/>
      </w:pPr>
      <w:r>
        <w:rPr>
          <w:b/>
          <w:bCs/>
        </w:rPr>
        <w:t xml:space="preserve">Application.</w:t>
      </w:r>
      <w:r>
        <w:t xml:space="preserve"> </w:t>
      </w:r>
      <w:r>
        <w:t xml:space="preserve">The first prong is strongly supported by common management, no independent Pryor governance, Cascade’s exclusive operating authority, centralized books and services, commingled identity, unilateral cash extraction, and undocumented debt. Separate facilities, 312 employees, customers, assets, and a bank account provide a real business-operation counterargument. As with Delaware, a separately operating subsidiary is not automatically the parent’s alter ego.</w:t>
      </w:r>
    </w:p>
    <w:p>
      <w:pPr>
        <w:pStyle w:val="BodyText"/>
        <w:widowControl/>
      </w:pPr>
      <w:r>
        <w:t xml:space="preserve">For the second prong, the IEPA’s best argument is not simply nonpayment of a $2.4 million penalty. It is that Cascade used its control to approve the exact storage arrangement, rejected the funding request for compliant systems, and extracted funds while Pryor’s management lacked power to correct the violation. If substantiated, that could establish an inequitable result tied to the conduct, rather than mere inability to collect. Cascade can contest the claimed causal relation between fees/debt and the environmental violation, point to Pryor’s operating revenue/assets and positive operating cash flow, and require proof that Cascade used the entity form to evade a known obligation. The agency’s direct-operator claim may make veil piercing unnecessary.</w:t>
      </w:r>
    </w:p>
    <w:p>
      <w:pPr>
        <w:pStyle w:val="BodyText"/>
        <w:widowControl/>
      </w:pPr>
      <w:r>
        <w:rPr>
          <w:b/>
          <w:bCs/>
        </w:rPr>
        <w:t xml:space="preserve">Assessment:</w:t>
      </w:r>
      <w:r>
        <w:t xml:space="preserve"> </w:t>
      </w:r>
      <w:r>
        <w:t xml:space="preserve">Moderate–high under an Illinois instrumentality analysis on the alleged facts, but dependent on the choice of law, proof of misuse/injustice, and the IEPA’s authority to adjudicate the relevant Ohio conduct.</w:t>
      </w:r>
    </w:p>
    <w:bookmarkEnd w:id="28"/>
    <w:bookmarkEnd w:id="29"/>
    <w:bookmarkStart w:id="32" w:name="X55cc03be1362be265440cc57c3b59d0734ea5fb"/>
    <w:p>
      <w:pPr>
        <w:pStyle w:val="Heading2"/>
      </w:pPr>
      <w:r>
        <w:t xml:space="preserve">4. Direct liability independent of veil piercing</w:t>
      </w:r>
    </w:p>
    <w:bookmarkStart w:id="30" w:name="X8f44d5e80442ae727f1a21941c01d5ed65e9d42"/>
    <w:p>
      <w:pPr>
        <w:pStyle w:val="Heading3"/>
      </w:pPr>
      <w:r>
        <w:t xml:space="preserve">A. Delgado: designer, manufacturer, seller, negligence, and branding theories</w:t>
      </w:r>
    </w:p>
    <w:p>
      <w:pPr>
        <w:pStyle w:val="FirstParagraph"/>
        <w:widowControl/>
      </w:pPr>
      <w:r>
        <w:t xml:space="preserve">The petition expressly sues Cascade in its individual capacity as the designer/specifier of the HP-4400. Under Texas Civil Practice and Remedies Code Chapter 82, a</w:t>
      </w:r>
      <w:r>
        <w:t xml:space="preserve"> </w:t>
      </w:r>
      <w:r>
        <w:t xml:space="preserve">“</w:t>
      </w:r>
      <w:r>
        <w:t xml:space="preserve">manufacturer</w:t>
      </w:r>
      <w:r>
        <w:t xml:space="preserve">”</w:t>
      </w:r>
      <w:r>
        <w:t xml:space="preserve"> </w:t>
      </w:r>
      <w:r>
        <w:t xml:space="preserve">includes a person who designs, formulates, constructs, produces, or assembles a product or a component part. Tex. Civ. Prac. &amp; Rem. Code § 82.001(4). A</w:t>
      </w:r>
      <w:r>
        <w:t xml:space="preserve"> </w:t>
      </w:r>
      <w:r>
        <w:t xml:space="preserve">“</w:t>
      </w:r>
      <w:r>
        <w:t xml:space="preserve">products liability action</w:t>
      </w:r>
      <w:r>
        <w:t xml:space="preserve">”</w:t>
      </w:r>
      <w:r>
        <w:t xml:space="preserve"> </w:t>
      </w:r>
      <w:r>
        <w:t xml:space="preserve">reaches claims for personal injury allegedly caused by a product defect regardless of the legal theory. Id. § 82.001(2). A design-defect plaintiff generally must prove a safer alternative design and that the defect was a producing cause. Id. § 82.005. If Texas law governs, Cascade’s direct design role may place it within the statutory manufacturer definition; plaintiffs need not pierce Pryor’s veil to pursue Cascade for its own design conduct.</w:t>
      </w:r>
    </w:p>
    <w:p>
      <w:pPr>
        <w:pStyle w:val="BodyText"/>
        <w:widowControl/>
      </w:pPr>
      <w:r>
        <w:t xml:space="preserve">The July 2022 emails make this a serious claim, not merely a parent-liability allegation. Choi approved the design and later directed Pryor to proceed after receiving Orvis’s objection. The email acknowledges that cycle rate differed from prior models, refers to internal test results, discusses redundant circuitry, certification, cost, and delivery commitments. Those communications support notice and decision-making by Cascade. They do not prove the interlock was defective, that a feasible safer alternative design existed at the relevant time, that the failure occurred as alleged, or that the design caused the injury. Obtain the actual HP-4400 unit, preserve it under a joint protocol, retain independent safety/engineering experts, and review the full design history, test protocol, risk analyses, field incidents, warnings, and alternative designs.</w:t>
      </w:r>
    </w:p>
    <w:p>
      <w:pPr>
        <w:pStyle w:val="BodyText"/>
        <w:widowControl/>
      </w:pPr>
      <w:r>
        <w:t xml:space="preserve">OSHA § 1910.217 is a workplace standard for mechanical power presses. Its technical requirements and application to the HP-4400 must be established by a qualified expert and the actual configuration. OSHA’s employer duties under the Occupational Safety and Health Act do not automatically create a private product-liability cause of action against a manufacturer. A standards violation may be relevant evidence depending on governing law and fit; it should not be pleaded or briefed as negligence per se without authority. Conversely, a compliance defense requires proof of the applicable standard and actual compliance; the Choi email itself acknowledges a known technical issue and should not be characterized as a clean compliance record.</w:t>
      </w:r>
    </w:p>
    <w:p>
      <w:pPr>
        <w:pStyle w:val="BodyText"/>
        <w:widowControl/>
      </w:pPr>
      <w:r>
        <w:t xml:space="preserve">A negligence claim may independently rest on Cascade’s own design and approval conduct, although Texas courts often analyze negligent design within the products-liability framework. The relevant theory is Cascade’s own acts, not imputation from Pryor. Corporate responsibility for Choi’s conduct will depend on agency, scope of employment, and any applicable statutory limits on exemplary damages; Texas exemplary damages require clear and convincing proof of gross negligence or another statutory predicate. Tex. Civ. Prac. &amp; Rem. Code §§ 41.003, 41.005. The original petition’s aggregate $7.5 million</w:t>
      </w:r>
      <w:r>
        <w:t xml:space="preserve"> </w:t>
      </w:r>
      <w:r>
        <w:t xml:space="preserve">“</w:t>
      </w:r>
      <w:r>
        <w:t xml:space="preserve">pain and suffering and punitive damages</w:t>
      </w:r>
      <w:r>
        <w:t xml:space="preserve">”</w:t>
      </w:r>
      <w:r>
        <w:t xml:space="preserve"> </w:t>
      </w:r>
      <w:r>
        <w:t xml:space="preserve">figure should not be treated as a precise damages allocation or as proof punitive damages are recoverable.</w:t>
      </w:r>
    </w:p>
    <w:p>
      <w:pPr>
        <w:pStyle w:val="BodyText"/>
        <w:widowControl/>
      </w:pPr>
      <w:r>
        <w:t xml:space="preserve">The</w:t>
      </w:r>
      <w:r>
        <w:t xml:space="preserve"> </w:t>
      </w:r>
      <w:r>
        <w:t xml:space="preserve">“</w:t>
      </w:r>
      <w:r>
        <w:t xml:space="preserve">A Cascade Industrial Company</w:t>
      </w:r>
      <w:r>
        <w:t xml:space="preserve">”</w:t>
      </w:r>
      <w:r>
        <w:t xml:space="preserve"> </w:t>
      </w:r>
      <w:r>
        <w:t xml:space="preserve">logo and Cascade-branded sales literature/contracts raise apparent-manufacturer, seller, marketing, and representations theories. Branding is probative of Cascade’s participation and may support a claim that it held the product out as its own, but branding alone does not establish defect or causation. The Pryor nameplate and warranty, and the fact that the actual sale was through an independent distributor, are countervailing facts. The designer theory is materially stronger than a stand-alone apparent-manufacturer theory on the current record.</w:t>
      </w:r>
    </w:p>
    <w:p>
      <w:pPr>
        <w:pStyle w:val="BodyText"/>
        <w:widowControl/>
      </w:pPr>
      <w:r>
        <w:t xml:space="preserve">If Ohio product-liability law is argued or applied, Ohio Rev. Code Chapter 2307, including §§ 2307.71(A)(9), 2307.73 and 2307.75, also defines manufacturers/designers and provides a statutory design-defect framework. The parties should brief the substantive elements under the selected law rather than assume that an Ohio design office makes Ohio law govern every issue. Either way, direct liability turns on Cascade’s own product conduct and survives a successful veil defense.</w:t>
      </w:r>
    </w:p>
    <w:bookmarkEnd w:id="30"/>
    <w:bookmarkStart w:id="31" w:name="Xc8e5dacb78e8606a9961ba8a17b0496ddc78b4a"/>
    <w:p>
      <w:pPr>
        <w:pStyle w:val="Heading3"/>
      </w:pPr>
      <w:r>
        <w:t xml:space="preserve">B. IEPA: direct</w:t>
      </w:r>
      <w:r>
        <w:t xml:space="preserve"> </w:t>
      </w:r>
      <w:r>
        <w:t xml:space="preserve">“</w:t>
      </w:r>
      <w:r>
        <w:t xml:space="preserve">operator</w:t>
      </w:r>
      <w:r>
        <w:t xml:space="preserve">”</w:t>
      </w:r>
      <w:r>
        <w:t xml:space="preserve"> </w:t>
      </w:r>
      <w:r>
        <w:t xml:space="preserve">and environmental liability</w:t>
      </w:r>
    </w:p>
    <w:p>
      <w:pPr>
        <w:pStyle w:val="FirstParagraph"/>
        <w:widowControl/>
      </w:pPr>
      <w:r>
        <w:t xml:space="preserve">RCRA requires a permit for hazardous-waste treatment, storage, or disposal facilities. 42 U.S.C. § 6925(a). RCRA authorizes administrative/civil enforcement, including penalties, against persons violating applicable requirements. Id. § 6928. State enforcement depends on the scope of the EPA-approved program and delegation under RCRA § 3006(b), 42 U.S.C. § 6926(b); authorization does not itself establish extraterritorial reach over a facility in another state. The implementing regulations define</w:t>
      </w:r>
      <w:r>
        <w:t xml:space="preserve"> </w:t>
      </w:r>
      <w:r>
        <w:t xml:space="preserve">“</w:t>
      </w:r>
      <w:r>
        <w:t xml:space="preserve">operator</w:t>
      </w:r>
      <w:r>
        <w:t xml:space="preserve">”</w:t>
      </w:r>
      <w:r>
        <w:t xml:space="preserve"> </w:t>
      </w:r>
      <w:r>
        <w:t xml:space="preserve">as the person responsible for the overall operation of a facility. 40 C.F.R. § 260.10. A parent is not liable merely because it owns a subsidiary or sets general corporate policy. The Supreme Court’s CERCLA decision in</w:t>
      </w:r>
      <w:r>
        <w:t xml:space="preserve"> </w:t>
      </w:r>
      <w:r>
        <w:rPr>
          <w:i/>
          <w:iCs/>
        </w:rPr>
        <w:t xml:space="preserve">Bestfoods</w:t>
      </w:r>
      <w:r>
        <w:t xml:space="preserve"> </w:t>
      </w:r>
      <w:r>
        <w:t xml:space="preserve">holds that a parent may be directly liable as operator where it manages, directs, or conducts operations specifically related to pollution, including environmental compliance, as opposed to ordinary oversight; acts by dual-hatted officers must be attributed to the capacity in which they acted. 524 U.S. at 66–72. Because</w:t>
      </w:r>
      <w:r>
        <w:t xml:space="preserve"> </w:t>
      </w:r>
      <w:r>
        <w:rPr>
          <w:i/>
          <w:iCs/>
        </w:rPr>
        <w:t xml:space="preserve">Bestfoods</w:t>
      </w:r>
      <w:r>
        <w:t xml:space="preserve"> </w:t>
      </w:r>
      <w:r>
        <w:t xml:space="preserve">construed CERCLA, not RCRA, the IEPA must identify the RCRA/Illinois statutory text and precedent that make its standard applicable here; the decision is highly relevant by analogy, not a substitute for that showing.</w:t>
      </w:r>
    </w:p>
    <w:p>
      <w:pPr>
        <w:pStyle w:val="BodyText"/>
        <w:widowControl/>
      </w:pPr>
      <w:r>
        <w:t xml:space="preserve">On the pleaded facts, the agency has powerful evidence of specific operational involvement: Whitfield allegedly directed the storage configuration at Canton; the centralized environmental department controlled waste handling; Yun denied a request for compliant storage systems; and the $50,000 approval rule allegedly prevented Pryor’s manager from installing the system independently. These facts differ from routine consolidated reporting or parent-level audit oversight and fit the pollution-operations focus of</w:t>
      </w:r>
      <w:r>
        <w:t xml:space="preserve"> </w:t>
      </w:r>
      <w:r>
        <w:rPr>
          <w:i/>
          <w:iCs/>
        </w:rPr>
        <w:t xml:space="preserve">Bestfoods</w:t>
      </w:r>
      <w:r>
        <w:t xml:space="preserve">. Defenses include proof of what the memorandum actually directed, whether Whitfield acted for Cascade or Pryor and in what capacity, whether the proposed equipment would have addressed the cited violations, the timeline and legal status of the waste, who generated/characterized/manifests it, and whether the funding denial actually caused the alleged storage and manifest violations. Direct operator liability is not defeated by the LLC veil.</w:t>
      </w:r>
    </w:p>
    <w:p>
      <w:pPr>
        <w:pStyle w:val="BodyText"/>
        <w:widowControl/>
      </w:pPr>
      <w:r>
        <w:t xml:space="preserve">There is a separate</w:t>
      </w:r>
      <w:r>
        <w:t xml:space="preserve"> </w:t>
      </w:r>
      <w:r>
        <w:rPr>
          <w:b/>
          <w:bCs/>
        </w:rPr>
        <w:t xml:space="preserve">territorial and statutory-authority issue</w:t>
      </w:r>
      <w:r>
        <w:t xml:space="preserve">. The alleged unpermitted storage occurred at Canton, Ohio—not Illinois. Illinois administers an EPA-authorized hazardous-waste program, but authorization does not automatically make Illinois’s facility permitting provisions applicable to every Ohio facility. The complaint alleges manifests accompanying shipments to a Peoria TSDF and asserts Illinois jurisdiction based on receipt/processing there. That may create an Illinois nexus for conduct involving the shipment, manifest, or Illinois facility; it does not, without further statutory authority, establish that IEPA can impose Illinois-law penalties for storage conditions at an Ohio facility. Identify whether the agency proceeds under an Illinois statute with extraterritorial reach, an authorized RCRA enforcement provision, or another delegation; distinguish each alleged storage, manifest, and shipment violation by location and actor. Determine whether Ohio EPA, U.S. EPA, or an authorized federal forum has primary enforcement responsibility for the Canton storage violations. The IEPA should be required to plead and prove its authority and venue for each count.</w:t>
      </w:r>
    </w:p>
    <w:p>
      <w:pPr>
        <w:pStyle w:val="BodyText"/>
        <w:widowControl/>
      </w:pPr>
      <w:r>
        <w:t xml:space="preserve">The complaint alleges RCRA storage and manifest violations but the reviewed documents do not establish the hazardous-waste determination, generator category, accumulation exceptions, permit status, quantities, actual dates, manifest signatures, releases, or contaminant migration. Preserve all records and obtain an environmental regulatory expert and independent environmental counsel promptly. Do not let an authority challenge delay cessation of any ongoing unsafe or noncompliant storage.</w:t>
      </w:r>
    </w:p>
    <w:bookmarkEnd w:id="31"/>
    <w:bookmarkEnd w:id="32"/>
    <w:bookmarkStart w:id="33" w:name="consolidated-exposure-assessment"/>
    <w:p>
      <w:pPr>
        <w:pStyle w:val="Heading2"/>
      </w:pPr>
      <w:r>
        <w:t xml:space="preserve">5. Consolidated exposure assessment</w:t>
      </w:r>
    </w:p>
    <w:p>
      <w:pPr>
        <w:pStyle w:val="FirstParagraph"/>
        <w:widowControl/>
      </w:pPr>
      <w:r>
        <w:rPr>
          <w:b/>
          <w:bCs/>
        </w:rPr>
        <w:t xml:space="preserve">Delgado, derivative veil liability.</w:t>
      </w:r>
      <w:r>
        <w:t xml:space="preserve"> </w:t>
      </w:r>
      <w:r>
        <w:t xml:space="preserve">If Ohio law governs, control is difficult to contest, but</w:t>
      </w:r>
      <w:r>
        <w:t xml:space="preserve"> </w:t>
      </w:r>
      <w:r>
        <w:rPr>
          <w:i/>
          <w:iCs/>
        </w:rPr>
        <w:t xml:space="preserve">Dombroski</w:t>
      </w:r>
      <w:r>
        <w:t xml:space="preserve"> </w:t>
      </w:r>
      <w:r>
        <w:t xml:space="preserve">makes the wrongful-act and causation prongs the focus. If Texas law governs, challenge SBE and insist on statutory proof beyond domination, while conceding no defense to Cascade’s independent tort. If Delaware applies, its fraud/injustice threshold is the most favorable, but the cash sweeps, no-reserve clause, undocumented debt, and actual knowledge of product/environmental risks prevent a confident low-risk assessment. The facts do not support treating the veil claim as harmless or dismissible solely on separate registration, employees, or insurance.</w:t>
      </w:r>
    </w:p>
    <w:p>
      <w:pPr>
        <w:pStyle w:val="BodyText"/>
        <w:widowControl/>
      </w:pPr>
      <w:r>
        <w:rPr>
          <w:b/>
          <w:bCs/>
        </w:rPr>
        <w:t xml:space="preserve">Delgado, direct liability.</w:t>
      </w:r>
      <w:r>
        <w:t xml:space="preserve"> </w:t>
      </w:r>
      <w:r>
        <w:t xml:space="preserve">High. Cascade’s direct design role is affirmatively documented, and the email contains damaging notice and decision evidence. This theory may expose Cascade even if Ohio, Delaware, or Texas veil standards are not met. Defense will turn on technical proof, causal analysis, alternative design, warnings, user conduct/maintenance, and product history—not corporate formalities.</w:t>
      </w:r>
    </w:p>
    <w:p>
      <w:pPr>
        <w:pStyle w:val="BodyText"/>
        <w:widowControl/>
      </w:pPr>
      <w:r>
        <w:rPr>
          <w:b/>
          <w:bCs/>
        </w:rPr>
        <w:t xml:space="preserve">IEPA, direct operator liability.</w:t>
      </w:r>
      <w:r>
        <w:t xml:space="preserve"> </w:t>
      </w:r>
      <w:r>
        <w:t xml:space="preserve">High merits risk if the agency has jurisdiction and the underlying violations are proved. Specific storage and budget decisions make the case materially different from passive shareholder oversight. A jurisdictional challenge is important but not a substitute for immediate environmental compliance and remediation.</w:t>
      </w:r>
    </w:p>
    <w:p>
      <w:pPr>
        <w:pStyle w:val="BodyText"/>
        <w:widowControl/>
      </w:pPr>
      <w:r>
        <w:rPr>
          <w:b/>
          <w:bCs/>
        </w:rPr>
        <w:t xml:space="preserve">IEPA, veil liability.</w:t>
      </w:r>
      <w:r>
        <w:t xml:space="preserve"> </w:t>
      </w:r>
      <w:r>
        <w:t xml:space="preserve">Moderate–high, especially if an Illinois or Ohio court finds a direct causal connection between parent-level extraction/control and the violations. The agency’s recovery theory may be secondary to direct operator liability. A tribunal may not need to pierce the veil to impose liability for Cascade’s own operational acts.</w:t>
      </w:r>
    </w:p>
    <w:p>
      <w:pPr>
        <w:pStyle w:val="BodyText"/>
        <w:widowControl/>
      </w:pPr>
      <w:r>
        <w:rPr>
          <w:b/>
          <w:bCs/>
        </w:rPr>
        <w:t xml:space="preserve">Insurance and recovery.</w:t>
      </w:r>
      <w:r>
        <w:t xml:space="preserve"> </w:t>
      </w:r>
      <w:r>
        <w:t xml:space="preserve">The coverage summary reports $5 million CGL plus $15 million umbrella for Pryor, with Cascade listed as an additional insured subject to endorsement scope; it reports no parent CGL or pollution policy and a D&amp;O exclusion for subsidiary product liability. Coverage counsel must review actual policies, reservations, limits, defense-cost treatment, punitive damages, and whether Cascade’s direct design conduct is within the additional-insured endorsement. The nominal $20 million product limit is only $1.5 million above the current stated $18.5 million demand and may not protect Cascade’s direct exposure or an increased award. Government penalties and remediation are commonly excluded from ordinary CGL coverage; confirm policy language and insurability law. Insurance does not determine veil liability.</w:t>
      </w:r>
    </w:p>
    <w:bookmarkEnd w:id="33"/>
    <w:bookmarkStart w:id="37" w:name="remediation-and-immediate-actions"/>
    <w:p>
      <w:pPr>
        <w:pStyle w:val="Heading2"/>
      </w:pPr>
      <w:r>
        <w:t xml:space="preserve">6. Remediation and immediate actions</w:t>
      </w:r>
    </w:p>
    <w:p>
      <w:pPr>
        <w:pStyle w:val="FirstParagraph"/>
        <w:widowControl/>
      </w:pPr>
      <w:r>
        <w:t xml:space="preserve">Prospective reforms do not erase historical liability. Courts and agencies will evaluate the relationship and conduct during the relevant periods—HP-4400 design in 2022 and sale/injury in 2023–2024; environmental decisions and alleged violations from 2022–2024. Reforms can reduce continuing risk, support compliance, and improve future entity governance, but should not be represented as curing past conduct. Implement changes transparently, preserve pre-change evidence, and do not backdate, rewrite, or</w:t>
      </w:r>
      <w:r>
        <w:t xml:space="preserve"> </w:t>
      </w:r>
      <w:r>
        <w:t xml:space="preserve">“</w:t>
      </w:r>
      <w:r>
        <w:t xml:space="preserve">clean up</w:t>
      </w:r>
      <w:r>
        <w:t xml:space="preserve">”</w:t>
      </w:r>
      <w:r>
        <w:t xml:space="preserve"> </w:t>
      </w:r>
      <w:r>
        <w:t xml:space="preserve">historical records.</w:t>
      </w:r>
    </w:p>
    <w:bookmarkStart w:id="34" w:name="X9736e2cc0205697b37348e3280f4708141ad8c0"/>
    <w:p>
      <w:pPr>
        <w:pStyle w:val="Heading3"/>
      </w:pPr>
      <w:r>
        <w:t xml:space="preserve">A. Immediate safety, environmental, and litigation controls</w:t>
      </w:r>
    </w:p>
    <w:p>
      <w:pPr>
        <w:pStyle w:val="Compact"/>
        <w:numPr>
          <w:ilvl w:val="0"/>
          <w:numId w:val="1002"/>
        </w:numPr>
      </w:pPr>
      <w:r>
        <w:rPr>
          <w:b/>
          <w:bCs/>
        </w:rPr>
        <w:t xml:space="preserve">Preservation and independent counsel.</w:t>
      </w:r>
      <w:r>
        <w:t xml:space="preserve"> </w:t>
      </w:r>
      <w:r>
        <w:t xml:space="preserve">Maintain a litigation hold covering Cascade and Pryor custodians, design/test records, QA reports, the Orvis chain, environmental files, cash sweeps, loans, accounting, and insurance. Preserve native emails, attachments, metadata, server records, product hardware, and waste/manifest records. No deletion, alteration, or retroactive documentation. Because Cascade faces direct liability adverse to Pryor’s interests, assess separate counsel for Pryor and Cascade, separate privilege channels, and conflicts/consent under applicable professional-conduct rules; current joint representation should not be assumed conflict-free.</w:t>
      </w:r>
    </w:p>
    <w:p>
      <w:pPr>
        <w:pStyle w:val="Compact"/>
        <w:numPr>
          <w:ilvl w:val="0"/>
          <w:numId w:val="1002"/>
        </w:numPr>
      </w:pPr>
      <w:r>
        <w:rPr>
          <w:b/>
          <w:bCs/>
        </w:rPr>
        <w:t xml:space="preserve">HP-4400 safety.</w:t>
      </w:r>
      <w:r>
        <w:t xml:space="preserve"> </w:t>
      </w:r>
      <w:r>
        <w:t xml:space="preserve">Immediately have independent engineering and product-safety experts assess the HP-4400 model and field population, interlock design, OSHA/ANSI/UL obligations, alternative designs, and need for stop-sale, retrofit, customer notice, or recall. Make required regulatory and insurer notices. Keep safety decisions independent from litigation optics; do not suppress safety findings or assume prospective design corrections admit historical liability.</w:t>
      </w:r>
    </w:p>
    <w:p>
      <w:pPr>
        <w:pStyle w:val="Compact"/>
        <w:numPr>
          <w:ilvl w:val="0"/>
          <w:numId w:val="1002"/>
        </w:numPr>
      </w:pPr>
      <w:r>
        <w:rPr>
          <w:b/>
          <w:bCs/>
        </w:rPr>
        <w:t xml:space="preserve">Canton compliance.</w:t>
      </w:r>
      <w:r>
        <w:t xml:space="preserve"> </w:t>
      </w:r>
      <w:r>
        <w:t xml:space="preserve">Ensure no ongoing unpermitted storage; secure and characterize waste, arrange compliant removal/storage, obtain required permits, assess secondary containment and release risks, preserve manifests and samples, and retain qualified environmental counsel/consultants. Promptly evaluate reporting, corrective action, and cooperation obligations to Ohio EPA, U.S. EPA, IEPA, and affected TSDFs. Do not wait for the veil or jurisdiction ruling to address immediate hazards.</w:t>
      </w:r>
    </w:p>
    <w:p>
      <w:pPr>
        <w:pStyle w:val="Compact"/>
        <w:numPr>
          <w:ilvl w:val="0"/>
          <w:numId w:val="1002"/>
        </w:numPr>
      </w:pPr>
      <w:r>
        <w:rPr>
          <w:b/>
          <w:bCs/>
        </w:rPr>
        <w:t xml:space="preserve">Procedural response.</w:t>
      </w:r>
      <w:r>
        <w:t xml:space="preserve"> </w:t>
      </w:r>
      <w:r>
        <w:t xml:space="preserve">Calendar and meet the Texas court’s responsive-pleading and disclosure obligations. In the IEPA matter, confirm service date and the 45-day answer/hearing-request deadline stated in its notice immediately; request a hearing if appropriate. File an early, focused choice-of-law/SBE motion in Texas and a distinct authority/territorial-jurisdiction challenge in the agency proceeding. Coordinate positions without conceding inconsistent facts.</w:t>
      </w:r>
    </w:p>
    <w:p>
      <w:pPr>
        <w:pStyle w:val="Compact"/>
        <w:numPr>
          <w:ilvl w:val="0"/>
          <w:numId w:val="1002"/>
        </w:numPr>
      </w:pPr>
      <w:r>
        <w:rPr>
          <w:b/>
          <w:bCs/>
        </w:rPr>
        <w:t xml:space="preserve">Insurance.</w:t>
      </w:r>
      <w:r>
        <w:t xml:space="preserve"> </w:t>
      </w:r>
      <w:r>
        <w:t xml:space="preserve">Give timely notice to Ridgeway Mutual and Evergreen Specialty, obtain certified complete policies/endorsements and reservation letters, and retain separate coverage counsel. Evaluate defense and indemnity for Cascade as additional insured, direct design acts, punitive exposure, defense-cost erosion, and environmental response. Prospective parent-level products, excess, and pollution coverage should be evaluated; do not expect new insurance to cover known or pending claims retroactively.</w:t>
      </w:r>
    </w:p>
    <w:bookmarkEnd w:id="34"/>
    <w:bookmarkStart w:id="35" w:name="b.-governance-and-operational-separation"/>
    <w:p>
      <w:pPr>
        <w:pStyle w:val="Heading3"/>
      </w:pPr>
      <w:r>
        <w:t xml:space="preserve">B. Governance and operational separation</w:t>
      </w:r>
    </w:p>
    <w:p>
      <w:pPr>
        <w:pStyle w:val="Compact"/>
        <w:numPr>
          <w:ilvl w:val="0"/>
          <w:numId w:val="1003"/>
        </w:numPr>
      </w:pPr>
      <w:r>
        <w:rPr>
          <w:b/>
          <w:bCs/>
        </w:rPr>
        <w:t xml:space="preserve">Meaningful Pryor governance.</w:t>
      </w:r>
      <w:r>
        <w:t xml:space="preserve"> </w:t>
      </w:r>
      <w:r>
        <w:t xml:space="preserve">Amend the operating agreement prospectively to establish a genuinely empowered Pryor manager/board or management committee with authority over ordinary operations, safety, environmental compliance, budgets, and contracts. Independent members should have actual access, decision rights, and separate minutes; an advisory body with no authority will not change the underlying facts. Sole-member actions should be properly documented. LLC law does not require corporate ceremony, but records must truthfully show who made decisions and for which entity.</w:t>
      </w:r>
    </w:p>
    <w:p>
      <w:pPr>
        <w:pStyle w:val="Compact"/>
        <w:numPr>
          <w:ilvl w:val="0"/>
          <w:numId w:val="1003"/>
        </w:numPr>
      </w:pPr>
      <w:r>
        <w:rPr>
          <w:b/>
          <w:bCs/>
        </w:rPr>
        <w:t xml:space="preserve">Separate roles and accountability.</w:t>
      </w:r>
      <w:r>
        <w:t xml:space="preserve"> </w:t>
      </w:r>
      <w:r>
        <w:t xml:space="preserve">Appoint Pryor officers with defined authority and reporting lines; eliminate or carefully manage dual-hatted roles where feasible. Give Pryor a responsible environmental officer with authority to stop operations and spend within an independently approved compliance budget. Establish product-safety authority and escalation mechanisms independent of delivery targets. Cascade may set legitimate group-wide policies, but facility-specific execution and legal compliance decisions should rest with capable Pryor personnel, not paper delegations contradicted by actual practice.</w:t>
      </w:r>
    </w:p>
    <w:p>
      <w:pPr>
        <w:pStyle w:val="Compact"/>
        <w:numPr>
          <w:ilvl w:val="0"/>
          <w:numId w:val="1003"/>
        </w:numPr>
      </w:pPr>
      <w:r>
        <w:rPr>
          <w:b/>
          <w:bCs/>
        </w:rPr>
        <w:t xml:space="preserve">Decision protocols.</w:t>
      </w:r>
      <w:r>
        <w:t xml:space="preserve"> </w:t>
      </w:r>
      <w:r>
        <w:t xml:space="preserve">Revisit the $50,000 approval threshold; a threshold that prevents a subsidiary manager from addressing safety or regulatory violations creates both substantive and veil risk. Create documented emergency authority to incur necessary compliance/safety spending and prohibit parent vetoes that would require illegal operation. Keep Cascade’s investor oversight distinct from direct facility management; record the capacity in which dual officers act.</w:t>
      </w:r>
    </w:p>
    <w:p>
      <w:pPr>
        <w:pStyle w:val="Compact"/>
        <w:numPr>
          <w:ilvl w:val="0"/>
          <w:numId w:val="1003"/>
        </w:numPr>
      </w:pPr>
      <w:r>
        <w:rPr>
          <w:b/>
          <w:bCs/>
        </w:rPr>
        <w:t xml:space="preserve">Separate identity.</w:t>
      </w:r>
      <w:r>
        <w:t xml:space="preserve"> </w:t>
      </w:r>
      <w:r>
        <w:t xml:space="preserve">Use Pryor’s legal name, address, bank account, contract signature blocks, invoices, purchase orders, employee cards, and facility signage consistently. Remove ambiguous Cascade branding where legally and commercially appropriate, or clearly identify Cascade’s role without implying it is the manufacturer when that is not accurate. Maintain distinct entity records, customer-facing warranties, and complaint channels. Branding changes do not cure prior representations and must not misrepresent the actual designer or manufacturer.</w:t>
      </w:r>
    </w:p>
    <w:p>
      <w:pPr>
        <w:pStyle w:val="Compact"/>
        <w:numPr>
          <w:ilvl w:val="0"/>
          <w:numId w:val="1003"/>
        </w:numPr>
      </w:pPr>
      <w:r>
        <w:rPr>
          <w:b/>
          <w:bCs/>
        </w:rPr>
        <w:t xml:space="preserve">Shared services.</w:t>
      </w:r>
      <w:r>
        <w:t xml:space="preserve"> </w:t>
      </w:r>
      <w:r>
        <w:t xml:space="preserve">Execute a prospective written shared-services agreement specifying services, personnel, service levels, cost allocation, fee calculation, records, and termination. Obtain independent benchmarking/transfer-pricing support and annual review by a disinterested Pryor decision-maker. Document actual services. Separate accounting ledgers and legal-entity financial statements should be prepared and independently reviewed. Shared services are not inherently improper; undocumented, unilateral, unreviewable charges are the problem.</w:t>
      </w:r>
    </w:p>
    <w:p>
      <w:pPr>
        <w:pStyle w:val="Compact"/>
        <w:numPr>
          <w:ilvl w:val="0"/>
          <w:numId w:val="1003"/>
        </w:numPr>
      </w:pPr>
      <w:r>
        <w:rPr>
          <w:b/>
          <w:bCs/>
        </w:rPr>
        <w:t xml:space="preserve">Intercompany debt and cash.</w:t>
      </w:r>
      <w:r>
        <w:t xml:space="preserve"> </w:t>
      </w:r>
      <w:r>
        <w:t xml:space="preserve">Stop discretionary sweeps that leave Pryor without a credible operating, safety, environmental, insurance, and contingent-liability reserve. Set reserves through a documented independent solvency/liquidity analysis and prohibit distributions that would leave Pryor unable to meet obligations. Reconcile the $41.2 million ledger. Going forward, document any bona fide loan with note, principal, maturity, repayment schedule, rate support, covenants, approvals, and consistent payment. Do not backdate notes or recast historic advances as loans after the fact. Consider prospective conversion of a portion to equity only after solvency, tax, lender, and creditor review; a conversion does not resolve the past record and can affect creditor/transfer issues. Separate service fees, member distributions, interest, and cash sweeps in accounting and legal documentation—no double counting.</w:t>
      </w:r>
    </w:p>
    <w:p>
      <w:pPr>
        <w:pStyle w:val="Compact"/>
        <w:numPr>
          <w:ilvl w:val="0"/>
          <w:numId w:val="1003"/>
        </w:numPr>
      </w:pPr>
      <w:r>
        <w:rPr>
          <w:b/>
          <w:bCs/>
        </w:rPr>
        <w:t xml:space="preserve">Capitalization and financial reporting.</w:t>
      </w:r>
      <w:r>
        <w:t xml:space="preserve"> </w:t>
      </w:r>
      <w:r>
        <w:t xml:space="preserve">Obtain a forensic, legal-entity capitalization and solvency study considering assets, liabilities, insurance, claims, product-risk profile, working capital, environmental exposure, and the company’s ability to operate—not a target ratio selected for litigation. A reasonable equity contribution and reserve may improve prospective resilience; there is no magic capitalization threshold. Suspend or condition member distributions pending the analysis. Correct the workbook’s treatment of member distributions and equity roll-forward, and use audited or independently reviewed standalone statements. Document genuine commercial reasons for distributions and all related-party transactions.</w:t>
      </w:r>
    </w:p>
    <w:bookmarkEnd w:id="35"/>
    <w:bookmarkStart w:id="36" w:name="Xb4329daa204c03f1a1cb7eccb48fad73964fcd3"/>
    <w:p>
      <w:pPr>
        <w:pStyle w:val="Heading3"/>
      </w:pPr>
      <w:r>
        <w:t xml:space="preserve">C. Environmental and insurance governance</w:t>
      </w:r>
    </w:p>
    <w:p>
      <w:pPr>
        <w:pStyle w:val="FirstParagraph"/>
        <w:widowControl/>
      </w:pPr>
      <w:r>
        <w:t xml:space="preserve">Establish a facility-level waste inventory, permit calendar, manifest reconciliation and audit, independent compliance inspections, escalation/reporting protocol, and budget authority. Use independent environmental counsel for the IEPA/Ohio matters. Retain an independent auditor or qualified environmental consultant to validate the Canton corrective plan. Investigate pollution legal liability coverage and parent-level products/umbrella coverage prospectively. Any insurance placement or change must accurately disclose known claims and environmental conditions; coverage applications are not a substitute for correcting them.</w:t>
      </w:r>
    </w:p>
    <w:bookmarkEnd w:id="36"/>
    <w:bookmarkEnd w:id="37"/>
    <w:bookmarkStart w:id="38" w:name="priority-research-and-discovery-plan"/>
    <w:p>
      <w:pPr>
        <w:pStyle w:val="Heading2"/>
      </w:pPr>
      <w:r>
        <w:t xml:space="preserve">7. Priority research and discovery plan</w:t>
      </w:r>
    </w:p>
    <w:p>
      <w:pPr>
        <w:pStyle w:val="FirstParagraph"/>
        <w:widowControl/>
      </w:pPr>
      <w:r>
        <w:t xml:space="preserve">The following items are needed to refine the assessment and support defensible choice-of-law and merits positions:</w:t>
      </w:r>
    </w:p>
    <w:p>
      <w:pPr>
        <w:pStyle w:val="Compact"/>
        <w:numPr>
          <w:ilvl w:val="0"/>
          <w:numId w:val="1004"/>
        </w:numPr>
      </w:pPr>
      <w:r>
        <w:t xml:space="preserve">Pryor’s executed operating agreement and amendments; all written consents, member actions, delegated authority, governance policies, and legal-entity minutes.</w:t>
      </w:r>
    </w:p>
    <w:p>
      <w:pPr>
        <w:pStyle w:val="Compact"/>
        <w:numPr>
          <w:ilvl w:val="0"/>
          <w:numId w:val="1004"/>
        </w:numPr>
      </w:pPr>
      <w:r>
        <w:t xml:space="preserve">Complete corporate organization charts and role descriptions; who employed, supervised, paid, and evaluated Choi, Whitfield, Yun, Orvis, Colter, and facility staff; records showing the capacity in which each acted.</w:t>
      </w:r>
    </w:p>
    <w:p>
      <w:pPr>
        <w:pStyle w:val="Compact"/>
        <w:numPr>
          <w:ilvl w:val="0"/>
          <w:numId w:val="1004"/>
        </w:numPr>
      </w:pPr>
      <w:r>
        <w:t xml:space="preserve">The complete HP-4400 design history file, EDS revisions, QA Memo PM-QA-2022-0047, SVP-400 data, UL/NRTL materials, OSHA/ANSI analyses, complaints, prior model incidents, product service bulletins, field returns, warnings, and post-incident evidence.</w:t>
      </w:r>
    </w:p>
    <w:p>
      <w:pPr>
        <w:pStyle w:val="Compact"/>
        <w:numPr>
          <w:ilvl w:val="0"/>
          <w:numId w:val="1004"/>
        </w:numPr>
      </w:pPr>
      <w:r>
        <w:t xml:space="preserve">The complete original CGL, umbrella, D&amp;O, and any other policy language, endorsements, applications, notices, reservations, and carrier correspondence; verify occurrence and aggregate limits and whether defense costs erode limits.</w:t>
      </w:r>
    </w:p>
    <w:p>
      <w:pPr>
        <w:pStyle w:val="Compact"/>
        <w:numPr>
          <w:ilvl w:val="0"/>
          <w:numId w:val="1004"/>
        </w:numPr>
      </w:pPr>
      <w:r>
        <w:t xml:space="preserve">The Whitfield memorandum, environmental budget request and denial, compliance policies, waste determinations, training, inspection reports, photographs, tank/drum records, manifests, TSDF receipts, permits, sampling, and communications with Ohio EPA, U.S. EPA, IEPA, and Greenfield.</w:t>
      </w:r>
    </w:p>
    <w:p>
      <w:pPr>
        <w:pStyle w:val="Compact"/>
        <w:numPr>
          <w:ilvl w:val="0"/>
          <w:numId w:val="1004"/>
        </w:numPr>
      </w:pPr>
      <w:r>
        <w:t xml:space="preserve">Pryor bank statements, sweep instructions, cash-management account reconciliation, all historic loan advances/repayments/interest, service-fee support, actual cash use by Cascade, member distribution approvals, solvency tests, and transfer-pricing materials (if any).</w:t>
      </w:r>
    </w:p>
    <w:p>
      <w:pPr>
        <w:pStyle w:val="Compact"/>
        <w:numPr>
          <w:ilvl w:val="0"/>
          <w:numId w:val="1004"/>
        </w:numPr>
      </w:pPr>
      <w:r>
        <w:t xml:space="preserve">Corrected standalone balance sheets, income statements, cash-flow statements, tax returns, audit workpapers, and an accountant’s reconciliation of equity, retained earnings, distributions, and intercompany debt.</w:t>
      </w:r>
    </w:p>
    <w:p>
      <w:pPr>
        <w:pStyle w:val="Compact"/>
        <w:numPr>
          <w:ilvl w:val="0"/>
          <w:numId w:val="1004"/>
        </w:numPr>
      </w:pPr>
      <w:r>
        <w:t xml:space="preserve">IEPA’s statutory delegation/authorization, inspection basis, venue and jurisdictional authority, each alleged violation date/location, and any parallel Ohio EPA/U.S. EPA proceeding.</w:t>
      </w:r>
    </w:p>
    <w:bookmarkEnd w:id="38"/>
    <w:bookmarkStart w:id="39" w:name="conclusion"/>
    <w:p>
      <w:pPr>
        <w:pStyle w:val="Heading2"/>
      </w:pPr>
      <w:r>
        <w:t xml:space="preserve">Conclusion</w:t>
      </w:r>
    </w:p>
    <w:p>
      <w:pPr>
        <w:pStyle w:val="FirstParagraph"/>
        <w:widowControl/>
      </w:pPr>
      <w:r>
        <w:t xml:space="preserve">Cascade’s exposure cannot be reduced to a single veil test. The corporate record supports significant domination/integration allegations, and the cash-management agreement plus unsupported intercompany arrangements are particularly damaging. Choice of law could materially change the derivative-liability analysis; Ohio is the strongest candidate for member liability for an Ohio LLC’s debts, Delaware governs Cascade’s internal affairs, and Texas is the likely governing law for the injury/product-liability issues. Texas SBE is not an independent route after</w:t>
      </w:r>
      <w:r>
        <w:t xml:space="preserve"> </w:t>
      </w:r>
      <w:r>
        <w:rPr>
          <w:i/>
          <w:iCs/>
        </w:rPr>
        <w:t xml:space="preserve">SSP Partners</w:t>
      </w:r>
      <w:r>
        <w:t xml:space="preserve">.</w:t>
      </w:r>
    </w:p>
    <w:p>
      <w:pPr>
        <w:pStyle w:val="BodyText"/>
        <w:widowControl/>
      </w:pPr>
      <w:r>
        <w:t xml:space="preserve">The strongest defense is not that Cascade had no role. The record shows the opposite: Cascade’s design and environmental decisions may create direct liability that exists regardless of Pryor’s separate status. The immediate response should therefore pair precise legal challenges—Ohio choice of law, statutory veil elements, rejection of Texas SBE, and the IEPA’s Ohio-territory authority—with independent product-safety and environmental corrective action, reliable financial reconciliation, and genuine prospective governance reform. Historical records must remain intact, and remediation must be described as forward-looking rather than a cure for past conduct.</w:t>
      </w:r>
    </w:p>
    <w:p>
      <w:pPr>
        <w:widowControl/>
      </w:pPr>
      <w:r>
        <w:pict>
          <v:rect style="width:0;height:1.5pt" o:hralign="center" o:hrstd="t" o:hr="t"/>
        </w:pict>
      </w:r>
    </w:p>
    <w:p>
      <w:pPr>
        <w:pStyle w:val="FirstParagraph"/>
        <w:widowControl/>
      </w:pPr>
      <w:r>
        <w:rPr>
          <w:b/>
          <w:bCs/>
        </w:rPr>
        <w:t xml:space="preserve">Authorities and statutes cited (principal):</w:t>
      </w:r>
      <w:r>
        <w:t xml:space="preserve"> </w:t>
      </w:r>
      <w:r>
        <w:t xml:space="preserve">Restatement (Second) of Conflict of Laws §§ 6, 145, 302, 307;</w:t>
      </w:r>
      <w:r>
        <w:t xml:space="preserve"> </w:t>
      </w:r>
      <w:r>
        <w:rPr>
          <w:i/>
          <w:iCs/>
        </w:rPr>
        <w:t xml:space="preserve">Duncan v. Cessna Aircraft Co.</w:t>
      </w:r>
      <w:r>
        <w:t xml:space="preserve">, 665 S.W.2d 414 (Tex. 1984);</w:t>
      </w:r>
      <w:r>
        <w:t xml:space="preserve"> </w:t>
      </w:r>
      <w:r>
        <w:rPr>
          <w:i/>
          <w:iCs/>
        </w:rPr>
        <w:t xml:space="preserve">Torrington Co. v. Stutzman</w:t>
      </w:r>
      <w:r>
        <w:t xml:space="preserve">, 46 S.W.3d 829 (Tex. 2000);</w:t>
      </w:r>
      <w:r>
        <w:t xml:space="preserve"> </w:t>
      </w:r>
      <w:r>
        <w:rPr>
          <w:i/>
          <w:iCs/>
        </w:rPr>
        <w:t xml:space="preserve">H.B. Zachry Co. v. O’Brien</w:t>
      </w:r>
      <w:r>
        <w:t xml:space="preserve">, 378 S.W.2d 423 (Tex. 1964);</w:t>
      </w:r>
      <w:r>
        <w:t xml:space="preserve"> </w:t>
      </w:r>
      <w:r>
        <w:rPr>
          <w:i/>
          <w:iCs/>
        </w:rPr>
        <w:t xml:space="preserve">Wallace ex rel. Cencom Cable Income Partners II, Inc. v. Wood</w:t>
      </w:r>
      <w:r>
        <w:t xml:space="preserve">, 752 A.2d 1175 (Del. Ch. 1999);</w:t>
      </w:r>
      <w:r>
        <w:t xml:space="preserve"> </w:t>
      </w:r>
      <w:r>
        <w:rPr>
          <w:i/>
          <w:iCs/>
        </w:rPr>
        <w:t xml:space="preserve">Geyer v. Ingersoll Publications Co.</w:t>
      </w:r>
      <w:r>
        <w:t xml:space="preserve">, 621 A.2d 784 (Del. Ch. 1992); 6 Del. C. § 18-303;</w:t>
      </w:r>
      <w:r>
        <w:t xml:space="preserve"> </w:t>
      </w:r>
      <w:r>
        <w:rPr>
          <w:i/>
          <w:iCs/>
        </w:rPr>
        <w:t xml:space="preserve">Belvedere Condominium Unit Owners’ Ass’n v. R.E. Roark Cos.</w:t>
      </w:r>
      <w:r>
        <w:t xml:space="preserve">, 67 Ohio St. 3d 274, 617 N.E.2d 1075 (1993);</w:t>
      </w:r>
      <w:r>
        <w:t xml:space="preserve"> </w:t>
      </w:r>
      <w:r>
        <w:rPr>
          <w:i/>
          <w:iCs/>
        </w:rPr>
        <w:t xml:space="preserve">Dombroski v. WellPoint, Inc.</w:t>
      </w:r>
      <w:r>
        <w:t xml:space="preserve">, 119 Ohio St. 3d 506, 895 N.E.2d 538 (2008); Ohio Rev. Code § 1706.26;</w:t>
      </w:r>
      <w:r>
        <w:t xml:space="preserve"> </w:t>
      </w:r>
      <w:r>
        <w:rPr>
          <w:i/>
          <w:iCs/>
        </w:rPr>
        <w:t xml:space="preserve">SSP Partners v. Gladstrong Investments (USA) Corp.</w:t>
      </w:r>
      <w:r>
        <w:t xml:space="preserve">, 275 S.W.3d 444 (Tex. 2008);</w:t>
      </w:r>
      <w:r>
        <w:t xml:space="preserve"> </w:t>
      </w:r>
      <w:r>
        <w:rPr>
          <w:i/>
          <w:iCs/>
        </w:rPr>
        <w:t xml:space="preserve">Castleberry v. Branscum</w:t>
      </w:r>
      <w:r>
        <w:t xml:space="preserve">, 721 S.W.2d 270 (Tex. 1986); Tex. Bus. Orgs. Code § 21.223, 101.002;</w:t>
      </w:r>
      <w:r>
        <w:t xml:space="preserve"> </w:t>
      </w:r>
      <w:r>
        <w:rPr>
          <w:i/>
          <w:iCs/>
        </w:rPr>
        <w:t xml:space="preserve">Sea-Land Services, Inc. v. Pepper Source</w:t>
      </w:r>
      <w:r>
        <w:t xml:space="preserve">, 941 F.2d 519 (7th Cir. 1991), 993 F.2d 1309 (7th Cir. 1993);</w:t>
      </w:r>
      <w:r>
        <w:t xml:space="preserve"> </w:t>
      </w:r>
      <w:r>
        <w:rPr>
          <w:i/>
          <w:iCs/>
        </w:rPr>
        <w:t xml:space="preserve">Fontana v. TLD Builders, Inc.</w:t>
      </w:r>
      <w:r>
        <w:t xml:space="preserve">, 840 N.E.2d 767 (Ill. App. Ct. 2005); 805 ILCS 180/10-10; Tex. Civ. Prac. &amp; Rem. Code §§ 41.003, 41.005, 82.001, 82.005; Ohio Rev. Code §§ 2307.71, 2307.73, 2307.75; 29 C.F.R. § 1910.217; 42 U.S.C. §§ 6925, 6926(b), 6928; 40 C.F.R. § 260.10;</w:t>
      </w:r>
      <w:r>
        <w:t xml:space="preserve"> </w:t>
      </w:r>
      <w:r>
        <w:rPr>
          <w:i/>
          <w:iCs/>
        </w:rPr>
        <w:t xml:space="preserve">United States v. Bestfoods</w:t>
      </w:r>
      <w:r>
        <w:t xml:space="preserve">, 524 U.S. 51 (1998).</w:t>
      </w:r>
    </w:p>
    <w:p>
      <w:pPr>
        <w:pStyle w:val="BodyText"/>
        <w:widowControl/>
      </w:pPr>
      <w:r>
        <w:rPr>
          <w:b/>
          <w:bCs/>
        </w:rPr>
        <w:t xml:space="preserve">Confidentiality note:</w:t>
      </w:r>
      <w:r>
        <w:t xml:space="preserve"> </w:t>
      </w:r>
      <w:r>
        <w:t xml:space="preserve">Prepared for legal advice at the direction of Cascade’s General Counsel. Limit circulation to persons necessary to obtain or provide legal advice. Privilege and work-product protection depend on the facts and applicable law; this label alone does not create protection.</w:t>
      </w:r>
    </w:p>
    <w:bookmarkEnd w:id="39"/>
    <w:bookmarkEnd w:id="40"/>
    <w:sectPr>
      <w:headerReference w:type="default" r:id="rId9"/>
      <w:footerReference w:type="default" r:id="rId10"/>
      <w:pgMar w:top="1123" w:bottom="1123" w:left="1267" w:right="1267"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646464"/>
        <w:sz w:val="16"/>
      </w:rPr>
      <w:t xml:space="preserve">CASCADE / PRYOR  •  JANUARY 6, 2025     |     Page </w:t>
    </w:r>
    <w:fldSimple w:instr="PAGE">
      <w:r>
        <w:rPr>
          <w:rFonts w:ascii="Arial" w:hAnsi="Arial"/>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646464"/>
        <w:sz w:val="16"/>
      </w:rPr>
      <w:t>PRIVILEGED &amp;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Times New Roman" w:hAnsi="Times New Roman" w:eastAsia="Times New Roman"/>
      <w:color w:val="1E1E1E"/>
      <w:sz w:val="21"/>
    </w:rPr>
  </w:style>
  <w:style w:styleId="BodyText" w:type="paragraph">
    <w:name w:val="Body Text"/>
    <w:basedOn w:val="Normal"/>
    <w:link w:val="BodyTextChar"/>
    <w:qFormat/>
    <w:pPr>
      <w:spacing w:after="100" w:before="180" w:line="259" w:lineRule="auto"/>
    </w:pPr>
    <w:rPr>
      <w:rFonts w:ascii="Times New Roman" w:hAnsi="Times New Roman" w:eastAsia="Times New Roman"/>
      <w:color w:val="1E1E1E"/>
      <w:sz w:val="21"/>
    </w:rPr>
  </w:style>
  <w:style w:customStyle="1" w:styleId="FirstParagraph" w:type="paragraph">
    <w:name w:val="First Paragraph"/>
    <w:basedOn w:val="BodyText"/>
    <w:next w:val="BodyText"/>
    <w:qFormat/>
    <w:pPr>
      <w:spacing w:after="100" w:line="259" w:lineRule="auto"/>
    </w:pPr>
    <w:rPr>
      <w:rFonts w:ascii="Times New Roman" w:hAnsi="Times New Roman" w:eastAsia="Times New Roman"/>
      <w:color w:val="1E1E1E"/>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40"/>
      <w:outlineLvl w:val="0"/>
    </w:pPr>
    <w:rPr>
      <w:rFonts w:asciiTheme="majorHAnsi" w:cstheme="majorBidi" w:eastAsiaTheme="majorEastAsia" w:hAnsiTheme="majorHAnsi" w:ascii="Arial" w:hAnsi="Arial" w:eastAsia="Arial"/>
      <w:b/>
      <w:bCs/>
      <w:color w:val="17365D"/>
      <w:sz w:val="30"/>
      <w:szCs w:val="32"/>
    </w:rPr>
  </w:style>
  <w:style w:styleId="Heading2" w:type="paragraph">
    <w:name w:val="Heading 2"/>
    <w:basedOn w:val="Normal"/>
    <w:next w:val="BodyText"/>
    <w:uiPriority w:val="9"/>
    <w:unhideWhenUsed/>
    <w:qFormat/>
    <w:pPr>
      <w:keepNext/>
      <w:keepLines/>
      <w:spacing w:after="100" w:before="180"/>
      <w:outlineLvl w:val="1"/>
    </w:pPr>
    <w:rPr>
      <w:rFonts w:asciiTheme="majorHAnsi" w:cstheme="majorBidi" w:eastAsiaTheme="majorEastAsia" w:hAnsiTheme="majorHAnsi" w:ascii="Arial" w:hAnsi="Arial" w:eastAsia="Arial"/>
      <w:b/>
      <w:bCs/>
      <w:color w:val="17365D"/>
      <w:sz w:val="25"/>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Arial" w:hAnsi="Arial" w:eastAsia="Arial"/>
      <w:b/>
      <w:bCs/>
      <w:color w:val="365F91"/>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Veil-Piercing and Related Liability Research Memorandum</dc:title>
  <dc:creator>Prepared for the Office of the General Counsel</dc:creator>
  <cp:keywords>Privileged, work product, veil piercing, alter ego, choice of law, product liability, RCRA</cp:keywords>
  <dcterms:created xsi:type="dcterms:W3CDTF">2026-09-27T01:03:47Z</dcterms:created>
  <dcterms:modified xsi:type="dcterms:W3CDTF">2026-09-27T01:03:47Z</dcterms:modified>
  <dc:subject>Cascade Industrial Holdings, Inc. / Pryor Manufacturing LLC</dc:subject>
</cp:coreProperties>
</file>

<file path=docProps/custom.xml><?xml version="1.0" encoding="utf-8"?>
<Properties xmlns="http://schemas.openxmlformats.org/officeDocument/2006/custom-properties" xmlns:vt="http://schemas.openxmlformats.org/officeDocument/2006/docPropsVTypes"/>
</file>