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b/>
        </w:rPr>
        <w:t>PRIVILEGED AND CONFIDENTIAL — ATTORNEY-CLIENT COMMUNICATION — ATTORNEY WORK PRODUCT</w:t>
      </w:r>
      <w:r/>
    </w:p>
    <w:p>
      <w:pPr>
        <w:jc w:val="center"/>
      </w:pPr>
      <w:r>
        <w:t>Prepared at the direction of counsel in anticipation of litigation</w:t>
      </w:r>
    </w:p>
    <w:p>
      <w:pPr>
        <w:jc w:val="center"/>
      </w:pPr>
      <w:r>
        <w:rPr>
          <w:b/>
          <w:sz w:val="32"/>
        </w:rPr>
        <w:t>LEGAL RESEARCH MEMORANDUM</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D9E2F3"/>
          </w:tcPr>
          <w:p>
            <w:r/>
            <w:r>
              <w:rPr>
                <w:b/>
                <w:sz w:val="19"/>
              </w:rPr>
            </w:r>
          </w:p>
        </w:tc>
        <w:tc>
          <w:tcPr>
            <w:tcW w:type="dxa" w:w="7920"/>
            <w:shd w:val="clear" w:color="auto" w:fill="D9E2F3"/>
          </w:tcPr>
          <w:p>
            <w:r/>
            <w:r>
              <w:rPr>
                <w:b/>
                <w:sz w:val="19"/>
              </w:rPr>
            </w:r>
          </w:p>
        </w:tc>
      </w:tr>
      <w:tr>
        <w:tc>
          <w:tcPr>
            <w:tcW w:type="dxa" w:w="1440"/>
          </w:tcPr>
          <w:p>
            <w:r>
              <w:rPr>
                <w:sz w:val="19"/>
              </w:rPr>
            </w:r>
            <w:r>
              <w:rPr>
                <w:sz w:val="19"/>
              </w:rPr>
            </w:r>
            <w:r>
              <w:rPr>
                <w:b/>
                <w:sz w:val="19"/>
              </w:rPr>
              <w:t>TO:</w:t>
            </w:r>
            <w:r>
              <w:rPr>
                <w:sz w:val="19"/>
              </w:rPr>
            </w:r>
          </w:p>
        </w:tc>
        <w:tc>
          <w:tcPr>
            <w:tcW w:type="dxa" w:w="7920"/>
          </w:tcPr>
          <w:p>
            <w:r>
              <w:rPr>
                <w:sz w:val="19"/>
              </w:rPr>
            </w:r>
            <w:r>
              <w:rPr>
                <w:sz w:val="19"/>
              </w:rPr>
              <w:t>Thomas R. Ikeda, General Counsel, Cascade Industrial Holdings, Inc.; Board of Directors (via General Counsel)</w:t>
            </w:r>
          </w:p>
        </w:tc>
      </w:tr>
      <w:tr>
        <w:tc>
          <w:tcPr>
            <w:tcW w:type="dxa" w:w="1440"/>
          </w:tcPr>
          <w:p>
            <w:r>
              <w:rPr>
                <w:sz w:val="19"/>
              </w:rPr>
            </w:r>
            <w:r>
              <w:rPr>
                <w:sz w:val="19"/>
              </w:rPr>
            </w:r>
            <w:r>
              <w:rPr>
                <w:b/>
                <w:sz w:val="19"/>
              </w:rPr>
              <w:t>CC:</w:t>
            </w:r>
            <w:r>
              <w:rPr>
                <w:sz w:val="19"/>
              </w:rPr>
            </w:r>
          </w:p>
        </w:tc>
        <w:tc>
          <w:tcPr>
            <w:tcW w:type="dxa" w:w="7920"/>
          </w:tcPr>
          <w:p>
            <w:r>
              <w:rPr>
                <w:sz w:val="19"/>
              </w:rPr>
            </w:r>
            <w:r>
              <w:rPr>
                <w:sz w:val="19"/>
              </w:rPr>
              <w:t>Sandra K. Birchfield, Birchfield &amp; Novak LLP (outside litigation counsel)</w:t>
            </w:r>
          </w:p>
        </w:tc>
      </w:tr>
      <w:tr>
        <w:tc>
          <w:tcPr>
            <w:tcW w:type="dxa" w:w="1440"/>
          </w:tcPr>
          <w:p>
            <w:r>
              <w:rPr>
                <w:sz w:val="19"/>
              </w:rPr>
            </w:r>
            <w:r>
              <w:rPr>
                <w:sz w:val="19"/>
              </w:rPr>
            </w:r>
            <w:r>
              <w:rPr>
                <w:b/>
                <w:sz w:val="19"/>
              </w:rPr>
              <w:t>FROM:</w:t>
            </w:r>
            <w:r>
              <w:rPr>
                <w:sz w:val="19"/>
              </w:rPr>
            </w:r>
          </w:p>
        </w:tc>
        <w:tc>
          <w:tcPr>
            <w:tcW w:type="dxa" w:w="7920"/>
          </w:tcPr>
          <w:p>
            <w:r>
              <w:rPr>
                <w:sz w:val="19"/>
              </w:rPr>
            </w:r>
            <w:r>
              <w:rPr>
                <w:sz w:val="19"/>
              </w:rPr>
              <w:t>Office of the General Counsel — Litigation Research</w:t>
            </w:r>
          </w:p>
        </w:tc>
      </w:tr>
      <w:tr>
        <w:tc>
          <w:tcPr>
            <w:tcW w:type="dxa" w:w="1440"/>
          </w:tcPr>
          <w:p>
            <w:r>
              <w:rPr>
                <w:sz w:val="19"/>
              </w:rPr>
            </w:r>
            <w:r>
              <w:rPr>
                <w:sz w:val="19"/>
              </w:rPr>
            </w:r>
            <w:r>
              <w:rPr>
                <w:b/>
                <w:sz w:val="19"/>
              </w:rPr>
              <w:t>DATE:</w:t>
            </w:r>
            <w:r>
              <w:rPr>
                <w:sz w:val="19"/>
              </w:rPr>
            </w:r>
          </w:p>
        </w:tc>
        <w:tc>
          <w:tcPr>
            <w:tcW w:type="dxa" w:w="7920"/>
          </w:tcPr>
          <w:p>
            <w:r>
              <w:rPr>
                <w:sz w:val="19"/>
              </w:rPr>
            </w:r>
            <w:r>
              <w:rPr>
                <w:sz w:val="19"/>
              </w:rPr>
              <w:t>December 2024 (for the Board meeting of January 6, 2025)</w:t>
            </w:r>
          </w:p>
        </w:tc>
      </w:tr>
      <w:tr>
        <w:tc>
          <w:tcPr>
            <w:tcW w:type="dxa" w:w="1440"/>
          </w:tcPr>
          <w:p>
            <w:r>
              <w:rPr>
                <w:sz w:val="19"/>
              </w:rPr>
            </w:r>
            <w:r>
              <w:rPr>
                <w:sz w:val="19"/>
              </w:rPr>
            </w:r>
            <w:r>
              <w:rPr>
                <w:b/>
                <w:sz w:val="19"/>
              </w:rPr>
              <w:t>RE:</w:t>
            </w:r>
            <w:r>
              <w:rPr>
                <w:sz w:val="19"/>
              </w:rPr>
            </w:r>
          </w:p>
        </w:tc>
        <w:tc>
          <w:tcPr>
            <w:tcW w:type="dxa" w:w="7920"/>
          </w:tcPr>
          <w:p>
            <w:r>
              <w:rPr>
                <w:sz w:val="19"/>
              </w:rPr>
            </w:r>
            <w:r>
              <w:rPr>
                <w:sz w:val="19"/>
              </w:rPr>
              <w:t xml:space="preserve">Veil-Piercing, Alter Ego, and Direct Liability Exposure of Cascade Industrial Holdings, Inc. for Obligations of Pryor Manufacturing LLC — </w:t>
            </w:r>
            <w:r>
              <w:rPr>
                <w:i/>
                <w:sz w:val="19"/>
              </w:rPr>
              <w:t>Delgado et al. v. Pryor Manufacturing LLC et al.</w:t>
            </w:r>
            <w:r>
              <w:rPr>
                <w:sz w:val="19"/>
              </w:rPr>
              <w:t>, Cause No. 2024-CV-78412 (189th Dist. Ct., Harris County, Tex.), and IEPA Action No. IEPA-2024-ENF-00341</w:t>
            </w:r>
          </w:p>
        </w:tc>
      </w:tr>
    </w:tbl>
    <w:p/>
    <w:p>
      <w:pPr>
        <w:pStyle w:val="Heading1"/>
      </w:pPr>
      <w:r>
        <w:t>I. Questions Presented</w:t>
      </w:r>
    </w:p>
    <w:p>
      <w:pPr>
        <w:pStyle w:val="ListNumber"/>
      </w:pPr>
      <w:r>
        <w:t xml:space="preserve">Which state’s law will govern the effort by the </w:t>
      </w:r>
      <w:r>
        <w:rPr>
          <w:i/>
        </w:rPr>
        <w:t>Delgado</w:t>
      </w:r>
      <w:r>
        <w:t xml:space="preserve"> plaintiffs and the Illinois EPA to disregard Pryor Manufacturing LLC’s separate existence and impose Pryor’s liabilities on Cascade Industrial Holdings, Inc.?</w:t>
      </w:r>
    </w:p>
    <w:p>
      <w:pPr>
        <w:pStyle w:val="ListNumber"/>
      </w:pPr>
      <w:r>
        <w:t>How do the veil-piercing standards of Delaware, Ohio, Texas, and Illinois apply to the documented Cascade–Pryor relationship, and what is Cascade’s calibrated risk under each?</w:t>
      </w:r>
    </w:p>
    <w:p>
      <w:pPr>
        <w:pStyle w:val="ListNumber"/>
      </w:pPr>
      <w:r>
        <w:t xml:space="preserve">Independent of veil piercing, is Cascade exposed to direct liability (a) as designer of the HP-4400 under Texas products-liability law and (b) as an “operator” of the Canton Facility under </w:t>
      </w:r>
      <w:r>
        <w:rPr>
          <w:i/>
        </w:rPr>
        <w:t>United States v. Bestfoods</w:t>
      </w:r>
      <w:r>
        <w:t>?</w:t>
      </w:r>
    </w:p>
    <w:p>
      <w:pPr>
        <w:pStyle w:val="ListNumber"/>
      </w:pPr>
      <w:r>
        <w:t>How do insurance, Pryor’s balance sheet, and procedural posture affect realistic exposure, and what remediation should the Board authorize now?</w:t>
      </w:r>
    </w:p>
    <w:p>
      <w:pPr>
        <w:pStyle w:val="Heading1"/>
      </w:pPr>
      <w:r>
        <w:t>II. Short Answers and Executive Summary</w:t>
      </w:r>
    </w:p>
    <w:p>
      <w:r/>
      <w:r>
        <w:rPr>
          <w:b/>
        </w:rPr>
        <w:t>1. Choice of law is less of a lever than the preliminary assessment suggests — and Delaware law is very unlikely to apply.</w:t>
      </w:r>
      <w:r>
        <w:t xml:space="preserve"> The question in both proceedings is whether the separate existence of </w:t>
      </w:r>
      <w:r>
        <w:rPr>
          <w:i/>
        </w:rPr>
        <w:t>Pryor</w:t>
      </w:r>
      <w:r>
        <w:t xml:space="preserve"> (an Ohio LLC) should be disregarded. Texas’s Business Organizations Code directs that the law of an entity’s jurisdiction of formation governs its internal affairs, expressly including the liability of an owner or member for the entity’s obligations (Tex. Bus. Orgs. Code §§ 1.101–1.105). Illinois conflicts practice likewise looks to the law of the state of organization of the entity whose veil is at issue. Both routes point to </w:t>
      </w:r>
      <w:r>
        <w:rPr>
          <w:b/>
        </w:rPr>
        <w:t>Ohio</w:t>
      </w:r>
      <w:r>
        <w:t xml:space="preserve">, not Delaware. Delaware law would matter only if someone sought to reach </w:t>
      </w:r>
      <w:r>
        <w:rPr>
          <w:i/>
        </w:rPr>
        <w:t>Cascade’s</w:t>
      </w:r>
      <w:r>
        <w:t xml:space="preserve"> shareholders, which no one is attempting. We recommend abandoning the “Delaware first” position in the November 22 preliminary assessment and leading with Ohio law, with Texas law as the fallback the court may apply.</w:t>
      </w:r>
    </w:p>
    <w:p>
      <w:r/>
      <w:r>
        <w:rPr>
          <w:b/>
        </w:rPr>
        <w:t>2. The veil-piercing facts are poor under any test; the outcome turns on the “wrong” element.</w:t>
      </w:r>
      <w:r>
        <w:t xml:space="preserve"> On the control/unity prong, the record is about as unfavorable as it gets: no independent governance ever, dual officers, a $50,000 capex threshold, Cascade branding on the product and the facility, unpriced shared services, a sweep agreement that lets Cascade take all cash with no reserve, and $41.2 million of undocumented “debt.” Cascade’s defensible ground is the second element. Ohio (</w:t>
      </w:r>
      <w:r>
        <w:rPr>
          <w:i/>
        </w:rPr>
        <w:t>Dombroski v. WellPoint</w:t>
      </w:r>
      <w:r>
        <w:t xml:space="preserve">, 2008) requires that control be used to commit </w:t>
      </w:r>
      <w:r>
        <w:rPr>
          <w:b/>
        </w:rPr>
        <w:t>fraud, an illegal act, or a similarly unlawful act</w:t>
      </w:r>
      <w:r>
        <w:t xml:space="preserve">, which is a meaningful hurdle for a product-defect claim. Texas tort veil piercing is more forgiving to plaintiffs, and the Texas single business enterprise (SBE) theory is weak after </w:t>
      </w:r>
      <w:r>
        <w:rPr>
          <w:i/>
        </w:rPr>
        <w:t>SSP Partners</w:t>
      </w:r>
      <w:r>
        <w:t xml:space="preserve">. </w:t>
      </w:r>
      <w:r>
        <w:rPr>
          <w:b/>
        </w:rPr>
        <w:t>Our ratings:</w:t>
      </w:r>
      <w:r>
        <w:t xml:space="preserve"> Ohio law, </w:t>
      </w:r>
      <w:r>
        <w:rPr>
          <w:i/>
        </w:rPr>
        <w:t>Delgado</w:t>
      </w:r>
      <w:r>
        <w:t xml:space="preserve"> = Moderate. Texas law, </w:t>
      </w:r>
      <w:r>
        <w:rPr>
          <w:i/>
        </w:rPr>
        <w:t>Delgado</w:t>
      </w:r>
      <w:r>
        <w:t xml:space="preserve"> (alter ego) = Moderate-High. Texas SBE = Low. IEPA alter ego (any law) = Moderate-High, because RCRA violations are themselves “illegal acts.”</w:t>
      </w:r>
    </w:p>
    <w:p>
      <w:r/>
      <w:r>
        <w:rPr>
          <w:b/>
        </w:rPr>
        <w:t>3. Direct liability is the more serious exposure, and it does not depend on choice of law or on piercing.</w:t>
      </w:r>
      <w:r>
        <w:t xml:space="preserve"> Cascade’s engineering group designed the HP-4400 and specified the interlock (EDS-HP4400-Rev3). Cascade’s VP of Engineering approved the design and, on July 19, 2022, overruled a written safety objection that proposed a costed alternative design ($2,800/unit, about 8 weeks). He cited delivery commitments the CEO had prioritized. Texas defines “manufacturer” to include a person who </w:t>
      </w:r>
      <w:r>
        <w:rPr>
          <w:i/>
        </w:rPr>
        <w:t>designs</w:t>
      </w:r>
      <w:r>
        <w:t xml:space="preserve"> a product (Tex. Civ. Prac. &amp; Rem. Code § 82.001(4)). </w:t>
      </w:r>
      <w:r>
        <w:rPr>
          <w:b/>
        </w:rPr>
        <w:t>Direct design liability risk: High.</w:t>
      </w:r>
      <w:r>
        <w:t xml:space="preserve"> </w:t>
      </w:r>
      <w:r>
        <w:rPr>
          <w:b/>
        </w:rPr>
        <w:t>Exemplary damages risk: Moderate-High.</w:t>
      </w:r>
      <w:r>
        <w:t xml:space="preserve"> In the IEPA matter, the Whitfield Memorandum is a facility-specific directive on how hazardous waste would be stored, issued by a parent officer who holds no Pryor office. That is close to the fact pattern </w:t>
      </w:r>
      <w:r>
        <w:rPr>
          <w:i/>
        </w:rPr>
        <w:t>Bestfoods</w:t>
      </w:r>
      <w:r>
        <w:t xml:space="preserve"> identified as supporting direct operator liability. </w:t>
      </w:r>
      <w:r>
        <w:rPr>
          <w:b/>
        </w:rPr>
        <w:t>Operator risk on the merits: High.</w:t>
      </w:r>
      <w:r>
        <w:t xml:space="preserve"> This is subject to the jurisdictional defense noted next.</w:t>
      </w:r>
    </w:p>
    <w:p>
      <w:r/>
      <w:r>
        <w:rPr>
          <w:b/>
        </w:rPr>
        <w:t>4. The IEPA action has a threshold jurisdictional defect that the preliminary assessment did not identify.</w:t>
      </w:r>
      <w:r>
        <w:t xml:space="preserve"> The Illinois EPA seeks penalties for </w:t>
      </w:r>
      <w:r>
        <w:rPr>
          <w:i/>
        </w:rPr>
        <w:t>storage</w:t>
      </w:r>
      <w:r>
        <w:t xml:space="preserve"> at a facility in </w:t>
      </w:r>
      <w:r>
        <w:rPr>
          <w:b/>
        </w:rPr>
        <w:t>Canton, Ohio</w:t>
      </w:r>
      <w:r>
        <w:t xml:space="preserve">, under Illinois permit provisions (415 ILCS 5/21(d)). Ohio, not Illinois, is the RCRA-authorized state for that facility. Illinois’s only apparent hook is the manifested shipments received by a TSDF in Peoria (Count II). Counts I, III and IV, to the extent they rest on Ohio storage, should be challenged for lack of jurisdiction and authority before any merits positions are taken. </w:t>
      </w:r>
      <w:r>
        <w:rPr>
          <w:b/>
        </w:rPr>
        <w:t>Urgent:</w:t>
      </w:r>
      <w:r>
        <w:t xml:space="preserve"> the Complaint states a 45-day answer period. If service occurred on or near October 3, 2024, that deadline may already have run. Default status must be confirmed immediately.</w:t>
      </w:r>
    </w:p>
    <w:p>
      <w:r/>
      <w:r>
        <w:rPr>
          <w:b/>
        </w:rPr>
        <w:t>5. Insurance and finances.</w:t>
      </w:r>
      <w:r>
        <w:t xml:space="preserve"> Pryor’s combined Ridgeway Mutual limits are $20 million per occurrence against an $18.5 million demand. The $2.4 million IEPA penalty is uninsured. The risk memo’s assumption that direct design claims fall outside Cascade’s additional-insured status is not obvious, because “arising out of” is typically read broadly. The larger risk is that </w:t>
      </w:r>
      <w:r>
        <w:rPr>
          <w:b/>
        </w:rPr>
        <w:t>punitive damages may be uninsurable if Ohio law governs the policies</w:t>
      </w:r>
      <w:r>
        <w:t xml:space="preserve"> (Ohio R.C. 3937.182). The record also contains several numerical errors that opponents are already exploiting (Part III.C). For example, the Petition’s “$49.5 million” annual extraction double-counts $17.9 million. And the widely repeated “$4.2 million equity / 9.81:1” figure ignores Pryor’s $21.7 million of total member’s equity.</w:t>
      </w:r>
    </w:p>
    <w:p>
      <w:r/>
      <w:r>
        <w:rPr>
          <w:b/>
        </w:rPr>
        <w:t>6. Remediation should be forward-looking, sequenced, and litigation-aware.</w:t>
      </w:r>
      <w:r>
        <w:t xml:space="preserve"> Priorities:</w:t>
      </w:r>
    </w:p>
    <w:p>
      <w:pPr>
        <w:pStyle w:val="ListBullet"/>
      </w:pPr>
      <w:r/>
      <w:r>
        <w:rPr>
          <w:b/>
        </w:rPr>
        <w:t>Safety first:</w:t>
      </w:r>
      <w:r>
        <w:t xml:space="preserve"> an HP-4400 field-safety and retrofit program, together with post-sale warnings.</w:t>
      </w:r>
    </w:p>
    <w:p>
      <w:pPr>
        <w:pStyle w:val="ListBullet"/>
      </w:pPr>
      <w:r/>
      <w:r>
        <w:rPr>
          <w:b/>
        </w:rPr>
        <w:t>Separate counsel:</w:t>
      </w:r>
      <w:r>
        <w:t xml:space="preserve"> separate counsel for Pryor and, potentially, for Orvis.</w:t>
      </w:r>
    </w:p>
    <w:p>
      <w:pPr>
        <w:pStyle w:val="ListBullet"/>
      </w:pPr>
      <w:r/>
      <w:r>
        <w:rPr>
          <w:b/>
        </w:rPr>
        <w:t>Recapitalization:</w:t>
      </w:r>
      <w:r>
        <w:t xml:space="preserve"> recapitalize Pryor with equity, not debt, and amend the sweep agreement to impose a minimum reserve.</w:t>
      </w:r>
    </w:p>
    <w:p>
      <w:pPr>
        <w:pStyle w:val="ListBullet"/>
      </w:pPr>
      <w:r/>
      <w:r>
        <w:rPr>
          <w:b/>
        </w:rPr>
        <w:t>Governance:</w:t>
      </w:r>
      <w:r>
        <w:t xml:space="preserve"> create an independent Pryor board of managers.</w:t>
      </w:r>
    </w:p>
    <w:p>
      <w:pPr>
        <w:pStyle w:val="ListBullet"/>
      </w:pPr>
      <w:r/>
      <w:r>
        <w:rPr>
          <w:b/>
        </w:rPr>
        <w:t>Documentation:</w:t>
      </w:r>
      <w:r>
        <w:t xml:space="preserve"> document intercompany debt and services on arm’s-length terms.</w:t>
      </w:r>
    </w:p>
    <w:p>
      <w:pPr>
        <w:pStyle w:val="ListBullet"/>
      </w:pPr>
      <w:r/>
      <w:r>
        <w:rPr>
          <w:b/>
        </w:rPr>
        <w:t>Separateness:</w:t>
      </w:r>
      <w:r>
        <w:t xml:space="preserve"> separate branding and environmental authority.</w:t>
      </w:r>
    </w:p>
    <w:p>
      <w:r>
        <w:t>None of these steps cures 2022–2024 conduct. Each should be implemented under counsel’s supervision so that it does not create admissions or spoliation risk.</w:t>
      </w:r>
    </w:p>
    <w:p>
      <w:pPr>
        <w:pStyle w:val="Heading2"/>
      </w:pPr>
      <w:r>
        <w:t>Risk Matrix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D9E2F3"/>
          </w:tcPr>
          <w:p>
            <w:r/>
            <w:r>
              <w:rPr>
                <w:b/>
                <w:sz w:val="19"/>
              </w:rPr>
              <w:t>Theory / Forum</w:t>
            </w:r>
          </w:p>
        </w:tc>
        <w:tc>
          <w:tcPr>
            <w:tcW w:type="dxa" w:w="2304"/>
            <w:shd w:val="clear" w:color="auto" w:fill="D9E2F3"/>
          </w:tcPr>
          <w:p>
            <w:r/>
            <w:r>
              <w:rPr>
                <w:b/>
                <w:sz w:val="19"/>
              </w:rPr>
              <w:t>Likely governing law</w:t>
            </w:r>
          </w:p>
        </w:tc>
        <w:tc>
          <w:tcPr>
            <w:tcW w:type="dxa" w:w="2592"/>
            <w:shd w:val="clear" w:color="auto" w:fill="D9E2F3"/>
          </w:tcPr>
          <w:p>
            <w:r/>
            <w:r>
              <w:rPr>
                <w:b/>
                <w:sz w:val="19"/>
              </w:rPr>
              <w:t>Key hurdle for claimant</w:t>
            </w:r>
          </w:p>
        </w:tc>
        <w:tc>
          <w:tcPr>
            <w:tcW w:type="dxa" w:w="1872"/>
            <w:shd w:val="clear" w:color="auto" w:fill="D9E2F3"/>
          </w:tcPr>
          <w:p>
            <w:r/>
            <w:r>
              <w:rPr>
                <w:b/>
                <w:sz w:val="19"/>
              </w:rPr>
              <w:t>Risk to Cascade</w:t>
            </w:r>
          </w:p>
        </w:tc>
      </w:tr>
      <w:tr>
        <w:tc>
          <w:tcPr>
            <w:tcW w:type="dxa" w:w="2592"/>
          </w:tcPr>
          <w:p>
            <w:r>
              <w:rPr>
                <w:sz w:val="19"/>
              </w:rPr>
            </w:r>
            <w:r>
              <w:rPr>
                <w:sz w:val="19"/>
              </w:rPr>
              <w:t>Delgado — alter ego (veil piercing)</w:t>
            </w:r>
          </w:p>
        </w:tc>
        <w:tc>
          <w:tcPr>
            <w:tcW w:type="dxa" w:w="2304"/>
          </w:tcPr>
          <w:p>
            <w:r>
              <w:rPr>
                <w:sz w:val="19"/>
              </w:rPr>
            </w:r>
            <w:r>
              <w:rPr>
                <w:sz w:val="19"/>
              </w:rPr>
              <w:t>Ohio (Tex. Bus. Orgs. Code §§ 1.104–1.105); Texas possible</w:t>
            </w:r>
          </w:p>
        </w:tc>
        <w:tc>
          <w:tcPr>
            <w:tcW w:type="dxa" w:w="2592"/>
          </w:tcPr>
          <w:p>
            <w:r>
              <w:rPr>
                <w:sz w:val="19"/>
              </w:rPr>
            </w:r>
            <w:r>
              <w:rPr>
                <w:sz w:val="19"/>
              </w:rPr>
              <w:t>Ohio: fraud/illegal act (Dombroski). Texas: abuse of form / injustice</w:t>
            </w:r>
          </w:p>
        </w:tc>
        <w:tc>
          <w:tcPr>
            <w:tcW w:type="dxa" w:w="1872"/>
          </w:tcPr>
          <w:p>
            <w:r>
              <w:rPr>
                <w:sz w:val="19"/>
              </w:rPr>
            </w:r>
            <w:r>
              <w:rPr>
                <w:sz w:val="19"/>
              </w:rPr>
            </w:r>
            <w:r>
              <w:rPr>
                <w:b/>
                <w:sz w:val="19"/>
              </w:rPr>
              <w:t>Moderate (Ohio) / Moderate-High (Texas)</w:t>
            </w:r>
            <w:r>
              <w:rPr>
                <w:sz w:val="19"/>
              </w:rPr>
            </w:r>
          </w:p>
        </w:tc>
      </w:tr>
      <w:tr>
        <w:tc>
          <w:tcPr>
            <w:tcW w:type="dxa" w:w="2592"/>
          </w:tcPr>
          <w:p>
            <w:r>
              <w:rPr>
                <w:sz w:val="19"/>
              </w:rPr>
            </w:r>
            <w:r>
              <w:rPr>
                <w:sz w:val="19"/>
              </w:rPr>
              <w:t>Delgado — single business enterprise</w:t>
            </w:r>
          </w:p>
        </w:tc>
        <w:tc>
          <w:tcPr>
            <w:tcW w:type="dxa" w:w="2304"/>
          </w:tcPr>
          <w:p>
            <w:r>
              <w:rPr>
                <w:sz w:val="19"/>
              </w:rPr>
            </w:r>
            <w:r>
              <w:rPr>
                <w:sz w:val="19"/>
              </w:rPr>
              <w:t>Texas only</w:t>
            </w:r>
          </w:p>
        </w:tc>
        <w:tc>
          <w:tcPr>
            <w:tcW w:type="dxa" w:w="2592"/>
          </w:tcPr>
          <w:p>
            <w:r>
              <w:rPr>
                <w:sz w:val="19"/>
              </w:rPr>
            </w:r>
            <w:r>
              <w:rPr>
                <w:sz w:val="19"/>
              </w:rPr>
            </w:r>
            <w:r>
              <w:rPr>
                <w:i/>
                <w:sz w:val="19"/>
              </w:rPr>
              <w:t>SSP Partners</w:t>
            </w:r>
            <w:r>
              <w:rPr>
                <w:sz w:val="19"/>
              </w:rPr>
              <w:t xml:space="preserve"> rejected SBE as a basis for liability</w:t>
            </w:r>
          </w:p>
        </w:tc>
        <w:tc>
          <w:tcPr>
            <w:tcW w:type="dxa" w:w="1872"/>
          </w:tcPr>
          <w:p>
            <w:r>
              <w:rPr>
                <w:sz w:val="19"/>
              </w:rPr>
            </w:r>
            <w:r>
              <w:rPr>
                <w:sz w:val="19"/>
              </w:rPr>
            </w:r>
            <w:r>
              <w:rPr>
                <w:b/>
                <w:sz w:val="19"/>
              </w:rPr>
              <w:t>Low</w:t>
            </w:r>
            <w:r>
              <w:rPr>
                <w:sz w:val="19"/>
              </w:rPr>
              <w:t xml:space="preserve"> (dismissal candidate)</w:t>
            </w:r>
          </w:p>
        </w:tc>
      </w:tr>
      <w:tr>
        <w:tc>
          <w:tcPr>
            <w:tcW w:type="dxa" w:w="2592"/>
          </w:tcPr>
          <w:p>
            <w:r>
              <w:rPr>
                <w:sz w:val="19"/>
              </w:rPr>
            </w:r>
            <w:r>
              <w:rPr>
                <w:sz w:val="19"/>
              </w:rPr>
              <w:t>Delgado — direct design defect / negligence (Cascade as designer)</w:t>
            </w:r>
          </w:p>
        </w:tc>
        <w:tc>
          <w:tcPr>
            <w:tcW w:type="dxa" w:w="2304"/>
          </w:tcPr>
          <w:p>
            <w:r>
              <w:rPr>
                <w:sz w:val="19"/>
              </w:rPr>
            </w:r>
            <w:r>
              <w:rPr>
                <w:sz w:val="19"/>
              </w:rPr>
              <w:t>Texas (Restatement § 145; place of injury)</w:t>
            </w:r>
          </w:p>
        </w:tc>
        <w:tc>
          <w:tcPr>
            <w:tcW w:type="dxa" w:w="2592"/>
          </w:tcPr>
          <w:p>
            <w:r>
              <w:rPr>
                <w:sz w:val="19"/>
              </w:rPr>
            </w:r>
            <w:r>
              <w:rPr>
                <w:sz w:val="19"/>
              </w:rPr>
              <w:t>Defect, safer alternative design, causation</w:t>
            </w:r>
          </w:p>
        </w:tc>
        <w:tc>
          <w:tcPr>
            <w:tcW w:type="dxa" w:w="1872"/>
          </w:tcPr>
          <w:p>
            <w:r>
              <w:rPr>
                <w:sz w:val="19"/>
              </w:rPr>
            </w:r>
            <w:r>
              <w:rPr>
                <w:sz w:val="19"/>
              </w:rPr>
            </w:r>
            <w:r>
              <w:rPr>
                <w:b/>
                <w:sz w:val="19"/>
              </w:rPr>
              <w:t>High</w:t>
            </w:r>
            <w:r>
              <w:rPr>
                <w:sz w:val="19"/>
              </w:rPr>
            </w:r>
          </w:p>
        </w:tc>
      </w:tr>
      <w:tr>
        <w:tc>
          <w:tcPr>
            <w:tcW w:type="dxa" w:w="2592"/>
          </w:tcPr>
          <w:p>
            <w:r>
              <w:rPr>
                <w:sz w:val="19"/>
              </w:rPr>
            </w:r>
            <w:r>
              <w:rPr>
                <w:sz w:val="19"/>
              </w:rPr>
              <w:t>Delgado — exemplary damages vs. Cascade</w:t>
            </w:r>
          </w:p>
        </w:tc>
        <w:tc>
          <w:tcPr>
            <w:tcW w:type="dxa" w:w="2304"/>
          </w:tcPr>
          <w:p>
            <w:r>
              <w:rPr>
                <w:sz w:val="19"/>
              </w:rPr>
            </w:r>
            <w:r>
              <w:rPr>
                <w:sz w:val="19"/>
              </w:rPr>
              <w:t>Texas Ch. 41</w:t>
            </w:r>
          </w:p>
        </w:tc>
        <w:tc>
          <w:tcPr>
            <w:tcW w:type="dxa" w:w="2592"/>
          </w:tcPr>
          <w:p>
            <w:r>
              <w:rPr>
                <w:sz w:val="19"/>
              </w:rPr>
            </w:r>
            <w:r>
              <w:rPr>
                <w:sz w:val="19"/>
              </w:rPr>
              <w:t>Clear and convincing gross negligence; vice-principal</w:t>
            </w:r>
          </w:p>
        </w:tc>
        <w:tc>
          <w:tcPr>
            <w:tcW w:type="dxa" w:w="1872"/>
          </w:tcPr>
          <w:p>
            <w:r>
              <w:rPr>
                <w:sz w:val="19"/>
              </w:rPr>
            </w:r>
            <w:r>
              <w:rPr>
                <w:sz w:val="19"/>
              </w:rPr>
            </w:r>
            <w:r>
              <w:rPr>
                <w:b/>
                <w:sz w:val="19"/>
              </w:rPr>
              <w:t>Moderate-High</w:t>
            </w:r>
            <w:r>
              <w:rPr>
                <w:sz w:val="19"/>
              </w:rPr>
              <w:t xml:space="preserve"> (capped)</w:t>
            </w:r>
          </w:p>
        </w:tc>
      </w:tr>
      <w:tr>
        <w:tc>
          <w:tcPr>
            <w:tcW w:type="dxa" w:w="2592"/>
          </w:tcPr>
          <w:p>
            <w:r>
              <w:rPr>
                <w:sz w:val="19"/>
              </w:rPr>
            </w:r>
            <w:r>
              <w:rPr>
                <w:sz w:val="19"/>
              </w:rPr>
              <w:t>Delgado — personal jurisdiction over Cascade</w:t>
            </w:r>
          </w:p>
        </w:tc>
        <w:tc>
          <w:tcPr>
            <w:tcW w:type="dxa" w:w="2304"/>
          </w:tcPr>
          <w:p>
            <w:r>
              <w:rPr>
                <w:sz w:val="19"/>
              </w:rPr>
            </w:r>
            <w:r>
              <w:rPr>
                <w:sz w:val="19"/>
              </w:rPr>
              <w:t>Texas / Due Process</w:t>
            </w:r>
          </w:p>
        </w:tc>
        <w:tc>
          <w:tcPr>
            <w:tcW w:type="dxa" w:w="2592"/>
          </w:tcPr>
          <w:p>
            <w:r>
              <w:rPr>
                <w:sz w:val="19"/>
              </w:rPr>
            </w:r>
            <w:r>
              <w:rPr>
                <w:sz w:val="19"/>
              </w:rPr>
              <w:t>Cascade’s own design conduct directed at national market</w:t>
            </w:r>
          </w:p>
        </w:tc>
        <w:tc>
          <w:tcPr>
            <w:tcW w:type="dxa" w:w="1872"/>
          </w:tcPr>
          <w:p>
            <w:r>
              <w:rPr>
                <w:sz w:val="19"/>
              </w:rPr>
            </w:r>
            <w:r>
              <w:rPr>
                <w:sz w:val="19"/>
              </w:rPr>
              <w:t xml:space="preserve">Special appearance success: </w:t>
            </w:r>
            <w:r>
              <w:rPr>
                <w:b/>
                <w:sz w:val="19"/>
              </w:rPr>
              <w:t>Low-Moderate</w:t>
            </w:r>
            <w:r>
              <w:rPr>
                <w:sz w:val="19"/>
              </w:rPr>
            </w:r>
          </w:p>
        </w:tc>
      </w:tr>
      <w:tr>
        <w:tc>
          <w:tcPr>
            <w:tcW w:type="dxa" w:w="2592"/>
          </w:tcPr>
          <w:p>
            <w:r>
              <w:rPr>
                <w:sz w:val="19"/>
              </w:rPr>
            </w:r>
            <w:r>
              <w:rPr>
                <w:sz w:val="19"/>
              </w:rPr>
              <w:t>IEPA — jurisdiction over Ohio storage</w:t>
            </w:r>
          </w:p>
        </w:tc>
        <w:tc>
          <w:tcPr>
            <w:tcW w:type="dxa" w:w="2304"/>
          </w:tcPr>
          <w:p>
            <w:r>
              <w:rPr>
                <w:sz w:val="19"/>
              </w:rPr>
            </w:r>
            <w:r>
              <w:rPr>
                <w:sz w:val="19"/>
              </w:rPr>
              <w:t>Illinois Act / RCRA § 3006</w:t>
            </w:r>
          </w:p>
        </w:tc>
        <w:tc>
          <w:tcPr>
            <w:tcW w:type="dxa" w:w="2592"/>
          </w:tcPr>
          <w:p>
            <w:r>
              <w:rPr>
                <w:sz w:val="19"/>
              </w:rPr>
            </w:r>
            <w:r>
              <w:rPr>
                <w:sz w:val="19"/>
              </w:rPr>
              <w:t>Illinois lacks authority over Ohio-sited storage</w:t>
            </w:r>
          </w:p>
        </w:tc>
        <w:tc>
          <w:tcPr>
            <w:tcW w:type="dxa" w:w="1872"/>
          </w:tcPr>
          <w:p>
            <w:r>
              <w:rPr>
                <w:sz w:val="19"/>
              </w:rPr>
            </w:r>
            <w:r>
              <w:rPr>
                <w:sz w:val="19"/>
              </w:rPr>
              <w:t xml:space="preserve">Defense strength: </w:t>
            </w:r>
            <w:r>
              <w:rPr>
                <w:b/>
                <w:sz w:val="19"/>
              </w:rPr>
              <w:t>Strong</w:t>
            </w:r>
            <w:r>
              <w:rPr>
                <w:sz w:val="19"/>
              </w:rPr>
              <w:t xml:space="preserve"> on Counts I, III, IV (storage)</w:t>
            </w:r>
          </w:p>
        </w:tc>
      </w:tr>
      <w:tr>
        <w:tc>
          <w:tcPr>
            <w:tcW w:type="dxa" w:w="2592"/>
          </w:tcPr>
          <w:p>
            <w:r>
              <w:rPr>
                <w:sz w:val="19"/>
              </w:rPr>
            </w:r>
            <w:r>
              <w:rPr>
                <w:sz w:val="19"/>
              </w:rPr>
              <w:t>IEPA — Bestfoods operator (Count III)</w:t>
            </w:r>
          </w:p>
        </w:tc>
        <w:tc>
          <w:tcPr>
            <w:tcW w:type="dxa" w:w="2304"/>
          </w:tcPr>
          <w:p>
            <w:r>
              <w:rPr>
                <w:sz w:val="19"/>
              </w:rPr>
            </w:r>
            <w:r>
              <w:rPr>
                <w:sz w:val="19"/>
              </w:rPr>
              <w:t>RCRA/Illinois Act; Bestfoods by analogy</w:t>
            </w:r>
          </w:p>
        </w:tc>
        <w:tc>
          <w:tcPr>
            <w:tcW w:type="dxa" w:w="2592"/>
          </w:tcPr>
          <w:p>
            <w:r>
              <w:rPr>
                <w:sz w:val="19"/>
              </w:rPr>
            </w:r>
            <w:r>
              <w:rPr>
                <w:sz w:val="19"/>
              </w:rPr>
              <w:t>Parent-level, facility-specific pollution decisions</w:t>
            </w:r>
          </w:p>
        </w:tc>
        <w:tc>
          <w:tcPr>
            <w:tcW w:type="dxa" w:w="1872"/>
          </w:tcPr>
          <w:p>
            <w:r>
              <w:rPr>
                <w:sz w:val="19"/>
              </w:rPr>
            </w:r>
            <w:r>
              <w:rPr>
                <w:sz w:val="19"/>
              </w:rPr>
            </w:r>
            <w:r>
              <w:rPr>
                <w:b/>
                <w:sz w:val="19"/>
              </w:rPr>
              <w:t>High</w:t>
            </w:r>
            <w:r>
              <w:rPr>
                <w:sz w:val="19"/>
              </w:rPr>
              <w:t xml:space="preserve"> on merits (if jurisdiction exists)</w:t>
            </w:r>
          </w:p>
        </w:tc>
      </w:tr>
      <w:tr>
        <w:tc>
          <w:tcPr>
            <w:tcW w:type="dxa" w:w="2592"/>
          </w:tcPr>
          <w:p>
            <w:r>
              <w:rPr>
                <w:sz w:val="19"/>
              </w:rPr>
            </w:r>
            <w:r>
              <w:rPr>
                <w:sz w:val="19"/>
              </w:rPr>
              <w:t>IEPA — alter ego (Count IV)</w:t>
            </w:r>
          </w:p>
        </w:tc>
        <w:tc>
          <w:tcPr>
            <w:tcW w:type="dxa" w:w="2304"/>
          </w:tcPr>
          <w:p>
            <w:r>
              <w:rPr>
                <w:sz w:val="19"/>
              </w:rPr>
            </w:r>
            <w:r>
              <w:rPr>
                <w:sz w:val="19"/>
              </w:rPr>
              <w:t>Ohio (state of organization)</w:t>
            </w:r>
          </w:p>
        </w:tc>
        <w:tc>
          <w:tcPr>
            <w:tcW w:type="dxa" w:w="2592"/>
          </w:tcPr>
          <w:p>
            <w:r>
              <w:rPr>
                <w:sz w:val="19"/>
              </w:rPr>
            </w:r>
            <w:r>
              <w:rPr>
                <w:sz w:val="19"/>
              </w:rPr>
              <w:t>Ohio third prong satisfied by statutory violation</w:t>
            </w:r>
          </w:p>
        </w:tc>
        <w:tc>
          <w:tcPr>
            <w:tcW w:type="dxa" w:w="1872"/>
          </w:tcPr>
          <w:p>
            <w:r>
              <w:rPr>
                <w:sz w:val="19"/>
              </w:rPr>
            </w:r>
            <w:r>
              <w:rPr>
                <w:sz w:val="19"/>
              </w:rPr>
            </w:r>
            <w:r>
              <w:rPr>
                <w:b/>
                <w:sz w:val="19"/>
              </w:rPr>
              <w:t>Moderate-High</w:t>
            </w:r>
            <w:r>
              <w:rPr>
                <w:sz w:val="19"/>
              </w:rPr>
            </w:r>
          </w:p>
        </w:tc>
      </w:tr>
    </w:tbl>
    <w:p/>
    <w:p>
      <w:pPr>
        <w:pStyle w:val="Heading1"/>
      </w:pPr>
      <w:r>
        <w:t>III. Factual Background</w:t>
      </w:r>
    </w:p>
    <w:p>
      <w:r>
        <w:t>This Part summarizes the record from the eight documents reviewed:</w:t>
      </w:r>
    </w:p>
    <w:p>
      <w:pPr>
        <w:pStyle w:val="ListBullet"/>
      </w:pPr>
      <w:r>
        <w:t>the Birchfield &amp; Novak preliminary assessment (Nov. 22, 2024);</w:t>
      </w:r>
    </w:p>
    <w:p>
      <w:pPr>
        <w:pStyle w:val="ListBullet"/>
      </w:pPr>
      <w:r>
        <w:t>the Corporate Structure and Governance Summary (Dec. 2, 2024);</w:t>
      </w:r>
    </w:p>
    <w:p>
      <w:pPr>
        <w:pStyle w:val="ListBullet"/>
      </w:pPr>
      <w:r>
        <w:t>the IEPA Administrative Complaint (Oct. 3, 2024);</w:t>
      </w:r>
    </w:p>
    <w:p>
      <w:pPr>
        <w:pStyle w:val="ListBullet"/>
      </w:pPr>
      <w:r>
        <w:t>the Risk Management insurance memorandum (Dec. 10, 2024);</w:t>
      </w:r>
    </w:p>
    <w:p>
      <w:pPr>
        <w:pStyle w:val="ListBullet"/>
      </w:pPr>
      <w:r>
        <w:t>the Intercompany Cash Management Agreement (Aug. 1, 2016);</w:t>
      </w:r>
    </w:p>
    <w:p>
      <w:pPr>
        <w:pStyle w:val="ListBullet"/>
      </w:pPr>
      <w:r>
        <w:t>the Orvis–Choi email chain (July 14–19, 2022);</w:t>
      </w:r>
    </w:p>
    <w:p>
      <w:pPr>
        <w:pStyle w:val="ListBullet"/>
      </w:pPr>
      <w:r>
        <w:t>Plaintiffs’ Original Petition (Nov. 8, 2024); and</w:t>
      </w:r>
    </w:p>
    <w:p>
      <w:pPr>
        <w:pStyle w:val="ListBullet"/>
      </w:pPr>
      <w:r>
        <w:t>the Pryor Financial Summary workbook (FY2020–FY2024).</w:t>
      </w:r>
    </w:p>
    <w:p>
      <w:pPr>
        <w:pStyle w:val="Heading2"/>
      </w:pPr>
      <w:r>
        <w:t>A. Entities and Governance</w:t>
      </w:r>
    </w:p>
    <w:p>
      <w:pPr>
        <w:pStyle w:val="ListBullet"/>
      </w:pPr>
      <w:r/>
      <w:r>
        <w:rPr>
          <w:b/>
        </w:rPr>
        <w:t>Cascade:</w:t>
      </w:r>
      <w:r>
        <w:t xml:space="preserve"> a Delaware corporation formed March 14, 2011, headquartered in Columbus, Ohio. It has 14 subsidiaries, roughly $1.87 billion in consolidated FY2024 revenue, and a 7-member board (4 independent).</w:t>
      </w:r>
    </w:p>
    <w:p>
      <w:pPr>
        <w:pStyle w:val="ListBullet"/>
      </w:pPr>
      <w:r/>
      <w:r>
        <w:rPr>
          <w:b/>
        </w:rPr>
        <w:t>Pryor:</w:t>
      </w:r>
      <w:r>
        <w:t xml:space="preserve"> an Ohio LLC formed June 2, 2014 (Akron HQ; Canton facility). It had FY2024 revenue of $214.3 million and 312 employees. Cascade is its sole member </w:t>
      </w:r>
      <w:r>
        <w:rPr>
          <w:i/>
        </w:rPr>
        <w:t>and</w:t>
      </w:r>
      <w:r>
        <w:t xml:space="preserve"> sole manager under the June 2, 2014 Operating Agreement.</w:t>
      </w:r>
    </w:p>
    <w:p>
      <w:pPr>
        <w:pStyle w:val="ListBullet"/>
      </w:pPr>
      <w:r/>
      <w:r>
        <w:rPr>
          <w:b/>
        </w:rPr>
        <w:t>Governance:</w:t>
      </w:r>
      <w:r>
        <w:t xml:space="preserve"> Pryor has never had a board, minutes, meetings, or resolutions. The CEO’s written consent is required for product design approvals, capex over $50,000, and managerial hiring and firing.</w:t>
      </w:r>
    </w:p>
    <w:p>
      <w:pPr>
        <w:pStyle w:val="ListBullet"/>
      </w:pPr>
      <w:r/>
      <w:r>
        <w:rPr>
          <w:b/>
        </w:rPr>
        <w:t>Dual roles and actual authority:</w:t>
      </w:r>
      <w:r/>
    </w:p>
    <w:p>
      <w:pPr>
        <w:pStyle w:val="ListBullet2"/>
      </w:pPr>
      <w:r>
        <w:t>David Orvis is Pryor’s General Manager and Cascade’s VP Operations, reporting to CEO Dalworth in both roles.</w:t>
      </w:r>
    </w:p>
    <w:p>
      <w:pPr>
        <w:pStyle w:val="ListBullet2"/>
      </w:pPr>
      <w:r>
        <w:t>Rachel Yun (CFO) and Denise Colter (VP Legal) are Pryor “authorized officers.”</w:t>
      </w:r>
    </w:p>
    <w:p>
      <w:pPr>
        <w:pStyle w:val="ListBullet2"/>
      </w:pPr>
      <w:r>
        <w:t>Nathan Choi (VP Engineering) and Karen Whitfield (VP Environmental Affairs) hold no Pryor title but exercise design and environmental authority over Pryor.</w:t>
      </w:r>
    </w:p>
    <w:p>
      <w:pPr>
        <w:pStyle w:val="ListBullet"/>
      </w:pPr>
      <w:r/>
      <w:r>
        <w:rPr>
          <w:b/>
        </w:rPr>
        <w:t>Identity:</w:t>
      </w:r>
      <w:r/>
    </w:p>
    <w:p>
      <w:pPr>
        <w:pStyle w:val="ListBullet2"/>
      </w:pPr>
      <w:r>
        <w:t>A “Cascade Industrial Holdings” sign stands at the Akron entrance.</w:t>
      </w:r>
    </w:p>
    <w:p>
      <w:pPr>
        <w:pStyle w:val="ListBullet2"/>
      </w:pPr>
      <w:r>
        <w:t>Customer contracts are signed on Cascade letterhead, and business cards carry Cascade’s Columbus address.</w:t>
      </w:r>
    </w:p>
    <w:p>
      <w:pPr>
        <w:pStyle w:val="ListBullet2"/>
      </w:pPr>
      <w:r>
        <w:t>The HP-4400 nameplate carries “A Cascade Industrial Company.”</w:t>
      </w:r>
    </w:p>
    <w:p>
      <w:pPr>
        <w:pStyle w:val="ListBullet2"/>
      </w:pPr>
      <w:r>
        <w:t>Cascade procurement signs Pryor vendor contracts, Cascade’s Columbus center processes warranty claims, and pryor-mfg.com runs on Cascade servers.</w:t>
      </w:r>
    </w:p>
    <w:p>
      <w:pPr>
        <w:pStyle w:val="ListBullet2"/>
      </w:pPr>
      <w:r>
        <w:t>Pryor has no in-house legal, HR, or accounting staff.</w:t>
      </w:r>
    </w:p>
    <w:p>
      <w:pPr>
        <w:pStyle w:val="Heading2"/>
      </w:pPr>
      <w:r>
        <w:t>B. The HP-4400 and the Orvis Email Chain</w:t>
      </w:r>
    </w:p>
    <w:p>
      <w:r>
        <w:t>Cascade’s Columbus engineering team developed the design (EDS-HP4400-Rev3), and Choi approved it on March 22, 2022. The email chain unfolded as follows:</w:t>
      </w:r>
    </w:p>
    <w:p>
      <w:pPr>
        <w:pStyle w:val="ListBullet"/>
      </w:pPr>
      <w:r/>
      <w:r>
        <w:rPr>
          <w:b/>
        </w:rPr>
        <w:t>July 14, 2022:</w:t>
      </w:r>
      <w:r>
        <w:t xml:space="preserve"> Orvis wrote to Choi, copying Colter. He warned that the single-point barrier-guard interlock “may not comply with OSHA 1910.217” and created a crush and amputation hazard. He stated that Pryor “did not participate in the interlock design phase.”</w:t>
      </w:r>
    </w:p>
    <w:p>
      <w:pPr>
        <w:pStyle w:val="ListBullet"/>
      </w:pPr>
      <w:r/>
      <w:r>
        <w:rPr>
          <w:b/>
        </w:rPr>
        <w:t>July 15:</w:t>
      </w:r>
      <w:r>
        <w:t xml:space="preserve"> Choi relied on the HP-3200/3800 track record (more than 200 units) and SVP-400 testing. He estimated a redundant circuit at $4,200/unit and 12–16 weeks, and suggested QA was reading OSHA too conservatively.</w:t>
      </w:r>
    </w:p>
    <w:p>
      <w:pPr>
        <w:pStyle w:val="ListBullet"/>
      </w:pPr>
      <w:r/>
      <w:r>
        <w:rPr>
          <w:b/>
        </w:rPr>
        <w:t>July 18:</w:t>
      </w:r>
      <w:r>
        <w:t xml:space="preserve"> Orvis transmitted QA Memo PM-QA-2022-0047 (Jim Tarlton). He noted the HP-4400’s 38 spm cycle rate (versus 22 and 28 spm on the earlier models) and its marketing to less-sophisticated shops. He proposed a redundant relay at about $2,800/unit within about 8 weeks and warned that the design would be “difficult to defend against an OSHA investigation or products liability claim.”</w:t>
      </w:r>
    </w:p>
    <w:p>
      <w:pPr>
        <w:pStyle w:val="ListBullet"/>
      </w:pPr>
      <w:r/>
      <w:r>
        <w:rPr>
          <w:b/>
        </w:rPr>
        <w:t>July 19:</w:t>
      </w:r>
      <w:r>
        <w:t xml:space="preserve"> Choi “direct[ed] Pryor to proceed” and invoked the fact that “Meg Dalworth has made clear that meeting our Q1 2023 delivery commitments is a top priority.” Nothing in the chain shows a response from Colter.</w:t>
      </w:r>
    </w:p>
    <w:p>
      <w:r>
        <w:t>Garza Metalworks bought the unit through Lone Star Equipment Supply on January 15, 2023, for $387,000. Luis Delgado (age 43) suffered a traumatic amputation on September 12, 2024.</w:t>
      </w:r>
    </w:p>
    <w:p>
      <w:pPr>
        <w:pStyle w:val="Heading2"/>
      </w:pPr>
      <w:r>
        <w:t>C. Financial Relationship — Corrected Figures</w:t>
      </w:r>
    </w:p>
    <w:p>
      <w:r>
        <w:t>We reconciled the figures used by the parties against the Pryor workbook. Several frequently repeated numbers are wrong or misleading, and our defense filings should correct them: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E2F3"/>
          </w:tcPr>
          <w:p>
            <w:r/>
            <w:r>
              <w:rPr>
                <w:b/>
                <w:sz w:val="19"/>
              </w:rPr>
              <w:t>Item</w:t>
            </w:r>
          </w:p>
        </w:tc>
        <w:tc>
          <w:tcPr>
            <w:tcW w:type="dxa" w:w="2304"/>
            <w:shd w:val="clear" w:color="auto" w:fill="D9E2F3"/>
          </w:tcPr>
          <w:p>
            <w:r/>
            <w:r>
              <w:rPr>
                <w:b/>
                <w:sz w:val="19"/>
              </w:rPr>
              <w:t>As stated by parties</w:t>
            </w:r>
          </w:p>
        </w:tc>
        <w:tc>
          <w:tcPr>
            <w:tcW w:type="dxa" w:w="3312"/>
            <w:shd w:val="clear" w:color="auto" w:fill="D9E2F3"/>
          </w:tcPr>
          <w:p>
            <w:r/>
            <w:r>
              <w:rPr>
                <w:b/>
                <w:sz w:val="19"/>
              </w:rPr>
              <w:t>What the record supports</w:t>
            </w:r>
          </w:p>
        </w:tc>
        <w:tc>
          <w:tcPr>
            <w:tcW w:type="dxa" w:w="2016"/>
            <w:shd w:val="clear" w:color="auto" w:fill="D9E2F3"/>
          </w:tcPr>
          <w:p>
            <w:r/>
            <w:r>
              <w:rPr>
                <w:b/>
                <w:sz w:val="19"/>
              </w:rPr>
              <w:t>Significance</w:t>
            </w:r>
          </w:p>
        </w:tc>
      </w:tr>
      <w:tr>
        <w:tc>
          <w:tcPr>
            <w:tcW w:type="dxa" w:w="1728"/>
          </w:tcPr>
          <w:p>
            <w:r>
              <w:rPr>
                <w:sz w:val="19"/>
              </w:rPr>
            </w:r>
            <w:r>
              <w:rPr>
                <w:sz w:val="19"/>
              </w:rPr>
              <w:t>Annual “extraction” (FY2024)</w:t>
            </w:r>
          </w:p>
        </w:tc>
        <w:tc>
          <w:tcPr>
            <w:tcW w:type="dxa" w:w="2304"/>
          </w:tcPr>
          <w:p>
            <w:r>
              <w:rPr>
                <w:sz w:val="19"/>
              </w:rPr>
            </w:r>
            <w:r>
              <w:rPr>
                <w:sz w:val="19"/>
              </w:rPr>
              <w:t>Petition ¶ 40(b): $49.5M ($31.6M + $5.3M + $12.6M)</w:t>
            </w:r>
          </w:p>
        </w:tc>
        <w:tc>
          <w:tcPr>
            <w:tcW w:type="dxa" w:w="3312"/>
          </w:tcPr>
          <w:p>
            <w:r>
              <w:rPr>
                <w:sz w:val="19"/>
              </w:rPr>
            </w:r>
            <w:r>
              <w:rPr>
                <w:sz w:val="19"/>
              </w:rPr>
              <w:t xml:space="preserve">$31.6M gross sweep, which </w:t>
            </w:r>
            <w:r>
              <w:rPr>
                <w:b/>
                <w:sz w:val="19"/>
              </w:rPr>
              <w:t>includes</w:t>
            </w:r>
            <w:r>
              <w:rPr>
                <w:sz w:val="19"/>
              </w:rPr>
              <w:t xml:space="preserve"> the $5.3M services fee and $12.6M management fee (Agreement §§ 4.3, 5.2; workbook reconciliation note). Adding interest ($2.678M) gives $34.3M total outflow; net of $6.4M loan advances, $27.9M.</w:t>
            </w:r>
          </w:p>
        </w:tc>
        <w:tc>
          <w:tcPr>
            <w:tcW w:type="dxa" w:w="2016"/>
          </w:tcPr>
          <w:p>
            <w:r>
              <w:rPr>
                <w:sz w:val="19"/>
              </w:rPr>
            </w:r>
            <w:r>
              <w:rPr>
                <w:sz w:val="19"/>
              </w:rPr>
              <w:t>Petition overstates by $17.9M; correct it in answer and discovery responses.</w:t>
            </w:r>
          </w:p>
        </w:tc>
      </w:tr>
      <w:tr>
        <w:tc>
          <w:tcPr>
            <w:tcW w:type="dxa" w:w="1728"/>
          </w:tcPr>
          <w:p>
            <w:r>
              <w:rPr>
                <w:sz w:val="19"/>
              </w:rPr>
            </w:r>
            <w:r>
              <w:rPr>
                <w:sz w:val="19"/>
              </w:rPr>
              <w:t>Pryor equity</w:t>
            </w:r>
          </w:p>
        </w:tc>
        <w:tc>
          <w:tcPr>
            <w:tcW w:type="dxa" w:w="2304"/>
          </w:tcPr>
          <w:p>
            <w:r>
              <w:rPr>
                <w:sz w:val="19"/>
              </w:rPr>
            </w:r>
            <w:r>
              <w:rPr>
                <w:sz w:val="19"/>
              </w:rPr>
              <w:t>“Equity base of only $4.2M”; D/E 9.81:1 (Structure Summary, IEPA ¶ 61, Petition ¶ 27, Risk memo)</w:t>
            </w:r>
          </w:p>
        </w:tc>
        <w:tc>
          <w:tcPr>
            <w:tcW w:type="dxa" w:w="3312"/>
          </w:tcPr>
          <w:p>
            <w:r>
              <w:rPr>
                <w:sz w:val="19"/>
              </w:rPr>
            </w:r>
            <w:r>
              <w:rPr>
                <w:sz w:val="19"/>
              </w:rPr>
              <w:t xml:space="preserve">Total member’s equity at 12/31/2024 = </w:t>
            </w:r>
            <w:r>
              <w:rPr>
                <w:b/>
                <w:sz w:val="19"/>
              </w:rPr>
              <w:t>$21.7M</w:t>
            </w:r>
            <w:r>
              <w:rPr>
                <w:sz w:val="19"/>
              </w:rPr>
              <w:t xml:space="preserve"> ($3.5M contributed + $4.2M retained earnings + $14.0M undistributed current-year income). IC debt/total equity = </w:t>
            </w:r>
            <w:r>
              <w:rPr>
                <w:b/>
                <w:sz w:val="19"/>
              </w:rPr>
              <w:t>1.90x</w:t>
            </w:r>
            <w:r>
              <w:rPr>
                <w:sz w:val="19"/>
              </w:rPr>
              <w:t>. 9.81x uses retained earnings only.</w:t>
            </w:r>
          </w:p>
        </w:tc>
        <w:tc>
          <w:tcPr>
            <w:tcW w:type="dxa" w:w="2016"/>
          </w:tcPr>
          <w:p>
            <w:r>
              <w:rPr>
                <w:sz w:val="19"/>
              </w:rPr>
            </w:r>
            <w:r>
              <w:rPr>
                <w:sz w:val="19"/>
              </w:rPr>
              <w:t>Materially undercuts the “catastrophic undercapitalization” narrative. Our own internal documents repeat the error and should not be circulated further.</w:t>
            </w:r>
          </w:p>
        </w:tc>
      </w:tr>
      <w:tr>
        <w:tc>
          <w:tcPr>
            <w:tcW w:type="dxa" w:w="1728"/>
          </w:tcPr>
          <w:p>
            <w:r>
              <w:rPr>
                <w:sz w:val="19"/>
              </w:rPr>
            </w:r>
            <w:r>
              <w:rPr>
                <w:sz w:val="19"/>
              </w:rPr>
              <w:t>Retained earnings decline</w:t>
            </w:r>
          </w:p>
        </w:tc>
        <w:tc>
          <w:tcPr>
            <w:tcW w:type="dxa" w:w="2304"/>
          </w:tcPr>
          <w:p>
            <w:r>
              <w:rPr>
                <w:sz w:val="19"/>
              </w:rPr>
            </w:r>
            <w:r>
              <w:rPr>
                <w:sz w:val="19"/>
              </w:rPr>
              <w:t>$22.7M → $4.2M (−81.5%)</w:t>
            </w:r>
          </w:p>
        </w:tc>
        <w:tc>
          <w:tcPr>
            <w:tcW w:type="dxa" w:w="3312"/>
          </w:tcPr>
          <w:p>
            <w:r>
              <w:rPr>
                <w:sz w:val="19"/>
              </w:rPr>
            </w:r>
            <w:r>
              <w:rPr>
                <w:sz w:val="19"/>
              </w:rPr>
              <w:t>Arithmetic is correct, but the FY2024 drop ($17.7M → $4.2M) coincides with undistributed income rising $2.0M → $14.0M and a $3.57M tax true-up. The ledger mechanics are unexplained.</w:t>
            </w:r>
          </w:p>
        </w:tc>
        <w:tc>
          <w:tcPr>
            <w:tcW w:type="dxa" w:w="2016"/>
          </w:tcPr>
          <w:p>
            <w:r>
              <w:rPr>
                <w:sz w:val="19"/>
              </w:rPr>
            </w:r>
            <w:r>
              <w:rPr>
                <w:sz w:val="19"/>
              </w:rPr>
              <w:t>Forensic accounting review needed before any expert relies on the figure.</w:t>
            </w:r>
          </w:p>
        </w:tc>
      </w:tr>
      <w:tr>
        <w:tc>
          <w:tcPr>
            <w:tcW w:type="dxa" w:w="1728"/>
          </w:tcPr>
          <w:p>
            <w:r>
              <w:rPr>
                <w:sz w:val="19"/>
              </w:rPr>
            </w:r>
            <w:r>
              <w:rPr>
                <w:sz w:val="19"/>
              </w:rPr>
              <w:t>Management fee</w:t>
            </w:r>
          </w:p>
        </w:tc>
        <w:tc>
          <w:tcPr>
            <w:tcW w:type="dxa" w:w="2304"/>
          </w:tcPr>
          <w:p>
            <w:r>
              <w:rPr>
                <w:sz w:val="19"/>
              </w:rPr>
            </w:r>
            <w:r>
              <w:rPr>
                <w:sz w:val="19"/>
              </w:rPr>
              <w:t>Characterized as a member distribution (Agreement § 5.1–5.2)</w:t>
            </w:r>
          </w:p>
        </w:tc>
        <w:tc>
          <w:tcPr>
            <w:tcW w:type="dxa" w:w="3312"/>
          </w:tcPr>
          <w:p>
            <w:r>
              <w:rPr>
                <w:sz w:val="19"/>
              </w:rPr>
            </w:r>
            <w:r>
              <w:rPr>
                <w:sz w:val="19"/>
              </w:rPr>
              <w:t xml:space="preserve">Workbook books it as an </w:t>
            </w:r>
            <w:r>
              <w:rPr>
                <w:b/>
                <w:sz w:val="19"/>
              </w:rPr>
              <w:t>operating expense</w:t>
            </w:r>
            <w:r>
              <w:rPr>
                <w:sz w:val="19"/>
              </w:rPr>
              <w:t xml:space="preserve"> reducing net income </w:t>
            </w:r>
            <w:r>
              <w:rPr>
                <w:i/>
                <w:sz w:val="19"/>
              </w:rPr>
              <w:t>and</w:t>
            </w:r>
            <w:r>
              <w:rPr>
                <w:sz w:val="19"/>
              </w:rPr>
              <w:t xml:space="preserve"> as an equity distribution.</w:t>
            </w:r>
          </w:p>
        </w:tc>
        <w:tc>
          <w:tcPr>
            <w:tcW w:type="dxa" w:w="2016"/>
          </w:tcPr>
          <w:p>
            <w:r>
              <w:rPr>
                <w:sz w:val="19"/>
              </w:rPr>
            </w:r>
            <w:r>
              <w:rPr>
                <w:sz w:val="19"/>
              </w:rPr>
              <w:t>Accounting inconsistency; plaintiffs will cite it as evidence of disregard for separateness.</w:t>
            </w:r>
          </w:p>
        </w:tc>
      </w:tr>
      <w:tr>
        <w:tc>
          <w:tcPr>
            <w:tcW w:type="dxa" w:w="1728"/>
          </w:tcPr>
          <w:p>
            <w:r>
              <w:rPr>
                <w:sz w:val="19"/>
              </w:rPr>
            </w:r>
            <w:r>
              <w:rPr>
                <w:sz w:val="19"/>
              </w:rPr>
              <w:t>Sweep vs. cash generation</w:t>
            </w:r>
          </w:p>
        </w:tc>
        <w:tc>
          <w:tcPr>
            <w:tcW w:type="dxa" w:w="2304"/>
          </w:tcPr>
          <w:p>
            <w:r>
              <w:rPr>
                <w:sz w:val="19"/>
              </w:rPr>
            </w:r>
            <w:r>
              <w:rPr>
                <w:sz w:val="19"/>
              </w:rPr>
              <w:t>—</w:t>
            </w:r>
          </w:p>
        </w:tc>
        <w:tc>
          <w:tcPr>
            <w:tcW w:type="dxa" w:w="3312"/>
          </w:tcPr>
          <w:p>
            <w:r>
              <w:rPr>
                <w:sz w:val="19"/>
              </w:rPr>
            </w:r>
            <w:r>
              <w:rPr>
                <w:sz w:val="19"/>
              </w:rPr>
              <w:t xml:space="preserve">Sweep = 149% of FY2024 operating cash flow and 2.1x free cash flow; shortfall re-funded by Cascade “loans” at 6.5%. Cumulative net cash to Cascade FY2020–24: </w:t>
            </w:r>
            <w:r>
              <w:rPr>
                <w:b/>
                <w:sz w:val="19"/>
              </w:rPr>
              <w:t>$105.2M</w:t>
            </w:r>
            <w:r>
              <w:rPr>
                <w:sz w:val="19"/>
              </w:rPr>
              <w:t>; cumulative mgmt-fee distributions $49.3M (14.1x initial capital).</w:t>
            </w:r>
          </w:p>
        </w:tc>
        <w:tc>
          <w:tcPr>
            <w:tcW w:type="dxa" w:w="2016"/>
          </w:tcPr>
          <w:p>
            <w:r>
              <w:rPr>
                <w:sz w:val="19"/>
              </w:rPr>
            </w:r>
            <w:r>
              <w:rPr>
                <w:sz w:val="19"/>
              </w:rPr>
              <w:t>Most damaging financial fact: Cascade sweeps Pryor’s cash and lends part of it back as interest-bearing debt.</w:t>
            </w:r>
          </w:p>
        </w:tc>
      </w:tr>
      <w:tr>
        <w:tc>
          <w:tcPr>
            <w:tcW w:type="dxa" w:w="1728"/>
          </w:tcPr>
          <w:p>
            <w:r>
              <w:rPr>
                <w:sz w:val="19"/>
              </w:rPr>
            </w:r>
            <w:r>
              <w:rPr>
                <w:sz w:val="19"/>
              </w:rPr>
              <w:t>Intercompany debt</w:t>
            </w:r>
          </w:p>
        </w:tc>
        <w:tc>
          <w:tcPr>
            <w:tcW w:type="dxa" w:w="2304"/>
          </w:tcPr>
          <w:p>
            <w:r>
              <w:rPr>
                <w:sz w:val="19"/>
              </w:rPr>
            </w:r>
            <w:r>
              <w:rPr>
                <w:sz w:val="19"/>
              </w:rPr>
              <w:t>$41.2M “loans”</w:t>
            </w:r>
          </w:p>
        </w:tc>
        <w:tc>
          <w:tcPr>
            <w:tcW w:type="dxa" w:w="3312"/>
          </w:tcPr>
          <w:p>
            <w:r>
              <w:rPr>
                <w:sz w:val="19"/>
              </w:rPr>
            </w:r>
            <w:r>
              <w:rPr>
                <w:sz w:val="19"/>
              </w:rPr>
              <w:t xml:space="preserve">No notes, maturity, collateral, covenants, or approvals; the 6.5% rate came from a </w:t>
            </w:r>
            <w:r>
              <w:rPr>
                <w:i/>
                <w:sz w:val="19"/>
              </w:rPr>
              <w:t>verbal</w:t>
            </w:r>
            <w:r>
              <w:rPr>
                <w:sz w:val="19"/>
              </w:rPr>
              <w:t xml:space="preserve"> arrangement between Yun and Orvis, both Cascade employees. Agreement § 2.3 separately makes the swept-cash account payable to Pryor only in Cascade’s “sole discretion.”</w:t>
            </w:r>
          </w:p>
        </w:tc>
        <w:tc>
          <w:tcPr>
            <w:tcW w:type="dxa" w:w="2016"/>
          </w:tcPr>
          <w:p>
            <w:r>
              <w:rPr>
                <w:sz w:val="19"/>
              </w:rPr>
            </w:r>
            <w:r>
              <w:rPr>
                <w:sz w:val="19"/>
              </w:rPr>
              <w:t xml:space="preserve">Recharacterization risk; it also raises the question whether Pryor holds a </w:t>
            </w:r>
            <w:r>
              <w:rPr>
                <w:i/>
                <w:sz w:val="19"/>
              </w:rPr>
              <w:t>receivable</w:t>
            </w:r>
            <w:r>
              <w:rPr>
                <w:sz w:val="19"/>
              </w:rPr>
              <w:t xml:space="preserve"> from Cascade for swept cash.</w:t>
            </w:r>
          </w:p>
        </w:tc>
      </w:tr>
      <w:tr>
        <w:tc>
          <w:tcPr>
            <w:tcW w:type="dxa" w:w="1728"/>
          </w:tcPr>
          <w:p>
            <w:r>
              <w:rPr>
                <w:sz w:val="19"/>
              </w:rPr>
            </w:r>
            <w:r>
              <w:rPr>
                <w:sz w:val="19"/>
              </w:rPr>
              <w:t>Initial capitalization</w:t>
            </w:r>
          </w:p>
        </w:tc>
        <w:tc>
          <w:tcPr>
            <w:tcW w:type="dxa" w:w="2304"/>
          </w:tcPr>
          <w:p>
            <w:r>
              <w:rPr>
                <w:sz w:val="19"/>
              </w:rPr>
            </w:r>
            <w:r>
              <w:rPr>
                <w:sz w:val="19"/>
              </w:rPr>
              <w:t>“Only $3.5M” vs. $78.5M price</w:t>
            </w:r>
          </w:p>
        </w:tc>
        <w:tc>
          <w:tcPr>
            <w:tcW w:type="dxa" w:w="3312"/>
          </w:tcPr>
          <w:p>
            <w:r>
              <w:rPr>
                <w:sz w:val="19"/>
              </w:rPr>
            </w:r>
            <w:r>
              <w:rPr>
                <w:sz w:val="19"/>
              </w:rPr>
              <w:t xml:space="preserve">$78.5M was paid to the </w:t>
            </w:r>
            <w:r>
              <w:rPr>
                <w:b/>
                <w:sz w:val="19"/>
              </w:rPr>
              <w:t>sellers</w:t>
            </w:r>
            <w:r>
              <w:rPr>
                <w:sz w:val="19"/>
              </w:rPr>
              <w:t>; Pryor was formed the same day. The workbook shows no contribution of the acquired business as equity.</w:t>
            </w:r>
          </w:p>
        </w:tc>
        <w:tc>
          <w:tcPr>
            <w:tcW w:type="dxa" w:w="2016"/>
          </w:tcPr>
          <w:p>
            <w:r>
              <w:rPr>
                <w:sz w:val="19"/>
              </w:rPr>
            </w:r>
            <w:r>
              <w:rPr>
                <w:sz w:val="19"/>
              </w:rPr>
            </w:r>
            <w:r>
              <w:rPr>
                <w:b/>
                <w:sz w:val="19"/>
              </w:rPr>
              <w:t>Open question:</w:t>
            </w:r>
            <w:r>
              <w:rPr>
                <w:sz w:val="19"/>
              </w:rPr>
              <w:t xml:space="preserve"> if the acquired business/assets were contributed to Pryor, contributed capital may far exceed $3.5M. Obtain closing documents immediately.</w:t>
            </w:r>
          </w:p>
        </w:tc>
      </w:tr>
      <w:tr>
        <w:tc>
          <w:tcPr>
            <w:tcW w:type="dxa" w:w="1728"/>
          </w:tcPr>
          <w:p>
            <w:r>
              <w:rPr>
                <w:sz w:val="19"/>
              </w:rPr>
            </w:r>
            <w:r>
              <w:rPr>
                <w:sz w:val="19"/>
              </w:rPr>
              <w:t>Tax status</w:t>
            </w:r>
          </w:p>
        </w:tc>
        <w:tc>
          <w:tcPr>
            <w:tcW w:type="dxa" w:w="2304"/>
          </w:tcPr>
          <w:p>
            <w:r>
              <w:rPr>
                <w:sz w:val="19"/>
              </w:rPr>
            </w:r>
            <w:r>
              <w:rPr>
                <w:sz w:val="19"/>
              </w:rPr>
              <w:t>Pryor “files a separate Form 1065” (Structure Summary § 5.2)</w:t>
            </w:r>
          </w:p>
        </w:tc>
        <w:tc>
          <w:tcPr>
            <w:tcW w:type="dxa" w:w="3312"/>
          </w:tcPr>
          <w:p>
            <w:r>
              <w:rPr>
                <w:sz w:val="19"/>
              </w:rPr>
            </w:r>
            <w:r>
              <w:rPr>
                <w:sz w:val="19"/>
              </w:rPr>
              <w:t>A single-member LLC is ordinarily a disregarded entity and does not file Form 1065 (a partnership return).</w:t>
            </w:r>
          </w:p>
        </w:tc>
        <w:tc>
          <w:tcPr>
            <w:tcW w:type="dxa" w:w="2016"/>
          </w:tcPr>
          <w:p>
            <w:r>
              <w:rPr>
                <w:sz w:val="19"/>
              </w:rPr>
            </w:r>
            <w:r>
              <w:rPr>
                <w:sz w:val="19"/>
              </w:rPr>
              <w:t>Likely an error. Do not cite it as a separateness factor until Tax confirms.</w:t>
            </w:r>
          </w:p>
        </w:tc>
      </w:tr>
    </w:tbl>
    <w:p/>
    <w:p>
      <w:pPr>
        <w:pStyle w:val="Heading2"/>
      </w:pPr>
      <w:r>
        <w:t>D. The Canton Facility</w:t>
      </w:r>
    </w:p>
    <w:p>
      <w:pPr>
        <w:pStyle w:val="ListBullet"/>
      </w:pPr>
      <w:r/>
      <w:r>
        <w:rPr>
          <w:b/>
        </w:rPr>
        <w:t>Configuration directive:</w:t>
      </w:r>
      <w:r>
        <w:t xml:space="preserve"> the Whitfield Memorandum (Dec. 8, 2022) directed storage of spent hydraulic fluid in existing above-ground tanks and drum areas “pending future capital improvements,” without addressing RCRA permitting.</w:t>
      </w:r>
    </w:p>
    <w:p>
      <w:pPr>
        <w:pStyle w:val="ListBullet"/>
      </w:pPr>
      <w:r/>
      <w:r>
        <w:rPr>
          <w:b/>
        </w:rPr>
        <w:t>Budget request and denial:</w:t>
      </w:r>
      <w:r>
        <w:t xml:space="preserve"> the Canton manager requested an increase from $180,000 to $340,000 on March 15, 2023, for compliant storage. CFO Yun denied it on April 2, 2023, and no alternative plan was authorized.</w:t>
      </w:r>
    </w:p>
    <w:p>
      <w:pPr>
        <w:pStyle w:val="ListBullet"/>
      </w:pPr>
      <w:r/>
      <w:r>
        <w:rPr>
          <w:b/>
        </w:rPr>
        <w:t>Alleged violations:</w:t>
      </w:r>
      <w:r>
        <w:t xml:space="preserve"> about 84,000 gallons were stored beyond 90-day limits without a permit (Jan. 2023–Aug. 2024), and manifests to Greenfield Environmental Services (Peoria, IL) allegedly mischaracterized the waste.</w:t>
      </w:r>
    </w:p>
    <w:p>
      <w:pPr>
        <w:pStyle w:val="ListBullet"/>
      </w:pPr>
      <w:r/>
      <w:r>
        <w:rPr>
          <w:b/>
        </w:rPr>
        <w:t>Relief sought:</w:t>
      </w:r>
      <w:r>
        <w:t xml:space="preserve"> a $2.4 million joint and several penalty plus injunctive relief.</w:t>
      </w:r>
    </w:p>
    <w:p>
      <w:pPr>
        <w:pStyle w:val="Heading2"/>
      </w:pPr>
      <w:r>
        <w:t>E. Internal Inconsistencies in the Record to Be Resolved</w:t>
      </w:r>
    </w:p>
    <w:p>
      <w:pPr>
        <w:pStyle w:val="ListBullet"/>
      </w:pPr>
      <w:r/>
      <w:r>
        <w:rPr>
          <w:b/>
        </w:rPr>
        <w:t>IEPA’s characterization of its own claims.</w:t>
      </w:r>
      <w:r>
        <w:t xml:space="preserve"> The Risk memo (Dec. 10) and the preliminary assessment describe the IEPA as “may seek” to hold Cascade liable. In fact the Complaint already names Cascade as a Respondent (Counts III and IV).</w:t>
      </w:r>
    </w:p>
    <w:p>
      <w:pPr>
        <w:pStyle w:val="ListBullet"/>
      </w:pPr>
      <w:r/>
      <w:r>
        <w:rPr>
          <w:b/>
        </w:rPr>
        <w:t>Orvis’s role.</w:t>
      </w:r>
      <w:r>
        <w:t xml:space="preserve"> The Risk memo calls Orvis “a Pryor engineer.” He is Pryor’s GM and a Cascade VP, a fact that cuts both ways: his objection was a management-level warning, and his dual role supports unity of control.</w:t>
      </w:r>
    </w:p>
    <w:p>
      <w:pPr>
        <w:pStyle w:val="ListBullet"/>
      </w:pPr>
      <w:r/>
      <w:r>
        <w:rPr>
          <w:b/>
        </w:rPr>
        <w:t>Dating anomalies.</w:t>
      </w:r>
      <w:r>
        <w:t xml:space="preserve"> The IEPA Complaint dated October 3, 2024 recites year-end December 31, 2024 figures (¶¶ 59–61; Exhibit A, item 9). The Structure Summary dated December 2, 2024 reports “fiscal year ending December 31, 2024” results. These are estimates or later-revised documents and should be verified before anyone attests to them.</w:t>
      </w:r>
    </w:p>
    <w:p>
      <w:pPr>
        <w:pStyle w:val="ListBullet"/>
      </w:pPr>
      <w:r/>
      <w:r>
        <w:rPr>
          <w:b/>
        </w:rPr>
        <w:t>Location of Cascade signage.</w:t>
      </w:r>
      <w:r>
        <w:t xml:space="preserve"> IEPA ¶ 83(h) places Cascade branding at the </w:t>
      </w:r>
      <w:r>
        <w:rPr>
          <w:i/>
        </w:rPr>
        <w:t>Canton</w:t>
      </w:r>
      <w:r>
        <w:t xml:space="preserve"> entrance. Our records place it at </w:t>
      </w:r>
      <w:r>
        <w:rPr>
          <w:i/>
        </w:rPr>
        <w:t>Akron</w:t>
      </w:r>
      <w:r>
        <w:t>.</w:t>
      </w:r>
    </w:p>
    <w:p>
      <w:pPr>
        <w:pStyle w:val="ListBullet"/>
      </w:pPr>
      <w:r/>
      <w:r>
        <w:rPr>
          <w:b/>
        </w:rPr>
        <w:t>Scope of Birchfield’s engagement.</w:t>
      </w:r>
      <w:r>
        <w:t xml:space="preserve"> The Risk memo says Birchfield represents both Cascade and Pryor. The engagement letter describes representation of Cascade. See Part VII (conflict).</w:t>
      </w:r>
    </w:p>
    <w:p>
      <w:pPr>
        <w:pStyle w:val="ListBullet"/>
      </w:pPr>
      <w:r/>
      <w:r>
        <w:rPr>
          <w:b/>
        </w:rPr>
        <w:t>Plaintiffs already have the email chain.</w:t>
      </w:r>
      <w:r>
        <w:t xml:space="preserve"> The Petition quotes the Orvis chain verbatim before any discovery. Plaintiffs appear to possess it already, which suggests a current or former insider source. That bears on privilege strategy (no realistic privilege claim over a business email merely copied to Colter), witness management, and anti-retaliation obligations.</w:t>
      </w:r>
    </w:p>
    <w:p>
      <w:pPr>
        <w:pStyle w:val="Heading1"/>
      </w:pPr>
      <w:r>
        <w:t>IV. Choice of Law</w:t>
      </w:r>
    </w:p>
    <w:p>
      <w:pPr>
        <w:pStyle w:val="Heading2"/>
      </w:pPr>
      <w:r>
        <w:t>A. Framework in the Texas Forum</w:t>
      </w:r>
    </w:p>
    <w:p>
      <w:r>
        <w:t>Texas generally resolves conflicts under the Restatement (Second) of Conflict of Laws “most significant relationship” test (</w:t>
      </w:r>
      <w:r>
        <w:rPr>
          <w:i/>
        </w:rPr>
        <w:t>Hughes Wood Prods., Inc. v. Wagner</w:t>
      </w:r>
      <w:r>
        <w:t xml:space="preserve">, 18 S.W.3d 202 (Tex. 2000); </w:t>
      </w:r>
      <w:r>
        <w:rPr>
          <w:i/>
        </w:rPr>
        <w:t>Torrington Co. v. Stutzman</w:t>
      </w:r>
      <w:r>
        <w:t xml:space="preserve">, 46 S.W.3d 829 (Tex. 2000)). The analysis is conducted </w:t>
      </w:r>
      <w:r>
        <w:rPr>
          <w:b/>
        </w:rPr>
        <w:t>issue by issue</w:t>
      </w:r>
      <w:r>
        <w:t>. For veil piercing, however, Texas has a statutory rule that largely displaces the common-law inquiry:</w:t>
      </w:r>
    </w:p>
    <w:p>
      <w:pPr>
        <w:pStyle w:val="ListBullet"/>
      </w:pPr>
      <w:r/>
      <w:r>
        <w:rPr>
          <w:b/>
        </w:rPr>
        <w:t>Tex. Bus. Orgs. Code § 1.102:</w:t>
      </w:r>
      <w:r>
        <w:t xml:space="preserve"> the law of the jurisdiction of formation governs a foreign entity.</w:t>
      </w:r>
    </w:p>
    <w:p>
      <w:pPr>
        <w:pStyle w:val="ListBullet"/>
      </w:pPr>
      <w:r/>
      <w:r>
        <w:rPr>
          <w:b/>
        </w:rPr>
        <w:t>§ 1.104:</w:t>
      </w:r>
      <w:r>
        <w:t xml:space="preserve"> that law governs the entity’s formation and internal affairs.</w:t>
      </w:r>
    </w:p>
    <w:p>
      <w:pPr>
        <w:pStyle w:val="ListBullet"/>
      </w:pPr>
      <w:r/>
      <w:r>
        <w:rPr>
          <w:b/>
        </w:rPr>
        <w:t>§ 1.105:</w:t>
      </w:r>
      <w:r>
        <w:t xml:space="preserve"> “internal affairs” include “the liability of an owner, member, or managerial official for an obligation of the entity.”</w:t>
      </w:r>
    </w:p>
    <w:p>
      <w:r>
        <w:t xml:space="preserve">Whether Cascade, as Pryor’s sole member, is liable for Pryor’s obligations is therefore governed by </w:t>
      </w:r>
      <w:r>
        <w:rPr>
          <w:b/>
        </w:rPr>
        <w:t>Ohio law</w:t>
      </w:r>
      <w:r>
        <w:t xml:space="preserve">, as Pryor’s jurisdiction of formation. This is consistent with Restatement § 307 and the internal-affairs doctrine. Federal courts applying Texas law have generally followed the state-of-organization rule for veil piercing. </w:t>
      </w:r>
      <w:r>
        <w:rPr>
          <w:i/>
        </w:rPr>
        <w:t>(Counsel should compile and cite-check current Texas appellate authority applying §§ 1.104–1.105 to veil piercing before briefing.)</w:t>
      </w:r>
      <w:r/>
    </w:p>
    <w:p>
      <w:pPr>
        <w:pStyle w:val="Heading2"/>
      </w:pPr>
      <w:r>
        <w:t>B. Why the “Delaware First” Strategy Should Be Abandoned</w:t>
      </w:r>
    </w:p>
    <w:p>
      <w:r>
        <w:t>The preliminary assessment recommends arguing for Delaware law because Cascade is a Delaware corporation. We disagree:</w:t>
      </w:r>
    </w:p>
    <w:p>
      <w:pPr>
        <w:pStyle w:val="ListBullet"/>
      </w:pPr>
      <w:r/>
      <w:r>
        <w:rPr>
          <w:b/>
        </w:rPr>
        <w:t>Wrong entity.</w:t>
      </w:r>
      <w:r>
        <w:t xml:space="preserve"> The internal-affairs doctrine applies the law of the entity </w:t>
      </w:r>
      <w:r>
        <w:rPr>
          <w:i/>
        </w:rPr>
        <w:t>whose</w:t>
      </w:r>
      <w:r>
        <w:t xml:space="preserve"> veil is to be pierced (Pryor), not the law of the parent seeking protection.</w:t>
      </w:r>
    </w:p>
    <w:p>
      <w:pPr>
        <w:pStyle w:val="ListBullet"/>
      </w:pPr>
      <w:r/>
      <w:r>
        <w:rPr>
          <w:b/>
        </w:rPr>
        <w:t>Irrelevant target.</w:t>
      </w:r>
      <w:r>
        <w:t xml:space="preserve"> Delaware law would govern only an effort to reach Cascade’s stockholders.</w:t>
      </w:r>
    </w:p>
    <w:p>
      <w:pPr>
        <w:pStyle w:val="ListBullet"/>
      </w:pPr>
      <w:r/>
      <w:r>
        <w:rPr>
          <w:b/>
        </w:rPr>
        <w:t>Credibility cost.</w:t>
      </w:r>
      <w:r>
        <w:t xml:space="preserve"> Advancing an untenable position risks credibility at the threshold of the case, and the payoff is small. Ohio’s post-</w:t>
      </w:r>
      <w:r>
        <w:rPr>
          <w:i/>
        </w:rPr>
        <w:t>Dombroski</w:t>
      </w:r>
      <w:r>
        <w:t xml:space="preserve"> standard is itself among the more demanding in the country, requiring fraud, an illegal act, or a similarly unlawful act.</w:t>
      </w:r>
    </w:p>
    <w:p>
      <w:r>
        <w:t>We recommend briefing Ohio law as the primary position. Delaware’s standard (discussed in Part V.A) can be noted only as confirming a broad interstate consensus that veil piercing is exceptional.</w:t>
      </w:r>
    </w:p>
    <w:p>
      <w:pPr>
        <w:pStyle w:val="Heading2"/>
      </w:pPr>
      <w:r>
        <w:t>C. Plaintiffs’ Counter-Arguments and Our Response</w:t>
      </w:r>
    </w:p>
    <w:p>
      <w:r>
        <w:t>Plaintiffs will make three arguments:</w:t>
      </w:r>
    </w:p>
    <w:p>
      <w:pPr>
        <w:pStyle w:val="ListNumber"/>
      </w:pPr>
      <w:r>
        <w:t xml:space="preserve">Veil piercing in a </w:t>
      </w:r>
      <w:r>
        <w:rPr>
          <w:i/>
        </w:rPr>
        <w:t>tort</w:t>
      </w:r>
      <w:r>
        <w:t xml:space="preserve"> case is a remedial question on which the place of injury (Texas) has the dominant interest.</w:t>
      </w:r>
    </w:p>
    <w:p>
      <w:pPr>
        <w:pStyle w:val="ListNumber"/>
      </w:pPr>
      <w:r>
        <w:t>§ 1.105 addresses internal affairs, not liability to involuntary third-party tort creditors.</w:t>
      </w:r>
    </w:p>
    <w:p>
      <w:pPr>
        <w:pStyle w:val="ListNumber"/>
      </w:pPr>
      <w:r>
        <w:t>Texas public policy (Texas residents injured in Texas) should override.</w:t>
      </w:r>
    </w:p>
    <w:p>
      <w:r>
        <w:t>The statutory text answers the first two points directly, because it expressly covers “liability of an owner [or] member for an obligation of the entity” without distinguishing contract from tort. On the third, a public-policy override requires a fundamental conflict, and Ohio law is not repugnant to Texas policy. Texas itself restricts veil piercing by statute (§§ 21.223–21.224, extended to LLCs by § 101.002).</w:t>
      </w:r>
    </w:p>
    <w:p>
      <w:r/>
      <w:r>
        <w:rPr>
          <w:b/>
        </w:rPr>
        <w:t>Realistic assessment:</w:t>
      </w:r>
      <w:r>
        <w:t xml:space="preserve"> we estimate a 60–70% probability that the court applies Ohio law to the alter-ego claim. The marginal benefit over Texas law is real but not dispositive, because (i) the SBE theory is weak under Texas law anyway, and (ii) the direct-liability claims will be governed by Texas tort law regardless.</w:t>
      </w:r>
    </w:p>
    <w:p>
      <w:pPr>
        <w:pStyle w:val="Heading2"/>
      </w:pPr>
      <w:r>
        <w:t>D. Law Governing the Other Claims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D9E2F3"/>
          </w:tcPr>
          <w:p>
            <w:r/>
            <w:r>
              <w:rPr>
                <w:b/>
                <w:sz w:val="19"/>
              </w:rPr>
              <w:t>Issue</w:t>
            </w:r>
          </w:p>
        </w:tc>
        <w:tc>
          <w:tcPr>
            <w:tcW w:type="dxa" w:w="2592"/>
            <w:shd w:val="clear" w:color="auto" w:fill="D9E2F3"/>
          </w:tcPr>
          <w:p>
            <w:r/>
            <w:r>
              <w:rPr>
                <w:b/>
                <w:sz w:val="19"/>
              </w:rPr>
              <w:t>Probable governing law</w:t>
            </w:r>
          </w:p>
        </w:tc>
        <w:tc>
          <w:tcPr>
            <w:tcW w:type="dxa" w:w="3600"/>
            <w:shd w:val="clear" w:color="auto" w:fill="D9E2F3"/>
          </w:tcPr>
          <w:p>
            <w:r/>
            <w:r>
              <w:rPr>
                <w:b/>
                <w:sz w:val="19"/>
              </w:rPr>
              <w:t>Reason</w:t>
            </w:r>
          </w:p>
        </w:tc>
      </w:tr>
      <w:tr>
        <w:tc>
          <w:tcPr>
            <w:tcW w:type="dxa" w:w="3168"/>
          </w:tcPr>
          <w:p>
            <w:r>
              <w:rPr>
                <w:sz w:val="19"/>
              </w:rPr>
            </w:r>
            <w:r>
              <w:rPr>
                <w:sz w:val="19"/>
              </w:rPr>
              <w:t>Direct design defect / negligence / exemplary damages vs. Cascade</w:t>
            </w:r>
          </w:p>
        </w:tc>
        <w:tc>
          <w:tcPr>
            <w:tcW w:type="dxa" w:w="2592"/>
          </w:tcPr>
          <w:p>
            <w:r>
              <w:rPr>
                <w:sz w:val="19"/>
              </w:rPr>
            </w:r>
            <w:r>
              <w:rPr>
                <w:sz w:val="19"/>
              </w:rPr>
              <w:t>Texas</w:t>
            </w:r>
          </w:p>
        </w:tc>
        <w:tc>
          <w:tcPr>
            <w:tcW w:type="dxa" w:w="3600"/>
          </w:tcPr>
          <w:p>
            <w:r>
              <w:rPr>
                <w:sz w:val="19"/>
              </w:rPr>
            </w:r>
            <w:r>
              <w:rPr>
                <w:sz w:val="19"/>
              </w:rPr>
              <w:t>Place of injury and use; Restatement §§ 145, 146; product sold into Texas through an authorized Texas distributor</w:t>
            </w:r>
          </w:p>
        </w:tc>
      </w:tr>
      <w:tr>
        <w:tc>
          <w:tcPr>
            <w:tcW w:type="dxa" w:w="3168"/>
          </w:tcPr>
          <w:p>
            <w:r>
              <w:rPr>
                <w:sz w:val="19"/>
              </w:rPr>
            </w:r>
            <w:r>
              <w:rPr>
                <w:sz w:val="19"/>
              </w:rPr>
              <w:t>Pryor veil piercing (Delgado)</w:t>
            </w:r>
          </w:p>
        </w:tc>
        <w:tc>
          <w:tcPr>
            <w:tcW w:type="dxa" w:w="2592"/>
          </w:tcPr>
          <w:p>
            <w:r>
              <w:rPr>
                <w:sz w:val="19"/>
              </w:rPr>
            </w:r>
            <w:r>
              <w:rPr>
                <w:sz w:val="19"/>
              </w:rPr>
              <w:t>Ohio (primary); Texas (fallback)</w:t>
            </w:r>
          </w:p>
        </w:tc>
        <w:tc>
          <w:tcPr>
            <w:tcW w:type="dxa" w:w="3600"/>
          </w:tcPr>
          <w:p>
            <w:r>
              <w:rPr>
                <w:sz w:val="19"/>
              </w:rPr>
            </w:r>
            <w:r>
              <w:rPr>
                <w:sz w:val="19"/>
              </w:rPr>
              <w:t>Tex. Bus. Orgs. Code §§ 1.102–1.105; Restatement § 307</w:t>
            </w:r>
          </w:p>
        </w:tc>
      </w:tr>
      <w:tr>
        <w:tc>
          <w:tcPr>
            <w:tcW w:type="dxa" w:w="3168"/>
          </w:tcPr>
          <w:p>
            <w:r>
              <w:rPr>
                <w:sz w:val="19"/>
              </w:rPr>
            </w:r>
            <w:r>
              <w:rPr>
                <w:sz w:val="19"/>
              </w:rPr>
              <w:t>Pryor veil piercing (IEPA)</w:t>
            </w:r>
          </w:p>
        </w:tc>
        <w:tc>
          <w:tcPr>
            <w:tcW w:type="dxa" w:w="2592"/>
          </w:tcPr>
          <w:p>
            <w:r>
              <w:rPr>
                <w:sz w:val="19"/>
              </w:rPr>
            </w:r>
            <w:r>
              <w:rPr>
                <w:sz w:val="19"/>
              </w:rPr>
              <w:t>Ohio</w:t>
            </w:r>
          </w:p>
        </w:tc>
        <w:tc>
          <w:tcPr>
            <w:tcW w:type="dxa" w:w="3600"/>
          </w:tcPr>
          <w:p>
            <w:r>
              <w:rPr>
                <w:sz w:val="19"/>
              </w:rPr>
            </w:r>
            <w:r>
              <w:rPr>
                <w:sz w:val="19"/>
              </w:rPr>
              <w:t>Illinois looks to state of organization; Ohio facility and entity</w:t>
            </w:r>
          </w:p>
        </w:tc>
      </w:tr>
      <w:tr>
        <w:tc>
          <w:tcPr>
            <w:tcW w:type="dxa" w:w="3168"/>
          </w:tcPr>
          <w:p>
            <w:r>
              <w:rPr>
                <w:sz w:val="19"/>
              </w:rPr>
            </w:r>
            <w:r>
              <w:rPr>
                <w:sz w:val="19"/>
              </w:rPr>
              <w:t>Operator liability (IEPA)</w:t>
            </w:r>
          </w:p>
        </w:tc>
        <w:tc>
          <w:tcPr>
            <w:tcW w:type="dxa" w:w="2592"/>
          </w:tcPr>
          <w:p>
            <w:r>
              <w:rPr>
                <w:sz w:val="19"/>
              </w:rPr>
            </w:r>
            <w:r>
              <w:rPr>
                <w:sz w:val="19"/>
              </w:rPr>
              <w:t>Federal RCRA / state program (Bestfoods standard by analogy)</w:t>
            </w:r>
          </w:p>
        </w:tc>
        <w:tc>
          <w:tcPr>
            <w:tcW w:type="dxa" w:w="3600"/>
          </w:tcPr>
          <w:p>
            <w:r>
              <w:rPr>
                <w:sz w:val="19"/>
              </w:rPr>
            </w:r>
            <w:r>
              <w:rPr>
                <w:sz w:val="19"/>
              </w:rPr>
              <w:t>Statutory, direct liability; not a veil-piercing question</w:t>
            </w:r>
          </w:p>
        </w:tc>
      </w:tr>
      <w:tr>
        <w:tc>
          <w:tcPr>
            <w:tcW w:type="dxa" w:w="3168"/>
          </w:tcPr>
          <w:p>
            <w:r>
              <w:rPr>
                <w:sz w:val="19"/>
              </w:rPr>
            </w:r>
            <w:r>
              <w:rPr>
                <w:sz w:val="19"/>
              </w:rPr>
              <w:t>Insurance coverage (punitive damages insurability; AI endorsement)</w:t>
            </w:r>
          </w:p>
        </w:tc>
        <w:tc>
          <w:tcPr>
            <w:tcW w:type="dxa" w:w="2592"/>
          </w:tcPr>
          <w:p>
            <w:r>
              <w:rPr>
                <w:sz w:val="19"/>
              </w:rPr>
            </w:r>
            <w:r>
              <w:rPr>
                <w:sz w:val="19"/>
              </w:rPr>
              <w:t>Likely Ohio (policies issued to an Ohio insured) — coverage counsel to confirm</w:t>
            </w:r>
          </w:p>
        </w:tc>
        <w:tc>
          <w:tcPr>
            <w:tcW w:type="dxa" w:w="3600"/>
          </w:tcPr>
          <w:p>
            <w:r>
              <w:rPr>
                <w:sz w:val="19"/>
              </w:rPr>
            </w:r>
            <w:r>
              <w:rPr>
                <w:sz w:val="19"/>
              </w:rPr>
              <w:t>Place of contracting and insured risk; Ohio R.C. 3937.182 bars coverage of punitive damages</w:t>
            </w:r>
          </w:p>
        </w:tc>
      </w:tr>
      <w:tr>
        <w:tc>
          <w:tcPr>
            <w:tcW w:type="dxa" w:w="3168"/>
          </w:tcPr>
          <w:p>
            <w:r>
              <w:rPr>
                <w:sz w:val="19"/>
              </w:rPr>
            </w:r>
            <w:r>
              <w:rPr>
                <w:sz w:val="19"/>
              </w:rPr>
              <w:t>Cash Management Agreement</w:t>
            </w:r>
          </w:p>
        </w:tc>
        <w:tc>
          <w:tcPr>
            <w:tcW w:type="dxa" w:w="2592"/>
          </w:tcPr>
          <w:p>
            <w:r>
              <w:rPr>
                <w:sz w:val="19"/>
              </w:rPr>
            </w:r>
            <w:r>
              <w:rPr>
                <w:sz w:val="19"/>
              </w:rPr>
              <w:t>Ohio</w:t>
            </w:r>
          </w:p>
        </w:tc>
        <w:tc>
          <w:tcPr>
            <w:tcW w:type="dxa" w:w="3600"/>
          </w:tcPr>
          <w:p>
            <w:r>
              <w:rPr>
                <w:sz w:val="19"/>
              </w:rPr>
            </w:r>
            <w:r>
              <w:rPr>
                <w:sz w:val="19"/>
              </w:rPr>
              <w:t>Express choice-of-law clause (§ 9.1)</w:t>
            </w:r>
          </w:p>
        </w:tc>
      </w:tr>
    </w:tbl>
    <w:p/>
    <w:p>
      <w:pPr>
        <w:pStyle w:val="Heading1"/>
      </w:pPr>
      <w:r>
        <w:t>V. Jurisdiction-by-Jurisdiction Veil-Piercing Analysis</w:t>
      </w:r>
    </w:p>
    <w:p>
      <w:pPr>
        <w:pStyle w:val="Heading2"/>
      </w:pPr>
      <w:r>
        <w:t>A. Delaware</w:t>
      </w:r>
    </w:p>
    <w:p>
      <w:r/>
      <w:r>
        <w:rPr>
          <w:b/>
        </w:rPr>
        <w:t>Standard.</w:t>
      </w:r>
      <w:r>
        <w:t xml:space="preserve"> Delaware disregards the entity only in exceptional circumstances. It requires a showing that the entities operated as a single economic entity </w:t>
      </w:r>
      <w:r>
        <w:rPr>
          <w:i/>
        </w:rPr>
        <w:t>and</w:t>
      </w:r>
      <w:r>
        <w:t xml:space="preserve"> an overall element of injustice or unfairness, typically fraud or something like it (</w:t>
      </w:r>
      <w:r>
        <w:rPr>
          <w:i/>
        </w:rPr>
        <w:t>Wallace ex rel. Cencom Cable Income Partners II v. Wood</w:t>
      </w:r>
      <w:r>
        <w:t xml:space="preserve">, 752 A.2d 1175 (Del. Ch. 1999); </w:t>
      </w:r>
      <w:r>
        <w:rPr>
          <w:i/>
        </w:rPr>
        <w:t>Mobil Oil Corp. v. Linear Films, Inc.</w:t>
      </w:r>
      <w:r>
        <w:t>, 718 F. Supp. 260 (D. Del. 1989)). Relevant factors include:</w:t>
      </w:r>
    </w:p>
    <w:p>
      <w:pPr>
        <w:pStyle w:val="ListBullet"/>
      </w:pPr>
      <w:r>
        <w:t>undercapitalization;</w:t>
      </w:r>
    </w:p>
    <w:p>
      <w:pPr>
        <w:pStyle w:val="ListBullet"/>
      </w:pPr>
      <w:r>
        <w:t>solvency;</w:t>
      </w:r>
    </w:p>
    <w:p>
      <w:pPr>
        <w:pStyle w:val="ListBullet"/>
      </w:pPr>
      <w:r>
        <w:t>observance of formalities;</w:t>
      </w:r>
    </w:p>
    <w:p>
      <w:pPr>
        <w:pStyle w:val="ListBullet"/>
      </w:pPr>
      <w:r>
        <w:t>siphoning of funds by the dominant owner; and</w:t>
      </w:r>
    </w:p>
    <w:p>
      <w:pPr>
        <w:pStyle w:val="ListBullet"/>
      </w:pPr>
      <w:r>
        <w:t>whether the entity is a façade.</w:t>
      </w:r>
    </w:p>
    <w:p>
      <w:r>
        <w:t>Mere domination, or the ordinary incidents of 100% ownership, is not enough.</w:t>
      </w:r>
    </w:p>
    <w:p>
      <w:r/>
      <w:r>
        <w:rPr>
          <w:b/>
        </w:rPr>
        <w:t>Application.</w:t>
      </w:r>
      <w:r>
        <w:t xml:space="preserve"> Even under Delaware law the single-economic-entity prong would likely be satisfied here. The defense would rest on the injustice prong: Pryor is solvent, insured to $20 million, and profitable, and the injury did not result from the corporate form being used to shield Cascade from a known creditor. The systematic cash sweep weighs against Cascade because it is a “siphoning” factor.</w:t>
      </w:r>
    </w:p>
    <w:p>
      <w:r/>
      <w:r>
        <w:rPr>
          <w:b/>
        </w:rPr>
        <w:t>Relevance.</w:t>
      </w:r>
      <w:r>
        <w:t xml:space="preserve"> As explained in Part IV.B, Delaware law is unlikely to govern. </w:t>
      </w:r>
      <w:r>
        <w:rPr>
          <w:b/>
        </w:rPr>
        <w:t>Risk if applied: Low-Moderate.</w:t>
      </w:r>
      <w:r/>
    </w:p>
    <w:p>
      <w:pPr>
        <w:pStyle w:val="Heading2"/>
      </w:pPr>
      <w:r>
        <w:t>B. Ohio (Probable Governing Law)</w:t>
      </w:r>
    </w:p>
    <w:p>
      <w:r/>
      <w:r>
        <w:rPr>
          <w:b/>
        </w:rPr>
        <w:t>Standard.</w:t>
      </w:r>
      <w:r>
        <w:t xml:space="preserve"> Ohio applies the three-part test of </w:t>
      </w:r>
      <w:r>
        <w:rPr>
          <w:i/>
        </w:rPr>
        <w:t>Belvedere Condominium Unit Owners’ Ass’n v. R.E. Roark Cos.</w:t>
      </w:r>
      <w:r>
        <w:t xml:space="preserve">, 67 Ohio St.3d 274 (1993), as narrowed by </w:t>
      </w:r>
      <w:r>
        <w:rPr>
          <w:i/>
        </w:rPr>
        <w:t>Dombroski v. WellPoint, Inc.</w:t>
      </w:r>
      <w:r>
        <w:t>, 119 Ohio St.3d 506, 2008-Ohio-4827. The claimant must prove:</w:t>
      </w:r>
    </w:p>
    <w:p>
      <w:pPr>
        <w:pStyle w:val="ListNumber"/>
      </w:pPr>
      <w:r>
        <w:t>control over the entity so complete that it had no separate mind, will, or existence of its own;</w:t>
      </w:r>
    </w:p>
    <w:p>
      <w:pPr>
        <w:pStyle w:val="ListNumber"/>
      </w:pPr>
      <w:r>
        <w:t xml:space="preserve">that control was exercised to commit </w:t>
      </w:r>
      <w:r>
        <w:rPr>
          <w:b/>
        </w:rPr>
        <w:t>fraud, an illegal act, or a similarly unlawful act</w:t>
      </w:r>
      <w:r>
        <w:t xml:space="preserve"> against the claimant; and</w:t>
      </w:r>
    </w:p>
    <w:p>
      <w:pPr>
        <w:pStyle w:val="ListNumber"/>
      </w:pPr>
      <w:r>
        <w:t>injury or unjust loss resulted.</w:t>
      </w:r>
    </w:p>
    <w:p>
      <w:r/>
      <w:r>
        <w:rPr>
          <w:i/>
        </w:rPr>
        <w:t>Dombroski</w:t>
      </w:r>
      <w:r>
        <w:t xml:space="preserve"> expressly rejected the looser “unjust or inequitable” formulation. </w:t>
      </w:r>
      <w:r>
        <w:rPr>
          <w:b/>
        </w:rPr>
        <w:t>The preliminary assessment’s description of the second prong as “wrongful or unjust act” reflects pre-2008 law and should be corrected.</w:t>
      </w:r>
      <w:r>
        <w:t xml:space="preserve"> Ohio courts apply the same test to LLCs.</w:t>
      </w:r>
    </w:p>
    <w:p>
      <w:r/>
      <w:r>
        <w:rPr>
          <w:b/>
        </w:rPr>
        <w:t>Ohio Revised LLC Act.</w:t>
      </w:r>
      <w:r>
        <w:t xml:space="preserve"> Ohio’s Revised Limited Liability Company Act, R.C. Chapter 1706 (effective January 1, 2022), provides that a member is not liable for the LLC’s obligations solely by reason of being a member. It also provides that the failure to observe formalities is not a ground for imposing member liability. </w:t>
      </w:r>
      <w:r>
        <w:rPr>
          <w:i/>
        </w:rPr>
        <w:t>(Confirm the pin cite, R.C. 1706.26, and any saving language for common-law piercing.)</w:t>
      </w:r>
      <w:r>
        <w:t xml:space="preserve"> Two consequences follow:</w:t>
      </w:r>
    </w:p>
    <w:p>
      <w:pPr>
        <w:pStyle w:val="ListBullet"/>
      </w:pPr>
      <w:r>
        <w:t>It blunts the “no meetings, no minutes, no resolutions” facts. Ohio’s LLC statute never required them, and an operating agreement vesting all management in a sole member is expressly permitted.</w:t>
      </w:r>
    </w:p>
    <w:p>
      <w:pPr>
        <w:pStyle w:val="ListBullet"/>
      </w:pPr>
      <w:r>
        <w:t xml:space="preserve">It does </w:t>
      </w:r>
      <w:r>
        <w:rPr>
          <w:b/>
        </w:rPr>
        <w:t>not</w:t>
      </w:r>
      <w:r>
        <w:t xml:space="preserve"> neutralize undercapitalization, siphoning, commingled identity, or domination of specific decisions. Those facts go to the substance of the control prong, not to formalities.</w:t>
      </w:r>
    </w:p>
    <w:p>
      <w:r/>
      <w:r>
        <w:rPr>
          <w:b/>
        </w:rPr>
        <w:t>Application — Prong 1 (control): likely satisfied.</w:t>
      </w:r>
      <w:r>
        <w:t xml:space="preserve"> Cascade exercised operational control over the specific decisions at issue, including design, interlock specification, the environmental budget, and waste configuration. Cascade also sets Pryor’s fees and distributions unilaterally and can take all of Pryor’s cash with no reserve (Agreement §§ 2.2, 2.4, 5.3). Pryor’s “representations” concede that there is no independent governance and that the Agreement was not negotiated at arm’s length (§§ 6.1(e), 6.3). Cascade’s best points on this prong are limited:</w:t>
      </w:r>
    </w:p>
    <w:p>
      <w:pPr>
        <w:pStyle w:val="ListBullet"/>
      </w:pPr>
      <w:r>
        <w:t>Pryor employs 312 people, runs two plants, and holds its own bank account and Ohio good standing.</w:t>
      </w:r>
    </w:p>
    <w:p>
      <w:pPr>
        <w:pStyle w:val="ListBullet"/>
      </w:pPr>
      <w:r>
        <w:t>Centralized treasury, shared services, and common branding are commonplace within corporate groups.</w:t>
      </w:r>
    </w:p>
    <w:p>
      <w:r/>
      <w:r>
        <w:rPr>
          <w:b/>
        </w:rPr>
        <w:t>Application — Prong 2 (fraud/illegal act): the key battleground.</w:t>
      </w:r>
      <w:r/>
    </w:p>
    <w:p>
      <w:pPr>
        <w:pStyle w:val="ListBullet"/>
      </w:pPr>
      <w:r/>
      <w:r>
        <w:rPr>
          <w:b/>
        </w:rPr>
        <w:t>Delgado:</w:t>
      </w:r>
      <w:r>
        <w:t xml:space="preserve"> a design-defect tort is not fraud, and negligent design is not an “illegal act” in the </w:t>
      </w:r>
      <w:r>
        <w:rPr>
          <w:i/>
        </w:rPr>
        <w:t>Dombroski</w:t>
      </w:r>
      <w:r>
        <w:t xml:space="preserve"> sense. Plaintiffs will argue that knowingly shipping a press alleged to be non-compliant with OSHA 1910.217 was an unlawful act. Two responses undercut that argument:</w:t>
      </w:r>
    </w:p>
    <w:p>
      <w:pPr>
        <w:pStyle w:val="ListBullet2"/>
      </w:pPr>
      <w:r>
        <w:t xml:space="preserve">1910.217 regulates </w:t>
      </w:r>
      <w:r>
        <w:rPr>
          <w:b/>
        </w:rPr>
        <w:t>employers</w:t>
      </w:r>
      <w:r>
        <w:t>, not manufacturers.</w:t>
      </w:r>
    </w:p>
    <w:p>
      <w:pPr>
        <w:pStyle w:val="ListBullet2"/>
      </w:pPr>
      <w:r>
        <w:t xml:space="preserve">By its terms (§ 1910.217(a)(5)), 1910.217 does </w:t>
      </w:r>
      <w:r>
        <w:rPr>
          <w:b/>
        </w:rPr>
        <w:t>not apply to hydraulic power presses</w:t>
      </w:r>
      <w:r>
        <w:t>. The Orvis chain’s reference to a “full-revolution clutch” on a hydraulic press is technically anomalous and must be run to ground with engineering experts. The governing consensus standard is likely ANSI B11.2.</w:t>
      </w:r>
    </w:p>
    <w:p>
      <w:pPr>
        <w:pStyle w:val="ListBullet"/>
      </w:pPr>
      <w:r/>
      <w:r>
        <w:rPr>
          <w:b/>
        </w:rPr>
        <w:t>Undercapitalization and siphoning theory:</w:t>
      </w:r>
      <w:r>
        <w:t xml:space="preserve"> plaintiffs will also argue that the sweep structure and distributions were an unlawful stripping of a tort-exposed subsidiary. That argument is weakened by Pryor’s solvency ($21.7 million equity, 2.64x current ratio) and $20 million of insurance.</w:t>
      </w:r>
    </w:p>
    <w:p>
      <w:pPr>
        <w:pStyle w:val="ListBullet"/>
      </w:pPr>
      <w:r/>
      <w:r>
        <w:rPr>
          <w:b/>
        </w:rPr>
        <w:t>IEPA:</w:t>
      </w:r>
      <w:r>
        <w:t xml:space="preserve"> this prong is much easier for the agency, because the alleged conduct is a statutory violation (unpermitted storage and false manifests), squarely an “illegal act.”</w:t>
      </w:r>
    </w:p>
    <w:p>
      <w:r/>
      <w:r>
        <w:rPr>
          <w:b/>
        </w:rPr>
        <w:t>Application — Prong 3 (causation/unjust loss).</w:t>
      </w:r>
      <w:r>
        <w:t xml:space="preserve"> In </w:t>
      </w:r>
      <w:r>
        <w:rPr>
          <w:i/>
        </w:rPr>
        <w:t>Delgado</w:t>
      </w:r>
      <w:r>
        <w:t>, plaintiffs must show that the control caused the injury. The design-control facts supply a direct causal link. The financial facts do so only if Pryor cannot pay. The IEPA pleads causation expressly: extraction left Pryor unable to fund compliance (¶ 62).</w:t>
      </w:r>
    </w:p>
    <w:p>
      <w:r/>
      <w:r>
        <w:rPr>
          <w:b/>
        </w:rPr>
        <w:t>Risk: Delgado — Moderate. IEPA — Moderate-High.</w:t>
      </w:r>
      <w:r/>
    </w:p>
    <w:p>
      <w:pPr>
        <w:pStyle w:val="Heading2"/>
      </w:pPr>
      <w:r>
        <w:t>C. Texas</w:t>
      </w:r>
    </w:p>
    <w:p>
      <w:r/>
      <w:r>
        <w:rPr>
          <w:b/>
        </w:rPr>
        <w:t>1. Traditional alter ego.</w:t>
      </w:r>
      <w:r>
        <w:t xml:space="preserve"> Under </w:t>
      </w:r>
      <w:r>
        <w:rPr>
          <w:i/>
        </w:rPr>
        <w:t>Castleberry v. Branscum</w:t>
      </w:r>
      <w:r>
        <w:t xml:space="preserve">, 721 S.W.2d 270 (Tex. 1986), a court may disregard the corporate fiction where the entity is the alter ego of its owner, meaning there is such unity that separateness has ceased, </w:t>
      </w:r>
      <w:r>
        <w:rPr>
          <w:i/>
        </w:rPr>
        <w:t>and</w:t>
      </w:r>
      <w:r>
        <w:t xml:space="preserve"> holding only the entity liable would result in injustice. For contract claims, the Legislature superseded </w:t>
      </w:r>
      <w:r>
        <w:rPr>
          <w:i/>
        </w:rPr>
        <w:t>Castleberry</w:t>
      </w:r>
      <w:r>
        <w:t xml:space="preserve">’s constructive-fraud standard: Tex. Bus. Orgs. Code § 21.223(b) requires </w:t>
      </w:r>
      <w:r>
        <w:rPr>
          <w:b/>
        </w:rPr>
        <w:t>actual fraud primarily for the direct personal benefit</w:t>
      </w:r>
      <w:r>
        <w:t xml:space="preserve"> of the owner, and § 101.002 extends this to LLCs.</w:t>
      </w:r>
    </w:p>
    <w:p>
      <w:r/>
      <w:r>
        <w:rPr>
          <w:b/>
        </w:rPr>
        <w:t>Tort claims.</w:t>
      </w:r>
      <w:r>
        <w:t xml:space="preserve"> The preliminary assessment implies § 21.223 governs here. It likely does not. By its terms § 21.223 addresses contractual obligations and matters relating to them, and Texas courts have generally declined to apply its actual-fraud requirement to tort claims. For torts, the </w:t>
      </w:r>
      <w:r>
        <w:rPr>
          <w:i/>
        </w:rPr>
        <w:t>Castleberry</w:t>
      </w:r>
      <w:r>
        <w:t xml:space="preserve"> formulation continues to apply, although Texas courts still describe veil piercing as exceptional and require that the entity have been used as a sham or to work an injustice. Under Texas law the </w:t>
      </w:r>
      <w:r>
        <w:rPr>
          <w:i/>
        </w:rPr>
        <w:t>Delgado</w:t>
      </w:r>
      <w:r>
        <w:t xml:space="preserve"> alter-ego claim therefore faces a </w:t>
      </w:r>
      <w:r>
        <w:rPr>
          <w:b/>
        </w:rPr>
        <w:t>lower</w:t>
      </w:r>
      <w:r>
        <w:t xml:space="preserve"> bar than under Ohio law. This is the core reason to press the choice-of-law motion.</w:t>
      </w:r>
    </w:p>
    <w:p>
      <w:r/>
      <w:r>
        <w:rPr>
          <w:b/>
        </w:rPr>
        <w:t>Application.</w:t>
      </w:r>
      <w:r>
        <w:t xml:space="preserve"> The unity factors Texas courts consider are satisfied on this record:</w:t>
      </w:r>
    </w:p>
    <w:p>
      <w:pPr>
        <w:pStyle w:val="ListBullet"/>
      </w:pPr>
      <w:r>
        <w:t>common officers;</w:t>
      </w:r>
    </w:p>
    <w:p>
      <w:pPr>
        <w:pStyle w:val="ListBullet"/>
      </w:pPr>
      <w:r>
        <w:t>parent payment of subsidiary expenses;</w:t>
      </w:r>
    </w:p>
    <w:p>
      <w:pPr>
        <w:pStyle w:val="ListBullet"/>
      </w:pPr>
      <w:r>
        <w:t>inadequate capitalization;</w:t>
      </w:r>
    </w:p>
    <w:p>
      <w:pPr>
        <w:pStyle w:val="ListBullet"/>
      </w:pPr>
      <w:r>
        <w:t>the subsidiary being treated as a division;</w:t>
      </w:r>
    </w:p>
    <w:p>
      <w:pPr>
        <w:pStyle w:val="ListBullet"/>
      </w:pPr>
      <w:r>
        <w:t>use of the parent’s address and letterhead; and</w:t>
      </w:r>
    </w:p>
    <w:p>
      <w:pPr>
        <w:pStyle w:val="ListBullet"/>
      </w:pPr>
      <w:r>
        <w:t>the parent directing subsidiary operations.</w:t>
      </w:r>
    </w:p>
    <w:p>
      <w:r>
        <w:t xml:space="preserve">Cascade’s injustice-prong defense is that Pryor is solvent and insured. Plaintiffs will reply with the $105 million cumulative net extraction, the absence of any reserve, and the risk that a verdict exceeds limits. </w:t>
      </w:r>
      <w:r>
        <w:rPr>
          <w:b/>
        </w:rPr>
        <w:t>Risk: Moderate-High.</w:t>
      </w:r>
      <w:r/>
    </w:p>
    <w:p>
      <w:r/>
      <w:r>
        <w:rPr>
          <w:b/>
        </w:rPr>
        <w:t>2. Single business enterprise.</w:t>
      </w:r>
      <w:r>
        <w:t xml:space="preserve"> In </w:t>
      </w:r>
      <w:r>
        <w:rPr>
          <w:i/>
        </w:rPr>
        <w:t>SSP Partners v. Gladstrong Investments (USA) Corp.</w:t>
      </w:r>
      <w:r>
        <w:t xml:space="preserve">, 275 S.W.3d 444 (Tex. 2008), the Supreme Court of Texas held that the SBE theory, as a basis for imposing one entity’s obligations on another without the fraud showing required by statute, </w:t>
      </w:r>
      <w:r>
        <w:rPr>
          <w:b/>
        </w:rPr>
        <w:t>will not support the imposition of liability</w:t>
      </w:r>
      <w:r>
        <w:t xml:space="preserve">. The court reasoned that the SBE factors describe ordinary features of affiliated groups. The preliminary assessment understates the holding by calling it mere skepticism. Most intermediate courts since then treat SBE as unavailable as an independent theory. Plaintiffs effectively concede the point by pleading it “for appellate review” (Pet. ¶ 42). </w:t>
      </w:r>
      <w:r>
        <w:rPr>
          <w:b/>
        </w:rPr>
        <w:t>Recommendation:</w:t>
      </w:r>
      <w:r>
        <w:t xml:space="preserve"> move to dismiss the Fifth Cause of Action under Tex. R. Civ. P. 91a, or seek partial summary judgment. </w:t>
      </w:r>
      <w:r>
        <w:rPr>
          <w:b/>
        </w:rPr>
        <w:t>Risk: Low.</w:t>
      </w:r>
      <w:r/>
    </w:p>
    <w:p>
      <w:r/>
      <w:r>
        <w:rPr>
          <w:b/>
        </w:rPr>
        <w:t>3. Jurisdictional alter ego is a different and stricter test.</w:t>
      </w:r>
      <w:r>
        <w:t xml:space="preserve"> Imputing Pryor’s contacts to Cascade </w:t>
      </w:r>
      <w:r>
        <w:rPr>
          <w:i/>
        </w:rPr>
        <w:t>for personal jurisdiction</w:t>
      </w:r>
      <w:r>
        <w:t xml:space="preserve"> requires a showing that the parent controls the internal business operations and affairs of the subsidiary beyond the norm of ownership, amounting to fusion (</w:t>
      </w:r>
      <w:r>
        <w:rPr>
          <w:i/>
        </w:rPr>
        <w:t>PHC-Minden, L.P. v. Kimberly-Clark Corp.</w:t>
      </w:r>
      <w:r>
        <w:t xml:space="preserve">, 235 S.W.3d 163 (Tex. 2007)). The more significant jurisdictional risk is </w:t>
      </w:r>
      <w:r>
        <w:rPr>
          <w:b/>
        </w:rPr>
        <w:t>Cascade’s own conduct</w:t>
      </w:r>
      <w:r>
        <w:t xml:space="preserve">: it designed a product for national distribution through authorized distributors, including in Texas. Under </w:t>
      </w:r>
      <w:r>
        <w:rPr>
          <w:i/>
        </w:rPr>
        <w:t>Ford Motor Co. v. Montana Eighth Judicial District Court</w:t>
      </w:r>
      <w:r>
        <w:t xml:space="preserve">, 592 U.S. 351 (2021), and Texas “stream-of-commerce-plus” decisions (e.g., </w:t>
      </w:r>
      <w:r>
        <w:rPr>
          <w:i/>
        </w:rPr>
        <w:t>Luciano v. SprayFoamPolymers.com, LLC</w:t>
      </w:r>
      <w:r>
        <w:t xml:space="preserve">, 625 S.W.3d 1 (Tex. 2021)), a special appearance has modest prospects. It would also invite jurisdictional discovery into precisely the control facts plaintiffs need. </w:t>
      </w:r>
      <w:r>
        <w:rPr>
          <w:b/>
        </w:rPr>
        <w:t>We recommend against a special appearance unless Birchfield identifies facts not in this record.</w:t>
      </w:r>
      <w:r>
        <w:t xml:space="preserve"> If one is filed, it must be filed </w:t>
      </w:r>
      <w:r>
        <w:rPr>
          <w:b/>
        </w:rPr>
        <w:t>before any other plea</w:t>
      </w:r>
      <w:r>
        <w:t>, including the answer and any choice-of-law motion, or it is waived (Tex. R. Civ. P. 120a).</w:t>
      </w:r>
    </w:p>
    <w:p>
      <w:pPr>
        <w:pStyle w:val="Heading2"/>
      </w:pPr>
      <w:r>
        <w:t>D. Illinois</w:t>
      </w:r>
    </w:p>
    <w:p>
      <w:r/>
      <w:r>
        <w:rPr>
          <w:b/>
        </w:rPr>
        <w:t>Standard.</w:t>
      </w:r>
      <w:r>
        <w:t xml:space="preserve"> Illinois pierces where there is (1) such unity of interest and ownership that separate personalities no longer exist, and (2) adherence to the fiction would sanction a fraud or promote injustice (</w:t>
      </w:r>
      <w:r>
        <w:rPr>
          <w:i/>
        </w:rPr>
        <w:t>Fontana v. TLD Builders, Inc.</w:t>
      </w:r>
      <w:r>
        <w:t>, 362 Ill. App. 3d 491 (2d Dist. 2005)). Illinois courts consider factors including:</w:t>
      </w:r>
    </w:p>
    <w:p>
      <w:pPr>
        <w:pStyle w:val="ListBullet"/>
      </w:pPr>
      <w:r>
        <w:t>inadequate capitalization;</w:t>
      </w:r>
    </w:p>
    <w:p>
      <w:pPr>
        <w:pStyle w:val="ListBullet"/>
      </w:pPr>
      <w:r>
        <w:t>failure to observe formalities;</w:t>
      </w:r>
    </w:p>
    <w:p>
      <w:pPr>
        <w:pStyle w:val="ListBullet"/>
      </w:pPr>
      <w:r>
        <w:t>insolvency;</w:t>
      </w:r>
    </w:p>
    <w:p>
      <w:pPr>
        <w:pStyle w:val="ListBullet"/>
      </w:pPr>
      <w:r>
        <w:t>siphoning;</w:t>
      </w:r>
    </w:p>
    <w:p>
      <w:pPr>
        <w:pStyle w:val="ListBullet"/>
      </w:pPr>
      <w:r>
        <w:t>non-functioning officers; and</w:t>
      </w:r>
    </w:p>
    <w:p>
      <w:pPr>
        <w:pStyle w:val="ListBullet"/>
      </w:pPr>
      <w:r>
        <w:t>use of the entity as a façade.</w:t>
      </w:r>
    </w:p>
    <w:p>
      <w:r>
        <w:t xml:space="preserve">The “promote injustice” prong is broader than Ohio’s </w:t>
      </w:r>
      <w:r>
        <w:rPr>
          <w:i/>
        </w:rPr>
        <w:t>Dombroski</w:t>
      </w:r>
      <w:r>
        <w:t xml:space="preserve"> prong.</w:t>
      </w:r>
    </w:p>
    <w:p>
      <w:r/>
      <w:r>
        <w:rPr>
          <w:b/>
        </w:rPr>
        <w:t>Choice of law within Illinois.</w:t>
      </w:r>
      <w:r>
        <w:t xml:space="preserve"> Illinois courts generally apply the law of the state of organization to veil piercing, which again points to Ohio for Pryor. The IEPA pleads a generic alter-ego test and does not engage choice of law. Cascade should insist on Ohio law.</w:t>
      </w:r>
    </w:p>
    <w:p>
      <w:r/>
      <w:r>
        <w:rPr>
          <w:b/>
        </w:rPr>
        <w:t>Application.</w:t>
      </w:r>
      <w:r>
        <w:t xml:space="preserve"> Under either the Illinois or the Ohio standard, the IEPA’s alter-ego theory is strong on the merits. The alleged wrong is itself illegal. Causation is plausibly pleaded: the budget denial saved $160,000 a year while $31.6 million was swept. And undercapitalization relative to compliance needs is the classic injustice. </w:t>
      </w:r>
      <w:r>
        <w:rPr>
          <w:b/>
        </w:rPr>
        <w:t>Risk (if jurisdiction exists): Moderate-High.</w:t>
      </w:r>
      <w:r/>
    </w:p>
    <w:p>
      <w:pPr>
        <w:pStyle w:val="Heading2"/>
      </w:pPr>
      <w:r>
        <w:t>E. Comparative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D9E2F3"/>
          </w:tcPr>
          <w:p>
            <w:r/>
            <w:r>
              <w:rPr>
                <w:b/>
                <w:sz w:val="19"/>
              </w:rPr>
              <w:t>Element</w:t>
            </w:r>
          </w:p>
        </w:tc>
        <w:tc>
          <w:tcPr>
            <w:tcW w:type="dxa" w:w="1728"/>
            <w:shd w:val="clear" w:color="auto" w:fill="D9E2F3"/>
          </w:tcPr>
          <w:p>
            <w:r/>
            <w:r>
              <w:rPr>
                <w:b/>
                <w:sz w:val="19"/>
              </w:rPr>
              <w:t>Delaware</w:t>
            </w:r>
          </w:p>
        </w:tc>
        <w:tc>
          <w:tcPr>
            <w:tcW w:type="dxa" w:w="2160"/>
            <w:shd w:val="clear" w:color="auto" w:fill="D9E2F3"/>
          </w:tcPr>
          <w:p>
            <w:r/>
            <w:r>
              <w:rPr>
                <w:b/>
                <w:sz w:val="19"/>
              </w:rPr>
              <w:t>Ohio</w:t>
            </w:r>
          </w:p>
        </w:tc>
        <w:tc>
          <w:tcPr>
            <w:tcW w:type="dxa" w:w="2016"/>
            <w:shd w:val="clear" w:color="auto" w:fill="D9E2F3"/>
          </w:tcPr>
          <w:p>
            <w:r/>
            <w:r>
              <w:rPr>
                <w:b/>
                <w:sz w:val="19"/>
              </w:rPr>
              <w:t>Texas (tort)</w:t>
            </w:r>
          </w:p>
        </w:tc>
        <w:tc>
          <w:tcPr>
            <w:tcW w:type="dxa" w:w="1728"/>
            <w:shd w:val="clear" w:color="auto" w:fill="D9E2F3"/>
          </w:tcPr>
          <w:p>
            <w:r/>
            <w:r>
              <w:rPr>
                <w:b/>
                <w:sz w:val="19"/>
              </w:rPr>
              <w:t>Illinois</w:t>
            </w:r>
          </w:p>
        </w:tc>
      </w:tr>
      <w:tr>
        <w:tc>
          <w:tcPr>
            <w:tcW w:type="dxa" w:w="1728"/>
          </w:tcPr>
          <w:p>
            <w:r>
              <w:rPr>
                <w:sz w:val="19"/>
              </w:rPr>
            </w:r>
            <w:r>
              <w:rPr>
                <w:sz w:val="19"/>
              </w:rPr>
              <w:t>Control / unity</w:t>
            </w:r>
          </w:p>
        </w:tc>
        <w:tc>
          <w:tcPr>
            <w:tcW w:type="dxa" w:w="1728"/>
          </w:tcPr>
          <w:p>
            <w:r>
              <w:rPr>
                <w:sz w:val="19"/>
              </w:rPr>
            </w:r>
            <w:r>
              <w:rPr>
                <w:sz w:val="19"/>
              </w:rPr>
              <w:t>Single economic entity</w:t>
            </w:r>
          </w:p>
        </w:tc>
        <w:tc>
          <w:tcPr>
            <w:tcW w:type="dxa" w:w="2160"/>
          </w:tcPr>
          <w:p>
            <w:r>
              <w:rPr>
                <w:sz w:val="19"/>
              </w:rPr>
            </w:r>
            <w:r>
              <w:rPr>
                <w:sz w:val="19"/>
              </w:rPr>
              <w:t>Complete control; no separate mind</w:t>
            </w:r>
          </w:p>
        </w:tc>
        <w:tc>
          <w:tcPr>
            <w:tcW w:type="dxa" w:w="2016"/>
          </w:tcPr>
          <w:p>
            <w:r>
              <w:rPr>
                <w:sz w:val="19"/>
              </w:rPr>
            </w:r>
            <w:r>
              <w:rPr>
                <w:sz w:val="19"/>
              </w:rPr>
              <w:t>Unity such that separateness ceased</w:t>
            </w:r>
          </w:p>
        </w:tc>
        <w:tc>
          <w:tcPr>
            <w:tcW w:type="dxa" w:w="1728"/>
          </w:tcPr>
          <w:p>
            <w:r>
              <w:rPr>
                <w:sz w:val="19"/>
              </w:rPr>
            </w:r>
            <w:r>
              <w:rPr>
                <w:sz w:val="19"/>
              </w:rPr>
              <w:t>Unity of interest and ownership</w:t>
            </w:r>
          </w:p>
        </w:tc>
      </w:tr>
      <w:tr>
        <w:tc>
          <w:tcPr>
            <w:tcW w:type="dxa" w:w="1728"/>
          </w:tcPr>
          <w:p>
            <w:r>
              <w:rPr>
                <w:sz w:val="19"/>
              </w:rPr>
            </w:r>
            <w:r>
              <w:rPr>
                <w:sz w:val="19"/>
              </w:rPr>
              <w:t>Wrong element</w:t>
            </w:r>
          </w:p>
        </w:tc>
        <w:tc>
          <w:tcPr>
            <w:tcW w:type="dxa" w:w="1728"/>
          </w:tcPr>
          <w:p>
            <w:r>
              <w:rPr>
                <w:sz w:val="19"/>
              </w:rPr>
            </w:r>
            <w:r>
              <w:rPr>
                <w:sz w:val="19"/>
              </w:rPr>
              <w:t>Fraud or similar injustice</w:t>
            </w:r>
          </w:p>
        </w:tc>
        <w:tc>
          <w:tcPr>
            <w:tcW w:type="dxa" w:w="2160"/>
          </w:tcPr>
          <w:p>
            <w:r>
              <w:rPr>
                <w:sz w:val="19"/>
              </w:rPr>
            </w:r>
            <w:r>
              <w:rPr>
                <w:sz w:val="19"/>
              </w:rPr>
            </w:r>
            <w:r>
              <w:rPr>
                <w:b/>
                <w:sz w:val="19"/>
              </w:rPr>
              <w:t>Fraud, illegal act, or similarly unlawful act</w:t>
            </w:r>
            <w:r>
              <w:rPr>
                <w:sz w:val="19"/>
              </w:rPr>
              <w:t xml:space="preserve"> (</w:t>
            </w:r>
            <w:r>
              <w:rPr>
                <w:i/>
                <w:sz w:val="19"/>
              </w:rPr>
              <w:t>Dombroski</w:t>
            </w:r>
            <w:r>
              <w:rPr>
                <w:sz w:val="19"/>
              </w:rPr>
              <w:t>)</w:t>
            </w:r>
          </w:p>
        </w:tc>
        <w:tc>
          <w:tcPr>
            <w:tcW w:type="dxa" w:w="2016"/>
          </w:tcPr>
          <w:p>
            <w:r>
              <w:rPr>
                <w:sz w:val="19"/>
              </w:rPr>
            </w:r>
            <w:r>
              <w:rPr>
                <w:sz w:val="19"/>
              </w:rPr>
              <w:t>Injustice / abuse of form (actual fraud only for contract claims, § 21.223)</w:t>
            </w:r>
          </w:p>
        </w:tc>
        <w:tc>
          <w:tcPr>
            <w:tcW w:type="dxa" w:w="1728"/>
          </w:tcPr>
          <w:p>
            <w:r>
              <w:rPr>
                <w:sz w:val="19"/>
              </w:rPr>
            </w:r>
            <w:r>
              <w:rPr>
                <w:sz w:val="19"/>
              </w:rPr>
              <w:t>Sanction fraud or promote injustice</w:t>
            </w:r>
          </w:p>
        </w:tc>
      </w:tr>
      <w:tr>
        <w:tc>
          <w:tcPr>
            <w:tcW w:type="dxa" w:w="1728"/>
          </w:tcPr>
          <w:p>
            <w:r>
              <w:rPr>
                <w:sz w:val="19"/>
              </w:rPr>
            </w:r>
            <w:r>
              <w:rPr>
                <w:sz w:val="19"/>
              </w:rPr>
              <w:t>Formalities weight</w:t>
            </w:r>
          </w:p>
        </w:tc>
        <w:tc>
          <w:tcPr>
            <w:tcW w:type="dxa" w:w="1728"/>
          </w:tcPr>
          <w:p>
            <w:r>
              <w:rPr>
                <w:sz w:val="19"/>
              </w:rPr>
            </w:r>
            <w:r>
              <w:rPr>
                <w:sz w:val="19"/>
              </w:rPr>
              <w:t>Moderate</w:t>
            </w:r>
          </w:p>
        </w:tc>
        <w:tc>
          <w:tcPr>
            <w:tcW w:type="dxa" w:w="2160"/>
          </w:tcPr>
          <w:p>
            <w:r>
              <w:rPr>
                <w:sz w:val="19"/>
              </w:rPr>
            </w:r>
            <w:r>
              <w:rPr>
                <w:sz w:val="19"/>
              </w:rPr>
              <w:t>Reduced for LLCs (R.C. Ch. 1706)</w:t>
            </w:r>
          </w:p>
        </w:tc>
        <w:tc>
          <w:tcPr>
            <w:tcW w:type="dxa" w:w="2016"/>
          </w:tcPr>
          <w:p>
            <w:r>
              <w:rPr>
                <w:sz w:val="19"/>
              </w:rPr>
            </w:r>
            <w:r>
              <w:rPr>
                <w:sz w:val="19"/>
              </w:rPr>
              <w:t>Reduced for contract claims (§ 21.223(a)(3))</w:t>
            </w:r>
          </w:p>
        </w:tc>
        <w:tc>
          <w:tcPr>
            <w:tcW w:type="dxa" w:w="1728"/>
          </w:tcPr>
          <w:p>
            <w:r>
              <w:rPr>
                <w:sz w:val="19"/>
              </w:rPr>
            </w:r>
            <w:r>
              <w:rPr>
                <w:sz w:val="19"/>
              </w:rPr>
              <w:t>Moderate</w:t>
            </w:r>
          </w:p>
        </w:tc>
      </w:tr>
      <w:tr>
        <w:tc>
          <w:tcPr>
            <w:tcW w:type="dxa" w:w="1728"/>
          </w:tcPr>
          <w:p>
            <w:r>
              <w:rPr>
                <w:sz w:val="19"/>
              </w:rPr>
            </w:r>
            <w:r>
              <w:rPr>
                <w:sz w:val="19"/>
              </w:rPr>
              <w:t>SBE / enterprise theory</w:t>
            </w:r>
          </w:p>
        </w:tc>
        <w:tc>
          <w:tcPr>
            <w:tcW w:type="dxa" w:w="1728"/>
          </w:tcPr>
          <w:p>
            <w:r>
              <w:rPr>
                <w:sz w:val="19"/>
              </w:rPr>
            </w:r>
            <w:r>
              <w:rPr>
                <w:sz w:val="19"/>
              </w:rPr>
              <w:t>No</w:t>
            </w:r>
          </w:p>
        </w:tc>
        <w:tc>
          <w:tcPr>
            <w:tcW w:type="dxa" w:w="2160"/>
          </w:tcPr>
          <w:p>
            <w:r>
              <w:rPr>
                <w:sz w:val="19"/>
              </w:rPr>
            </w:r>
            <w:r>
              <w:rPr>
                <w:sz w:val="19"/>
              </w:rPr>
              <w:t>No</w:t>
            </w:r>
          </w:p>
        </w:tc>
        <w:tc>
          <w:tcPr>
            <w:tcW w:type="dxa" w:w="2016"/>
          </w:tcPr>
          <w:p>
            <w:r>
              <w:rPr>
                <w:sz w:val="19"/>
              </w:rPr>
            </w:r>
            <w:r>
              <w:rPr>
                <w:sz w:val="19"/>
              </w:rPr>
              <w:t>Effectively rejected (</w:t>
            </w:r>
            <w:r>
              <w:rPr>
                <w:i/>
                <w:sz w:val="19"/>
              </w:rPr>
              <w:t>SSP Partners</w:t>
            </w:r>
            <w:r>
              <w:rPr>
                <w:sz w:val="19"/>
              </w:rPr>
              <w:t>)</w:t>
            </w:r>
          </w:p>
        </w:tc>
        <w:tc>
          <w:tcPr>
            <w:tcW w:type="dxa" w:w="1728"/>
          </w:tcPr>
          <w:p>
            <w:r>
              <w:rPr>
                <w:sz w:val="19"/>
              </w:rPr>
            </w:r>
            <w:r>
              <w:rPr>
                <w:sz w:val="19"/>
              </w:rPr>
              <w:t>No</w:t>
            </w:r>
          </w:p>
        </w:tc>
      </w:tr>
      <w:tr>
        <w:tc>
          <w:tcPr>
            <w:tcW w:type="dxa" w:w="1728"/>
          </w:tcPr>
          <w:p>
            <w:r>
              <w:rPr>
                <w:sz w:val="19"/>
              </w:rPr>
            </w:r>
            <w:r>
              <w:rPr>
                <w:sz w:val="19"/>
              </w:rPr>
              <w:t>Likelihood of application</w:t>
            </w:r>
          </w:p>
        </w:tc>
        <w:tc>
          <w:tcPr>
            <w:tcW w:type="dxa" w:w="1728"/>
          </w:tcPr>
          <w:p>
            <w:r>
              <w:rPr>
                <w:sz w:val="19"/>
              </w:rPr>
            </w:r>
            <w:r>
              <w:rPr>
                <w:sz w:val="19"/>
              </w:rPr>
              <w:t>Remote</w:t>
            </w:r>
          </w:p>
        </w:tc>
        <w:tc>
          <w:tcPr>
            <w:tcW w:type="dxa" w:w="2160"/>
          </w:tcPr>
          <w:p>
            <w:r>
              <w:rPr>
                <w:sz w:val="19"/>
              </w:rPr>
            </w:r>
            <w:r>
              <w:rPr>
                <w:sz w:val="19"/>
              </w:rPr>
            </w:r>
            <w:r>
              <w:rPr>
                <w:b/>
                <w:sz w:val="19"/>
              </w:rPr>
              <w:t>Most likely (both matters)</w:t>
            </w:r>
            <w:r>
              <w:rPr>
                <w:sz w:val="19"/>
              </w:rPr>
            </w:r>
          </w:p>
        </w:tc>
        <w:tc>
          <w:tcPr>
            <w:tcW w:type="dxa" w:w="2016"/>
          </w:tcPr>
          <w:p>
            <w:r>
              <w:rPr>
                <w:sz w:val="19"/>
              </w:rPr>
            </w:r>
            <w:r>
              <w:rPr>
                <w:sz w:val="19"/>
              </w:rPr>
              <w:t>Fallback in Delgado</w:t>
            </w:r>
          </w:p>
        </w:tc>
        <w:tc>
          <w:tcPr>
            <w:tcW w:type="dxa" w:w="1728"/>
          </w:tcPr>
          <w:p>
            <w:r>
              <w:rPr>
                <w:sz w:val="19"/>
              </w:rPr>
            </w:r>
            <w:r>
              <w:rPr>
                <w:sz w:val="19"/>
              </w:rPr>
              <w:t>Unlikely (defers to Ohio)</w:t>
            </w:r>
          </w:p>
        </w:tc>
      </w:tr>
      <w:tr>
        <w:tc>
          <w:tcPr>
            <w:tcW w:type="dxa" w:w="1728"/>
          </w:tcPr>
          <w:p>
            <w:r>
              <w:rPr>
                <w:sz w:val="19"/>
              </w:rPr>
            </w:r>
            <w:r>
              <w:rPr>
                <w:sz w:val="19"/>
              </w:rPr>
              <w:t>Risk if applied — Delgado</w:t>
            </w:r>
          </w:p>
        </w:tc>
        <w:tc>
          <w:tcPr>
            <w:tcW w:type="dxa" w:w="1728"/>
          </w:tcPr>
          <w:p>
            <w:r>
              <w:rPr>
                <w:sz w:val="19"/>
              </w:rPr>
            </w:r>
            <w:r>
              <w:rPr>
                <w:sz w:val="19"/>
              </w:rPr>
              <w:t>Low-Moderate</w:t>
            </w:r>
          </w:p>
        </w:tc>
        <w:tc>
          <w:tcPr>
            <w:tcW w:type="dxa" w:w="2160"/>
          </w:tcPr>
          <w:p>
            <w:r>
              <w:rPr>
                <w:sz w:val="19"/>
              </w:rPr>
            </w:r>
            <w:r>
              <w:rPr>
                <w:sz w:val="19"/>
              </w:rPr>
              <w:t>Moderate</w:t>
            </w:r>
          </w:p>
        </w:tc>
        <w:tc>
          <w:tcPr>
            <w:tcW w:type="dxa" w:w="2016"/>
          </w:tcPr>
          <w:p>
            <w:r>
              <w:rPr>
                <w:sz w:val="19"/>
              </w:rPr>
            </w:r>
            <w:r>
              <w:rPr>
                <w:sz w:val="19"/>
              </w:rPr>
              <w:t>Moderate-High</w:t>
            </w:r>
          </w:p>
        </w:tc>
        <w:tc>
          <w:tcPr>
            <w:tcW w:type="dxa" w:w="1728"/>
          </w:tcPr>
          <w:p>
            <w:r>
              <w:rPr>
                <w:sz w:val="19"/>
              </w:rPr>
            </w:r>
            <w:r>
              <w:rPr>
                <w:sz w:val="19"/>
              </w:rPr>
              <w:t>Moderate-High</w:t>
            </w:r>
          </w:p>
        </w:tc>
      </w:tr>
      <w:tr>
        <w:tc>
          <w:tcPr>
            <w:tcW w:type="dxa" w:w="1728"/>
          </w:tcPr>
          <w:p>
            <w:r>
              <w:rPr>
                <w:sz w:val="19"/>
              </w:rPr>
            </w:r>
            <w:r>
              <w:rPr>
                <w:sz w:val="19"/>
              </w:rPr>
              <w:t>Risk if applied — IEPA</w:t>
            </w:r>
          </w:p>
        </w:tc>
        <w:tc>
          <w:tcPr>
            <w:tcW w:type="dxa" w:w="1728"/>
          </w:tcPr>
          <w:p>
            <w:r>
              <w:rPr>
                <w:sz w:val="19"/>
              </w:rPr>
            </w:r>
            <w:r>
              <w:rPr>
                <w:sz w:val="19"/>
              </w:rPr>
              <w:t>Moderate</w:t>
            </w:r>
          </w:p>
        </w:tc>
        <w:tc>
          <w:tcPr>
            <w:tcW w:type="dxa" w:w="2160"/>
          </w:tcPr>
          <w:p>
            <w:r>
              <w:rPr>
                <w:sz w:val="19"/>
              </w:rPr>
            </w:r>
            <w:r>
              <w:rPr>
                <w:sz w:val="19"/>
              </w:rPr>
              <w:t>Moderate-High</w:t>
            </w:r>
          </w:p>
        </w:tc>
        <w:tc>
          <w:tcPr>
            <w:tcW w:type="dxa" w:w="2016"/>
          </w:tcPr>
          <w:p>
            <w:r>
              <w:rPr>
                <w:sz w:val="19"/>
              </w:rPr>
            </w:r>
            <w:r>
              <w:rPr>
                <w:sz w:val="19"/>
              </w:rPr>
              <w:t>n/a</w:t>
            </w:r>
          </w:p>
        </w:tc>
        <w:tc>
          <w:tcPr>
            <w:tcW w:type="dxa" w:w="1728"/>
          </w:tcPr>
          <w:p>
            <w:r>
              <w:rPr>
                <w:sz w:val="19"/>
              </w:rPr>
            </w:r>
            <w:r>
              <w:rPr>
                <w:sz w:val="19"/>
              </w:rPr>
              <w:t>Moderate-High</w:t>
            </w:r>
          </w:p>
        </w:tc>
      </w:tr>
    </w:tbl>
    <w:p/>
    <w:p>
      <w:pPr>
        <w:pStyle w:val="Heading1"/>
      </w:pPr>
      <w:r>
        <w:t>VI. Direct Liability Theories (No Veil Piercing Required)</w:t>
      </w:r>
    </w:p>
    <w:p>
      <w:pPr>
        <w:pStyle w:val="Heading2"/>
      </w:pPr>
      <w:r>
        <w:t>A. Cascade as Designer of the HP-4400 (Texas Law)</w:t>
      </w:r>
    </w:p>
    <w:p>
      <w:r/>
      <w:r>
        <w:rPr>
          <w:b/>
        </w:rPr>
        <w:t>Statutory status.</w:t>
      </w:r>
      <w:r>
        <w:t xml:space="preserve"> Chapter 82 defines “manufacturer” to include a person who “designs, formulates, constructs, rebuilds, fabricates, produces, compounds, processes, or assembles any product” and places it in the stream of commerce (Tex. Civ. Prac. &amp; Rem. Code § 82.001(4)). The record establishes that Cascade’s engineering team designed the HP-4400 and specified the interlock. Pryor’s own GM wrote that Pryor “did not participate in the interlock design phase.” Cascade’s best counter-argument is that it did not itself place the product into the stream of commerce, because Pryor manufactured and sold it. That argument is weakened by several facts:</w:t>
      </w:r>
    </w:p>
    <w:p>
      <w:pPr>
        <w:pStyle w:val="ListBullet"/>
      </w:pPr>
      <w:r>
        <w:t>the Cascade logo on the nameplate;</w:t>
      </w:r>
    </w:p>
    <w:p>
      <w:pPr>
        <w:pStyle w:val="ListBullet"/>
      </w:pPr>
      <w:r>
        <w:t>Cascade letterhead on customer contracts;</w:t>
      </w:r>
    </w:p>
    <w:p>
      <w:pPr>
        <w:pStyle w:val="ListBullet"/>
      </w:pPr>
      <w:r>
        <w:t>Cascade processing of warranty claims; and</w:t>
      </w:r>
    </w:p>
    <w:p>
      <w:pPr>
        <w:pStyle w:val="ListBullet"/>
      </w:pPr>
      <w:r>
        <w:t>Choi’s direction to “proceed” with production.</w:t>
      </w:r>
    </w:p>
    <w:p>
      <w:r>
        <w:t>These facts also support an apparent-manufacturer argument (Restatement (Second) of Torts § 400; Restatement (Third) of Torts: Prods. Liab. § 14).</w:t>
      </w:r>
    </w:p>
    <w:p>
      <w:r/>
      <w:r>
        <w:rPr>
          <w:b/>
        </w:rPr>
        <w:t>Design defect elements (§ 82.005).</w:t>
      </w:r>
      <w:r>
        <w:t xml:space="preserve"> Plaintiffs must prove a safer alternative design that would have prevented or significantly reduced the risk of injury without substantially impairing utility, and that was economically and technologically feasible when the product left the manufacturer’s control. They must also prove producing cause. The Orvis chain is close to a ready-made exhibit on these elements:</w:t>
      </w:r>
    </w:p>
    <w:p>
      <w:pPr>
        <w:pStyle w:val="ListBullet"/>
      </w:pPr>
      <w:r>
        <w:t>a redundant relay monitoring circuit;</w:t>
      </w:r>
    </w:p>
    <w:p>
      <w:pPr>
        <w:pStyle w:val="ListBullet"/>
      </w:pPr>
      <w:r>
        <w:t>priced by Cascade itself at $4,200/unit, and by Pryor at $2,800/unit, on a $387,000 machine (about 0.7–1.1% of price);</w:t>
      </w:r>
    </w:p>
    <w:p>
      <w:pPr>
        <w:pStyle w:val="ListBullet"/>
      </w:pPr>
      <w:r>
        <w:t>achievable in 8–16 weeks; and</w:t>
      </w:r>
    </w:p>
    <w:p>
      <w:pPr>
        <w:pStyle w:val="ListBullet"/>
      </w:pPr>
      <w:r>
        <w:t>the “existing relay architecture from the HP-3800” as a basis for the redesign.</w:t>
      </w:r>
    </w:p>
    <w:p>
      <w:r>
        <w:t>Defense themes include:</w:t>
      </w:r>
    </w:p>
    <w:p>
      <w:pPr>
        <w:pStyle w:val="ListBullet"/>
      </w:pPr>
      <w:r>
        <w:t>the interlock track record (more than 200 units without incident);</w:t>
      </w:r>
    </w:p>
    <w:p>
      <w:pPr>
        <w:pStyle w:val="ListBullet"/>
      </w:pPr>
      <w:r>
        <w:t>SVP-400 validation up to 45 spm;</w:t>
      </w:r>
    </w:p>
    <w:p>
      <w:pPr>
        <w:pStyle w:val="ListBullet"/>
      </w:pPr>
      <w:r>
        <w:t>Choi’s documented concern that a redundant circuit could introduce new PLC handshake failure modes;</w:t>
      </w:r>
    </w:p>
    <w:p>
      <w:pPr>
        <w:pStyle w:val="ListBullet"/>
      </w:pPr>
      <w:r>
        <w:t>the non-applicability of 1910.217 to hydraulic presses;</w:t>
      </w:r>
    </w:p>
    <w:p>
      <w:pPr>
        <w:pStyle w:val="ListBullet"/>
      </w:pPr>
      <w:r>
        <w:t>Garza’s maintenance and workplace-safety responsibility; and</w:t>
      </w:r>
    </w:p>
    <w:p>
      <w:pPr>
        <w:pStyle w:val="ListBullet"/>
      </w:pPr>
      <w:r>
        <w:t>the possibility of misuse, bypass, or modification of the guard in the 20 months after sale, which requires immediate forensic inspection of the unit.</w:t>
      </w:r>
    </w:p>
    <w:p>
      <w:r/>
      <w:r>
        <w:rPr>
          <w:b/>
        </w:rPr>
        <w:t>Negligence.</w:t>
      </w:r>
      <w:r>
        <w:t xml:space="preserve"> Cascade owed a duty of reasonable care in design. The same facts support breach. A parent that affirmatively undertakes design of a subsidiary’s product is not shielded by the parent-subsidiary relationship. Liability attaches for its own conduct.</w:t>
      </w:r>
    </w:p>
    <w:p>
      <w:r/>
      <w:r>
        <w:rPr>
          <w:b/>
        </w:rPr>
        <w:t>Exemplary damages.</w:t>
      </w:r>
      <w:r>
        <w:t xml:space="preserve"> Gross negligence requires proof by clear and convincing evidence of objective extreme risk plus subjective awareness and conscious indifference (§§ 41.001(11), 41.003). A corporation is liable for exemplary damages for acts of a vice-principal, and Choi (a corporate VP with authority over design) likely qualifies. Plaintiffs’ most dangerous evidence consists of four points:</w:t>
      </w:r>
    </w:p>
    <w:p>
      <w:pPr>
        <w:pStyle w:val="ListBullet"/>
      </w:pPr>
      <w:r>
        <w:t>written notice of an amputation hazard;</w:t>
      </w:r>
    </w:p>
    <w:p>
      <w:pPr>
        <w:pStyle w:val="ListBullet"/>
      </w:pPr>
      <w:r>
        <w:t>a costed fix;</w:t>
      </w:r>
    </w:p>
    <w:p>
      <w:pPr>
        <w:pStyle w:val="ListBullet"/>
      </w:pPr>
      <w:r>
        <w:t>a decision justified partly by schedule pressure attributed to the CEO; and</w:t>
      </w:r>
    </w:p>
    <w:p>
      <w:pPr>
        <w:pStyle w:val="ListBullet"/>
      </w:pPr>
      <w:r>
        <w:t>silence from the legal department after being copied.</w:t>
      </w:r>
    </w:p>
    <w:p>
      <w:r/>
      <w:r>
        <w:rPr>
          <w:b/>
        </w:rPr>
        <w:t>Cap.</w:t>
      </w:r>
      <w:r>
        <w:t xml:space="preserve"> Tex. Civ. Prac. &amp; Rem. Code § 41.008(b) limits exemplary damages to the greater of (i) twice economic damages plus non-economic damages up to $750,000, or (ii) $200,000. On the pleaded $11.0 million in economic damages, the cap is about </w:t>
      </w:r>
      <w:r>
        <w:rPr>
          <w:b/>
        </w:rPr>
        <w:t>$22.0 million plus up to $750,000</w:t>
      </w:r>
      <w:r>
        <w:t xml:space="preserve">, far above the $7.5 million bucket pleaded. The cap does not apply to certain felonies (§ 41.008(c)), and none appears implicated. </w:t>
      </w:r>
      <w:r>
        <w:rPr>
          <w:b/>
        </w:rPr>
        <w:t>Risk: Moderate-High.</w:t>
      </w:r>
      <w:r/>
    </w:p>
    <w:p>
      <w:r/>
      <w:r>
        <w:rPr>
          <w:b/>
        </w:rPr>
        <w:t>Proportionate responsibility.</w:t>
      </w:r>
      <w:r>
        <w:t xml:space="preserve"> Chapter 33 permits submission of Garza (and Lone Star, if appropriate) for a percentage of responsibility. If Garza is a workers’-compensation subscriber, the exclusive-remedy bar (Tex. Lab. Code § 408.001) likely defeats plaintiffs’ direct claim against it. Garza can nonetheless be designated as a responsible third party.</w:t>
      </w:r>
    </w:p>
    <w:p>
      <w:r/>
      <w:r>
        <w:rPr>
          <w:b/>
        </w:rPr>
        <w:t>Individual exposure.</w:t>
      </w:r>
      <w:r>
        <w:t xml:space="preserve"> Texas holds corporate agents personally liable for their own torts (</w:t>
      </w:r>
      <w:r>
        <w:rPr>
          <w:i/>
        </w:rPr>
        <w:t>Leitch v. Hornsby</w:t>
      </w:r>
      <w:r>
        <w:t>, 935 S.W.2d 114 (Tex. 1996)). Choi, and potentially Dalworth, could be added as defendants. The D&amp;O policy’s subsidiary-product exclusion may leave them uninsured for indemnity, which creates conflicts that must be managed now (Part VII).</w:t>
      </w:r>
    </w:p>
    <w:p>
      <w:r/>
      <w:r>
        <w:rPr>
          <w:b/>
        </w:rPr>
        <w:t>Interaction with veil piercing.</w:t>
      </w:r>
      <w:r>
        <w:t xml:space="preserve"> Direct liability makes the veil-piercing fight largely academic as to </w:t>
      </w:r>
      <w:r>
        <w:rPr>
          <w:i/>
        </w:rPr>
        <w:t>liability</w:t>
      </w:r>
      <w:r>
        <w:t xml:space="preserve"> in </w:t>
      </w:r>
      <w:r>
        <w:rPr>
          <w:i/>
        </w:rPr>
        <w:t>Delgado</w:t>
      </w:r>
      <w:r>
        <w:t xml:space="preserve">. It remains important for (i) the IEPA matter, (ii) future HP-4400 claimants whose units may not trace to Choi’s decision in the same way, and (iii) discovery scope and jury narrative. </w:t>
      </w:r>
      <w:r>
        <w:rPr>
          <w:b/>
        </w:rPr>
        <w:t>The preliminary assessment’s question whether *Bestfoods* oversight defenses carry over to products liability is answered largely in the negative.</w:t>
      </w:r>
      <w:r>
        <w:t xml:space="preserve"> </w:t>
      </w:r>
      <w:r>
        <w:rPr>
          <w:i/>
        </w:rPr>
        <w:t>Bestfoods</w:t>
      </w:r>
      <w:r>
        <w:t xml:space="preserve"> protects a parent’s </w:t>
      </w:r>
      <w:r>
        <w:rPr>
          <w:i/>
        </w:rPr>
        <w:t>oversight</w:t>
      </w:r>
      <w:r>
        <w:t>, and it confirms direct liability when the parent itself conducts the harm-producing activity. Designing the product is that activity.</w:t>
      </w:r>
    </w:p>
    <w:p>
      <w:pPr>
        <w:pStyle w:val="Heading2"/>
      </w:pPr>
      <w:r>
        <w:t>B. Cascade as “Operator” of the Canton Facility (IEPA Count III)</w:t>
      </w:r>
    </w:p>
    <w:p>
      <w:r/>
      <w:r>
        <w:rPr>
          <w:b/>
        </w:rPr>
        <w:t>Threshold defense — jurisdiction and authority.</w:t>
      </w:r>
      <w:r>
        <w:t xml:space="preserve"> The Illinois Act and Illinois’s authorized RCRA program govern hazardous-waste activity within Illinois. Ohio EPA administers the authorized program for Ohio facilities (R.C. Chapter 3734). Several consequences follow:</w:t>
      </w:r>
    </w:p>
    <w:p>
      <w:pPr>
        <w:pStyle w:val="ListBullet"/>
      </w:pPr>
      <w:r>
        <w:t>The Complaint’s storage counts invoke 415 ILCS 5/21(d), which requires a permit “granted by the Agency,” for storage in Canton, Ohio.</w:t>
      </w:r>
    </w:p>
    <w:p>
      <w:pPr>
        <w:pStyle w:val="ListBullet"/>
      </w:pPr>
      <w:r>
        <w:t>Neither RCRA § 3006 nor the Illinois Act appears to authorize Illinois to penalize storage at an Ohio facility.</w:t>
      </w:r>
    </w:p>
    <w:p>
      <w:pPr>
        <w:pStyle w:val="ListBullet"/>
      </w:pPr>
      <w:r>
        <w:t>The only Illinois nexus pleaded is the receipt of manifested shipments in Peoria.</w:t>
      </w:r>
    </w:p>
    <w:p>
      <w:r/>
      <w:r>
        <w:rPr>
          <w:b/>
        </w:rPr>
        <w:t>Recommendations:</w:t>
      </w:r>
      <w:r/>
    </w:p>
    <w:p>
      <w:pPr>
        <w:pStyle w:val="ListNumber"/>
      </w:pPr>
      <w:r>
        <w:t>Challenge Counts I, III and IV to the extent predicated on storage, for lack of jurisdiction.</w:t>
      </w:r>
    </w:p>
    <w:p>
      <w:pPr>
        <w:pStyle w:val="ListNumber"/>
      </w:pPr>
      <w:r>
        <w:t xml:space="preserve">Challenge the Agency’s authority to impose a civil penalty administratively. Under the Illinois Act, penalties are generally imposed by the Pollution Control Board or a circuit court on complaint by the Attorney General or a State’s Attorney (see 415 ILCS 5/31, 5/42), not by the Agency itself. </w:t>
      </w:r>
      <w:r>
        <w:rPr>
          <w:i/>
        </w:rPr>
        <w:t>Illinois environmental counsel should confirm the procedural posture.</w:t>
      </w:r>
      <w:r/>
    </w:p>
    <w:p>
      <w:pPr>
        <w:pStyle w:val="ListNumber"/>
      </w:pPr>
      <w:r>
        <w:t>Assess and prepare for derivative exposure: Ohio EPA or U.S. EPA may pursue the storage violations. Positions taken now must be consistent with that likely next proceeding.</w:t>
      </w:r>
    </w:p>
    <w:p>
      <w:r/>
      <w:r>
        <w:rPr>
          <w:b/>
        </w:rPr>
        <w:t>Merits — the *Bestfoods* standard.</w:t>
      </w:r>
      <w:r>
        <w:t xml:space="preserve"> </w:t>
      </w:r>
      <w:r>
        <w:rPr>
          <w:i/>
        </w:rPr>
        <w:t>United States v. Bestfoods</w:t>
      </w:r>
      <w:r>
        <w:t xml:space="preserve">, 524 U.S. 51 (1998), distinguishes derivative liability (veil piercing) from direct “operator” liability. A parent operates a facility when it manages, directs, or conducts operations </w:t>
      </w:r>
      <w:r>
        <w:rPr>
          <w:i/>
        </w:rPr>
        <w:t>specifically related to pollution</w:t>
      </w:r>
      <w:r>
        <w:t xml:space="preserve">, such as the leakage or disposal of hazardous waste or decisions about compliance with environmental regulations. The Court also adopted a presumption that dual officers act on behalf of the subsidiary when acting in their subsidiary capacity. It singled out as potentially decisive the involvement of a </w:t>
      </w:r>
      <w:r>
        <w:rPr>
          <w:i/>
        </w:rPr>
        <w:t>parent agent who held no position with the subsidiary</w:t>
      </w:r>
      <w:r>
        <w:t xml:space="preserve"> in the facility’s environmental affairs. Although </w:t>
      </w:r>
      <w:r>
        <w:rPr>
          <w:i/>
        </w:rPr>
        <w:t>Bestfoods</w:t>
      </w:r>
      <w:r>
        <w:t xml:space="preserve"> construed CERCLA, courts and agencies apply its operator analysis to RCRA and to parallel state statutes. Applied to each Cascade actor:</w:t>
      </w:r>
    </w:p>
    <w:p>
      <w:pPr>
        <w:pStyle w:val="ListBullet"/>
      </w:pPr>
      <w:r/>
      <w:r>
        <w:rPr>
          <w:b/>
        </w:rPr>
        <w:t>Whitfield:</w:t>
      </w:r>
      <w:r>
        <w:t xml:space="preserve"> holds no Pryor office and issued a facility-specific storage directive. This is the paradigm identified in </w:t>
      </w:r>
      <w:r>
        <w:rPr>
          <w:i/>
        </w:rPr>
        <w:t>Bestfoods</w:t>
      </w:r>
      <w:r>
        <w:t xml:space="preserve">. </w:t>
      </w:r>
      <w:r>
        <w:rPr>
          <w:b/>
        </w:rPr>
        <w:t>Strong for the Agency.</w:t>
      </w:r>
      <w:r/>
    </w:p>
    <w:p>
      <w:pPr>
        <w:pStyle w:val="ListBullet"/>
      </w:pPr>
      <w:r/>
      <w:r>
        <w:rPr>
          <w:b/>
        </w:rPr>
        <w:t>Yun:</w:t>
      </w:r>
      <w:r>
        <w:t xml:space="preserve"> a Pryor authorized officer. Cascade can invoke the dual-officer presumption and argue that the budget denial was a Pryor act, and that budget-setting is classic parental oversight. The Agency will respond that Yun acted through “Cascade’s internal budget approval process” (Complaint ¶ 37), as Cascade CFO. </w:t>
      </w:r>
      <w:r>
        <w:rPr>
          <w:b/>
        </w:rPr>
        <w:t>Mixed.</w:t>
      </w:r>
      <w:r/>
    </w:p>
    <w:p>
      <w:pPr>
        <w:pStyle w:val="ListBullet"/>
      </w:pPr>
      <w:r/>
      <w:r>
        <w:rPr>
          <w:b/>
        </w:rPr>
        <w:t>The $50,000 capex threshold and centralized environmental department:</w:t>
      </w:r>
      <w:r>
        <w:t xml:space="preserve"> general policy-setting, which is not alone operator conduct. Combined with the above, it supports the claim. </w:t>
      </w:r>
      <w:r>
        <w:rPr>
          <w:b/>
        </w:rPr>
        <w:t>Supportive.</w:t>
      </w:r>
      <w:r/>
    </w:p>
    <w:p>
      <w:r/>
      <w:r>
        <w:rPr>
          <w:b/>
        </w:rPr>
        <w:t>Risk on the merits: High</w:t>
      </w:r>
      <w:r>
        <w:t xml:space="preserve"> (if jurisdiction exists).</w:t>
      </w:r>
    </w:p>
    <w:p>
      <w:pPr>
        <w:pStyle w:val="Heading2"/>
      </w:pPr>
      <w:r>
        <w:t>C. Additional Theories to Anticipate</w:t>
      </w:r>
    </w:p>
    <w:p>
      <w:pPr>
        <w:pStyle w:val="ListBullet"/>
      </w:pPr>
      <w:r/>
      <w:r>
        <w:rPr>
          <w:b/>
        </w:rPr>
        <w:t>Fraudulent transfer.</w:t>
      </w:r>
      <w:r>
        <w:t xml:space="preserve"> The Uniform Voidable Transactions Act as adopted in Ohio (R.C. Chapter 1336) and in Texas (Tex. Bus. &amp; Com. Code Ch. 24) reaches transfers made without reasonably equivalent value while the debtor was engaging in business with unreasonably small assets, or intended to incur debts beyond its ability to pay. Sweeps and distributions made after July 2022 (knowledge of the interlock risk) and after April 2023 (knowledge of Canton non-compliance) are the most exposed. Pryor’s book solvency is a defense, but contingent liabilities count.</w:t>
      </w:r>
    </w:p>
    <w:p>
      <w:pPr>
        <w:pStyle w:val="ListBullet"/>
      </w:pPr>
      <w:r/>
      <w:r>
        <w:rPr>
          <w:b/>
        </w:rPr>
        <w:t>Recharacterization and equitable subordination</w:t>
      </w:r>
      <w:r>
        <w:t xml:space="preserve"> of the $41.2 million “debt” in any Pryor insolvency.</w:t>
      </w:r>
    </w:p>
    <w:p>
      <w:pPr>
        <w:pStyle w:val="ListBullet"/>
      </w:pPr>
      <w:r/>
      <w:r>
        <w:rPr>
          <w:b/>
        </w:rPr>
        <w:t>Responsible corporate officer</w:t>
      </w:r>
      <w:r>
        <w:t xml:space="preserve"> doctrine for individual environmental exposure (Whitfield, Yun).</w:t>
      </w:r>
    </w:p>
    <w:p>
      <w:pPr>
        <w:pStyle w:val="ListBullet"/>
      </w:pPr>
      <w:r/>
      <w:r>
        <w:rPr>
          <w:b/>
        </w:rPr>
        <w:t>Post-sale duty to warn / retrofit.</w:t>
      </w:r>
      <w:r>
        <w:t xml:space="preserve"> Texas generally does not impose a common-law post-sale duty to recall. However, continued sale of HP-4400s after the Delgado incident without a fix would be powerful exemplary-damages evidence in future cases.</w:t>
      </w:r>
    </w:p>
    <w:p>
      <w:pPr>
        <w:pStyle w:val="Heading1"/>
      </w:pPr>
      <w:r>
        <w:t>VII. Insurance, Financial Capacity, and Procedural Risks</w:t>
      </w:r>
    </w:p>
    <w:p>
      <w:pPr>
        <w:pStyle w:val="Heading2"/>
      </w:pPr>
      <w:r>
        <w:t>A. Coverage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D9E2F3"/>
          </w:tcPr>
          <w:p>
            <w:r/>
            <w:r>
              <w:rPr>
                <w:b/>
                <w:sz w:val="19"/>
              </w:rPr>
              <w:t>Policy</w:t>
            </w:r>
          </w:p>
        </w:tc>
        <w:tc>
          <w:tcPr>
            <w:tcW w:type="dxa" w:w="1296"/>
            <w:shd w:val="clear" w:color="auto" w:fill="D9E2F3"/>
          </w:tcPr>
          <w:p>
            <w:r/>
            <w:r>
              <w:rPr>
                <w:b/>
                <w:sz w:val="19"/>
              </w:rPr>
              <w:t>Limit</w:t>
            </w:r>
          </w:p>
        </w:tc>
        <w:tc>
          <w:tcPr>
            <w:tcW w:type="dxa" w:w="1872"/>
            <w:shd w:val="clear" w:color="auto" w:fill="D9E2F3"/>
          </w:tcPr>
          <w:p>
            <w:r/>
            <w:r>
              <w:rPr>
                <w:b/>
                <w:sz w:val="19"/>
              </w:rPr>
              <w:t>Delgado</w:t>
            </w:r>
          </w:p>
        </w:tc>
        <w:tc>
          <w:tcPr>
            <w:tcW w:type="dxa" w:w="1584"/>
            <w:shd w:val="clear" w:color="auto" w:fill="D9E2F3"/>
          </w:tcPr>
          <w:p>
            <w:r/>
            <w:r>
              <w:rPr>
                <w:b/>
                <w:sz w:val="19"/>
              </w:rPr>
              <w:t>IEPA</w:t>
            </w:r>
          </w:p>
        </w:tc>
        <w:tc>
          <w:tcPr>
            <w:tcW w:type="dxa" w:w="2448"/>
            <w:shd w:val="clear" w:color="auto" w:fill="D9E2F3"/>
          </w:tcPr>
          <w:p>
            <w:r/>
            <w:r>
              <w:rPr>
                <w:b/>
                <w:sz w:val="19"/>
              </w:rPr>
              <w:t>Issues</w:t>
            </w:r>
          </w:p>
        </w:tc>
      </w:tr>
      <w:tr>
        <w:tc>
          <w:tcPr>
            <w:tcW w:type="dxa" w:w="2160"/>
          </w:tcPr>
          <w:p>
            <w:r>
              <w:rPr>
                <w:sz w:val="19"/>
              </w:rPr>
            </w:r>
            <w:r>
              <w:rPr>
                <w:sz w:val="19"/>
              </w:rPr>
              <w:t>Ridgeway CGL-2024-441788 (Pryor; Cascade AI)</w:t>
            </w:r>
          </w:p>
        </w:tc>
        <w:tc>
          <w:tcPr>
            <w:tcW w:type="dxa" w:w="1296"/>
          </w:tcPr>
          <w:p>
            <w:r>
              <w:rPr>
                <w:sz w:val="19"/>
              </w:rPr>
            </w:r>
            <w:r>
              <w:rPr>
                <w:sz w:val="19"/>
              </w:rPr>
              <w:t>$5M occ / $10M agg</w:t>
            </w:r>
          </w:p>
        </w:tc>
        <w:tc>
          <w:tcPr>
            <w:tcW w:type="dxa" w:w="1872"/>
          </w:tcPr>
          <w:p>
            <w:r>
              <w:rPr>
                <w:sz w:val="19"/>
              </w:rPr>
            </w:r>
            <w:r>
              <w:rPr>
                <w:sz w:val="19"/>
              </w:rPr>
              <w:t>Yes</w:t>
            </w:r>
          </w:p>
        </w:tc>
        <w:tc>
          <w:tcPr>
            <w:tcW w:type="dxa" w:w="1584"/>
          </w:tcPr>
          <w:p>
            <w:r>
              <w:rPr>
                <w:sz w:val="19"/>
              </w:rPr>
            </w:r>
            <w:r>
              <w:rPr>
                <w:sz w:val="19"/>
              </w:rPr>
              <w:t>No (fines/pollution excluded)</w:t>
            </w:r>
          </w:p>
        </w:tc>
        <w:tc>
          <w:tcPr>
            <w:tcW w:type="dxa" w:w="2448"/>
          </w:tcPr>
          <w:p>
            <w:r>
              <w:rPr>
                <w:sz w:val="19"/>
              </w:rPr>
            </w:r>
            <w:r>
              <w:rPr>
                <w:sz w:val="19"/>
              </w:rPr>
              <w:t>AI scope for Cascade design claims; punitive insurability; $10M aggregate shared with any other HP-4400 claims</w:t>
            </w:r>
          </w:p>
        </w:tc>
      </w:tr>
      <w:tr>
        <w:tc>
          <w:tcPr>
            <w:tcW w:type="dxa" w:w="2160"/>
          </w:tcPr>
          <w:p>
            <w:r>
              <w:rPr>
                <w:sz w:val="19"/>
              </w:rPr>
            </w:r>
            <w:r>
              <w:rPr>
                <w:sz w:val="19"/>
              </w:rPr>
              <w:t>Ridgeway UMB-2024-331205</w:t>
            </w:r>
          </w:p>
        </w:tc>
        <w:tc>
          <w:tcPr>
            <w:tcW w:type="dxa" w:w="1296"/>
          </w:tcPr>
          <w:p>
            <w:r>
              <w:rPr>
                <w:sz w:val="19"/>
              </w:rPr>
            </w:r>
            <w:r>
              <w:rPr>
                <w:sz w:val="19"/>
              </w:rPr>
              <w:t>$15M occ</w:t>
            </w:r>
          </w:p>
        </w:tc>
        <w:tc>
          <w:tcPr>
            <w:tcW w:type="dxa" w:w="1872"/>
          </w:tcPr>
          <w:p>
            <w:r>
              <w:rPr>
                <w:sz w:val="19"/>
              </w:rPr>
            </w:r>
            <w:r>
              <w:rPr>
                <w:sz w:val="19"/>
              </w:rPr>
              <w:t>Yes (follows form)</w:t>
            </w:r>
          </w:p>
        </w:tc>
        <w:tc>
          <w:tcPr>
            <w:tcW w:type="dxa" w:w="1584"/>
          </w:tcPr>
          <w:p>
            <w:r>
              <w:rPr>
                <w:sz w:val="19"/>
              </w:rPr>
            </w:r>
            <w:r>
              <w:rPr>
                <w:sz w:val="19"/>
              </w:rPr>
              <w:t>No</w:t>
            </w:r>
          </w:p>
        </w:tc>
        <w:tc>
          <w:tcPr>
            <w:tcW w:type="dxa" w:w="2448"/>
          </w:tcPr>
          <w:p>
            <w:r>
              <w:rPr>
                <w:sz w:val="19"/>
              </w:rPr>
            </w:r>
            <w:r>
              <w:rPr>
                <w:sz w:val="19"/>
              </w:rPr>
              <w:t>Whether defense costs erode limits; SIR mechanics</w:t>
            </w:r>
          </w:p>
        </w:tc>
      </w:tr>
      <w:tr>
        <w:tc>
          <w:tcPr>
            <w:tcW w:type="dxa" w:w="2160"/>
          </w:tcPr>
          <w:p>
            <w:r>
              <w:rPr>
                <w:sz w:val="19"/>
              </w:rPr>
            </w:r>
            <w:r>
              <w:rPr>
                <w:sz w:val="19"/>
              </w:rPr>
              <w:t>Evergreen D&amp;O DO-2024-009812 (Cascade)</w:t>
            </w:r>
          </w:p>
        </w:tc>
        <w:tc>
          <w:tcPr>
            <w:tcW w:type="dxa" w:w="1296"/>
          </w:tcPr>
          <w:p>
            <w:r>
              <w:rPr>
                <w:sz w:val="19"/>
              </w:rPr>
            </w:r>
            <w:r>
              <w:rPr>
                <w:sz w:val="19"/>
              </w:rPr>
              <w:t>$25M</w:t>
            </w:r>
          </w:p>
        </w:tc>
        <w:tc>
          <w:tcPr>
            <w:tcW w:type="dxa" w:w="1872"/>
          </w:tcPr>
          <w:p>
            <w:r>
              <w:rPr>
                <w:sz w:val="19"/>
              </w:rPr>
            </w:r>
            <w:r>
              <w:rPr>
                <w:sz w:val="19"/>
              </w:rPr>
              <w:t>Indemnity excluded (subsidiary product BI exclusion); defense of governance “wrongful act” allegations arguable</w:t>
            </w:r>
          </w:p>
        </w:tc>
        <w:tc>
          <w:tcPr>
            <w:tcW w:type="dxa" w:w="1584"/>
          </w:tcPr>
          <w:p>
            <w:r>
              <w:rPr>
                <w:sz w:val="19"/>
              </w:rPr>
            </w:r>
            <w:r>
              <w:rPr>
                <w:sz w:val="19"/>
              </w:rPr>
              <w:t>Possibly defense costs for individuals; penalty excluded</w:t>
            </w:r>
          </w:p>
        </w:tc>
        <w:tc>
          <w:tcPr>
            <w:tcW w:type="dxa" w:w="2448"/>
          </w:tcPr>
          <w:p>
            <w:r>
              <w:rPr>
                <w:sz w:val="19"/>
              </w:rPr>
            </w:r>
            <w:r>
              <w:rPr>
                <w:sz w:val="19"/>
              </w:rPr>
              <w:t>Coverage for individual officers if named; notice</w:t>
            </w:r>
          </w:p>
        </w:tc>
      </w:tr>
    </w:tbl>
    <w:p/>
    <w:p>
      <w:r/>
      <w:r>
        <w:rPr>
          <w:b/>
        </w:rPr>
        <w:t>Our view differs from the Risk memo in two respects:</w:t>
      </w:r>
      <w:r/>
    </w:p>
    <w:p>
      <w:pPr>
        <w:pStyle w:val="ListBullet"/>
      </w:pPr>
      <w:r/>
      <w:r>
        <w:rPr>
          <w:b/>
        </w:rPr>
        <w:t>The additional-insured endorsement.</w:t>
      </w:r>
      <w:r>
        <w:t xml:space="preserve"> It covers liability “arising out of” Pryor’s products. Texas and Ohio courts generally read “arising out of” broadly, as but-for or incidental causation. A claim that Cascade negligently designed </w:t>
      </w:r>
      <w:r>
        <w:rPr>
          <w:i/>
        </w:rPr>
        <w:t>Pryor’s</w:t>
      </w:r>
      <w:r>
        <w:t xml:space="preserve"> product arguably arises out of Pryor’s product. The “very high / fully uninsured” rating for Scenario 3 is therefore likely overstated. Coverage counsel should press the carrier for a defense of Cascade under reservation.</w:t>
      </w:r>
    </w:p>
    <w:p>
      <w:pPr>
        <w:pStyle w:val="ListBullet"/>
      </w:pPr>
      <w:r/>
      <w:r>
        <w:rPr>
          <w:b/>
        </w:rPr>
        <w:t>Punitive damages.</w:t>
      </w:r>
      <w:r>
        <w:t xml:space="preserve"> If Ohio law governs the Ridgeway policies, Ohio R.C. 3937.182 bars insurance for punitive or exemplary damages. Texas permits coverage in some circumstances (</w:t>
      </w:r>
      <w:r>
        <w:rPr>
          <w:i/>
        </w:rPr>
        <w:t>Fairfield Ins. Co. v. Stephens Martin Paving, LP</w:t>
      </w:r>
      <w:r>
        <w:t>, 246 S.W.3d 653 (Tex. 2008)). Because the Petition bundles punitive damages with pain and suffering in a single $7.5 million figure, and the Chapter 41 cap would allow a far larger award, uninsured punitive exposure is the most likely route to a Cascade-level payment.</w:t>
      </w:r>
    </w:p>
    <w:p>
      <w:pPr>
        <w:pStyle w:val="Heading2"/>
      </w:pPr>
      <w:r>
        <w:t>B. Financial Capacity and the “Injustice” Narrative</w:t>
      </w:r>
    </w:p>
    <w:p>
      <w:r>
        <w:t>Pryor currently has the following capacity:</w:t>
      </w:r>
    </w:p>
    <w:p>
      <w:pPr>
        <w:pStyle w:val="ListBullet"/>
      </w:pPr>
      <w:r>
        <w:t>$21.7 million of member’s equity;</w:t>
      </w:r>
    </w:p>
    <w:p>
      <w:pPr>
        <w:pStyle w:val="ListBullet"/>
      </w:pPr>
      <w:r>
        <w:t>$1.85 million of cash, falling every year;</w:t>
      </w:r>
    </w:p>
    <w:p>
      <w:pPr>
        <w:pStyle w:val="ListBullet"/>
      </w:pPr>
      <w:r>
        <w:t>a 2.64x current ratio; and</w:t>
      </w:r>
    </w:p>
    <w:p>
      <w:pPr>
        <w:pStyle w:val="ListBullet"/>
      </w:pPr>
      <w:r>
        <w:t>$20 million of insurance.</w:t>
      </w:r>
    </w:p>
    <w:p>
      <w:r>
        <w:t xml:space="preserve">A verdict inside limits, plus the $2.4 million penalty, is payable by Pryor. That is the strongest answer to the injustice and injury prongs of every veil-piercing test. It is also why </w:t>
      </w:r>
      <w:r>
        <w:rPr>
          <w:b/>
        </w:rPr>
        <w:t>recapitalizing Pryor now with equity</w:t>
      </w:r>
      <w:r>
        <w:t xml:space="preserve"> is both prudent and defensively useful. Every additional dollar Cascade advances as “debt” strengthens the undercapitalization theme.</w:t>
      </w:r>
    </w:p>
    <w:p>
      <w:pPr>
        <w:pStyle w:val="Heading2"/>
      </w:pPr>
      <w:r>
        <w:t>C. Procedural and Ethical Risks Requiring Immediate Action</w:t>
      </w:r>
    </w:p>
    <w:p>
      <w:pPr>
        <w:pStyle w:val="ListBullet"/>
      </w:pPr>
      <w:r/>
      <w:r>
        <w:rPr>
          <w:b/>
        </w:rPr>
        <w:t>IEPA answer deadline:</w:t>
      </w:r>
      <w:r>
        <w:t xml:space="preserve"> 45 days from service. Confirm the service date and whether an answer, extension, or appearance was filed. If not, move immediately to prevent or set aside default, while preserving the jurisdictional objections.</w:t>
      </w:r>
    </w:p>
    <w:p>
      <w:pPr>
        <w:pStyle w:val="ListBullet"/>
      </w:pPr>
      <w:r/>
      <w:r>
        <w:rPr>
          <w:b/>
        </w:rPr>
        <w:t>Delgado answer:</w:t>
      </w:r>
      <w:r>
        <w:t xml:space="preserve"> due by 10:00 a.m. on the Monday following 20 days after service (Tex. R. Civ. P. 99(b)). Decide on the special appearance before anything else is filed (Rule 120a due-order-of-pleading).</w:t>
      </w:r>
    </w:p>
    <w:p>
      <w:pPr>
        <w:pStyle w:val="ListBullet"/>
      </w:pPr>
      <w:r/>
      <w:r>
        <w:rPr>
          <w:b/>
        </w:rPr>
        <w:t>Joint representation conflict:</w:t>
      </w:r>
      <w:r>
        <w:t xml:space="preserve"> Cascade and Pryor have divergent interests:</w:t>
      </w:r>
    </w:p>
    <w:p>
      <w:pPr>
        <w:pStyle w:val="ListBullet2"/>
      </w:pPr>
      <w:r>
        <w:t>Pryor’s best defense is “Cascade designed it and overruled us.”</w:t>
      </w:r>
    </w:p>
    <w:p>
      <w:pPr>
        <w:pStyle w:val="ListBullet2"/>
      </w:pPr>
      <w:r>
        <w:t>Cascade’s veil defense is that Pryor is genuinely separate.</w:t>
      </w:r>
    </w:p>
    <w:p>
      <w:pPr>
        <w:pStyle w:val="ListBullet2"/>
      </w:pPr>
      <w:r>
        <w:t>Pryor may hold claims against Cascade (contribution/indemnity; recovery of swept cash under Agreement § 2.3).</w:t>
      </w:r>
    </w:p>
    <w:p>
      <w:r>
        <w:t xml:space="preserve">Pryor should have </w:t>
      </w:r>
      <w:r>
        <w:rPr>
          <w:b/>
        </w:rPr>
        <w:t>independent counsel</w:t>
      </w:r>
      <w:r>
        <w:t xml:space="preserve"> selected by an independent Pryor manager. Joint representation, if it continues at all, requires informed written consent after full disclosure (Tex. Disciplinary R. Prof’l Conduct 1.06; Ohio Prof. Cond. R. 1.7). Orvis, Choi, Whitfield and Yun should receive </w:t>
      </w:r>
      <w:r>
        <w:rPr>
          <w:i/>
        </w:rPr>
        <w:t>Upjohn</w:t>
      </w:r>
      <w:r>
        <w:t xml:space="preserve"> warnings, and separate counsel should be evaluated for each.</w:t>
      </w:r>
    </w:p>
    <w:p>
      <w:pPr>
        <w:pStyle w:val="ListBullet"/>
      </w:pPr>
      <w:r/>
      <w:r>
        <w:rPr>
          <w:b/>
        </w:rPr>
        <w:t>Witness and whistleblower handling:</w:t>
      </w:r>
      <w:r>
        <w:t xml:space="preserve"> plaintiffs evidently possess the Orvis chain. No adverse employment action should be taken against Orvis, Tarlton, or the Canton facility manager. Any such step risks retaliation claims and devastating jury optics.</w:t>
      </w:r>
    </w:p>
    <w:p>
      <w:pPr>
        <w:pStyle w:val="ListBullet"/>
      </w:pPr>
      <w:r/>
      <w:r>
        <w:rPr>
          <w:b/>
        </w:rPr>
        <w:t>Preservation:</w:t>
      </w:r>
      <w:r>
        <w:t xml:space="preserve"> the litigation hold must cover:</w:t>
      </w:r>
    </w:p>
    <w:p>
      <w:pPr>
        <w:pStyle w:val="ListBullet2"/>
      </w:pPr>
      <w:r>
        <w:t>EDS-HP4400-Rev3 and all revisions;</w:t>
      </w:r>
    </w:p>
    <w:p>
      <w:pPr>
        <w:pStyle w:val="ListBullet2"/>
      </w:pPr>
      <w:r>
        <w:t>SVP-400 test data;</w:t>
      </w:r>
    </w:p>
    <w:p>
      <w:pPr>
        <w:pStyle w:val="ListBullet2"/>
      </w:pPr>
      <w:r>
        <w:t>QA Memo PM-QA-2022-0047;</w:t>
      </w:r>
    </w:p>
    <w:p>
      <w:pPr>
        <w:pStyle w:val="ListBullet2"/>
      </w:pPr>
      <w:r>
        <w:t>all HP-3200/3800/4400 field data;</w:t>
      </w:r>
    </w:p>
    <w:p>
      <w:pPr>
        <w:pStyle w:val="ListBullet2"/>
      </w:pPr>
      <w:r>
        <w:t>the Whitfield Memorandum and budget request/denial;</w:t>
      </w:r>
    </w:p>
    <w:p>
      <w:pPr>
        <w:pStyle w:val="ListBullet2"/>
      </w:pPr>
      <w:r>
        <w:t>treasury sweep records and ledgers; and</w:t>
      </w:r>
    </w:p>
    <w:p>
      <w:pPr>
        <w:pStyle w:val="ListBullet2"/>
      </w:pPr>
      <w:r>
        <w:t>Cascade servers hosting pryor-mfg.com.</w:t>
      </w:r>
    </w:p>
    <w:p>
      <w:r>
        <w:t>Do not migrate or decommission any system (including the planned email separation) until forensic images are taken.</w:t>
      </w:r>
    </w:p>
    <w:p>
      <w:pPr>
        <w:pStyle w:val="ListBullet"/>
      </w:pPr>
      <w:r/>
      <w:r>
        <w:rPr>
          <w:b/>
        </w:rPr>
        <w:t>Consistent positions:</w:t>
      </w:r>
      <w:r>
        <w:t xml:space="preserve"> positions taken before the IEPA (for example, “Yun acted for Pryor,” or “Cascade merely oversees”) will be offered in Harris County, and the reverse is equally true. A single coordinating counsel should approve all filings in both matters.</w:t>
      </w:r>
    </w:p>
    <w:p>
      <w:pPr>
        <w:pStyle w:val="Heading1"/>
      </w:pPr>
      <w:r>
        <w:t>VIII. Remediation Recommendations</w:t>
      </w:r>
    </w:p>
    <w:p>
      <w:r>
        <w:t>The preliminary assessment correctly warns that prospective reforms cannot cure 2022–2024 conduct. Reforms can nonetheless do four things:</w:t>
      </w:r>
    </w:p>
    <w:p>
      <w:pPr>
        <w:pStyle w:val="ListBullet"/>
      </w:pPr>
      <w:r>
        <w:t>reduce exposure for future claims (including other HP-4400 units);</w:t>
      </w:r>
    </w:p>
    <w:p>
      <w:pPr>
        <w:pStyle w:val="ListBullet"/>
      </w:pPr>
      <w:r>
        <w:t>limit exemplary-damages narratives;</w:t>
      </w:r>
    </w:p>
    <w:p>
      <w:pPr>
        <w:pStyle w:val="ListBullet"/>
      </w:pPr>
      <w:r>
        <w:t>support penalty mitigation; and</w:t>
      </w:r>
    </w:p>
    <w:p>
      <w:pPr>
        <w:pStyle w:val="ListBullet"/>
      </w:pPr>
      <w:r>
        <w:t>restore genuine separateness going forward.</w:t>
      </w:r>
    </w:p>
    <w:p>
      <w:r>
        <w:t>We refine and sequence the preliminary recommendations below. Several items are new: the safety retrofit, the conflicts steps, the reconciliation of accounting errors, and the receivable issue. Remedial product changes are generally inadmissible to prove defect or culpability under Tex. R. Evid. 407. Governance reforms enjoy less certain protection, so they should be adopted with counsel-drafted, non-admission recitals.</w:t>
      </w:r>
    </w:p>
    <w:p>
      <w:pPr>
        <w:pStyle w:val="Heading2"/>
      </w:pPr>
      <w:r>
        <w:t>A. Immediate (within 30 days)</w:t>
      </w:r>
    </w:p>
    <w:p>
      <w:pPr>
        <w:pStyle w:val="ListNumber"/>
      </w:pPr>
      <w:r/>
      <w:r>
        <w:rPr>
          <w:b/>
        </w:rPr>
        <w:t>HP-4400 field-safety program.</w:t>
      </w:r>
      <w:r>
        <w:t xml:space="preserve"> Commission an independent engineering evaluation of the interlock (including 1910.217 and ANSI B11.2 analysis). If it is warranted, implement a redundant-relay retrofit and customer safety notice for all fielded units, and suspend shipments of unmodified units. This is the single most important step for protecting people and limiting future exemplary exposure.</w:t>
      </w:r>
    </w:p>
    <w:p>
      <w:pPr>
        <w:pStyle w:val="ListNumber"/>
      </w:pPr>
      <w:r/>
      <w:r>
        <w:rPr>
          <w:b/>
        </w:rPr>
        <w:t>Litigation procedure.</w:t>
      </w:r>
      <w:r>
        <w:t xml:space="preserve"> Resolve the IEPA default question. Decide on the special appearance. Tender defense to Ridgeway for both Pryor and Cascade (as additional insured). Give notice to Evergreen. Retain separate coverage counsel.</w:t>
      </w:r>
    </w:p>
    <w:p>
      <w:pPr>
        <w:pStyle w:val="ListNumber"/>
      </w:pPr>
      <w:r/>
      <w:r>
        <w:rPr>
          <w:b/>
        </w:rPr>
        <w:t>Conflicts.</w:t>
      </w:r>
      <w:r>
        <w:t xml:space="preserve"> Appoint independent counsel for Pryor. Provide </w:t>
      </w:r>
      <w:r>
        <w:rPr>
          <w:i/>
        </w:rPr>
        <w:t>Upjohn</w:t>
      </w:r>
      <w:r>
        <w:t xml:space="preserve"> warnings to key individuals and evaluate separate counsel for them. Document informed consent for any continued joint representation.</w:t>
      </w:r>
    </w:p>
    <w:p>
      <w:pPr>
        <w:pStyle w:val="ListNumber"/>
      </w:pPr>
      <w:r/>
      <w:r>
        <w:rPr>
          <w:b/>
        </w:rPr>
        <w:t>Preservation.</w:t>
      </w:r>
      <w:r>
        <w:t xml:space="preserve"> Issue or refresh the litigation hold and forensically image relevant systems.</w:t>
      </w:r>
    </w:p>
    <w:p>
      <w:pPr>
        <w:pStyle w:val="ListNumber"/>
      </w:pPr>
      <w:r/>
      <w:r>
        <w:rPr>
          <w:b/>
        </w:rPr>
        <w:t>Correct the record internally.</w:t>
      </w:r>
      <w:r>
        <w:t xml:space="preserve"> Circulate a corrected financial fact sheet ($31.6 million sweep, not $49.5 million; $21.7 million total equity; 1.90x IC-debt-to-equity; Form 1065 status). Direct forensic review of the FY2024 retained-earnings movement, the $12.5 million December-sweep timing adjustment, and the management-fee accounting treatment.</w:t>
      </w:r>
    </w:p>
    <w:p>
      <w:pPr>
        <w:pStyle w:val="ListNumber"/>
      </w:pPr>
      <w:r/>
      <w:r>
        <w:rPr>
          <w:b/>
        </w:rPr>
        <w:t>Acquisition file.</w:t>
      </w:r>
      <w:r>
        <w:t xml:space="preserve"> Obtain the June 2, 2014 closing documents to determine whether the acquired business was contributed to Pryor as capital, which would contradict the “$3.5 million” undercapitalization theme.</w:t>
      </w:r>
    </w:p>
    <w:p>
      <w:pPr>
        <w:pStyle w:val="ListNumber"/>
      </w:pPr>
      <w:r/>
      <w:r>
        <w:rPr>
          <w:b/>
        </w:rPr>
        <w:t>Canton compliance.</w:t>
      </w:r>
      <w:r>
        <w:t xml:space="preserve"> Pryor, acting through its own authority, should immediately fund the $340,000 compliant-storage project (or more if needed). It should also retain an independent environmental consultant and engage Ohio EPA as appropriate. This mitigates penalty factors under 415 ILCS 5/42(h) and any Ohio proceeding.</w:t>
      </w:r>
    </w:p>
    <w:p>
      <w:pPr>
        <w:pStyle w:val="Heading2"/>
      </w:pPr>
      <w:r>
        <w:t>B. Near Term (30–120 days)</w:t>
      </w:r>
    </w:p>
    <w:p>
      <w:pPr>
        <w:pStyle w:val="ListNumber"/>
      </w:pPr>
      <w:r/>
      <w:r>
        <w:rPr>
          <w:b/>
        </w:rPr>
        <w:t>Independent governance.</w:t>
      </w:r>
      <w:r>
        <w:t xml:space="preserve"> Amend the Operating Agreement to create a board of managers with at least two independent managers (not Cascade officers or employees). Give the board authority over Pryor’s budget, safety, environmental compliance, and approval of intercompany transactions, and have it keep minutes. Raise the capex consent threshold to a level appropriate to a $214 million business, and limit Cascade member consent to fundamental matters.</w:t>
      </w:r>
    </w:p>
    <w:p>
      <w:pPr>
        <w:pStyle w:val="ListNumber"/>
      </w:pPr>
      <w:r/>
      <w:r>
        <w:rPr>
          <w:b/>
        </w:rPr>
        <w:t>Officers.</w:t>
      </w:r>
      <w:r>
        <w:t xml:space="preserve"> Resolve Orvis’s dual role. Appoint a Pryor CFO or controller, an environmental compliance officer with facility budget authority, and access to independent Pryor counsel, none of whom are Cascade officers. Revoke or confine Yun’s and Colter’s authorized-officer designations.</w:t>
      </w:r>
    </w:p>
    <w:p>
      <w:pPr>
        <w:pStyle w:val="ListNumber"/>
      </w:pPr>
      <w:r/>
      <w:r>
        <w:rPr>
          <w:b/>
        </w:rPr>
        <w:t>Recapitalization.</w:t>
      </w:r>
      <w:r>
        <w:t xml:space="preserve"> Make an equity contribution and/or convert a substantial portion of the $41.2 million intercompany balance to equity, sized by a financial advisor to Pryor’s product-liability and environmental risk profile. Fund the IEPA penalty (if ultimately payable) through equity, never new debt.</w:t>
      </w:r>
    </w:p>
    <w:p>
      <w:pPr>
        <w:pStyle w:val="ListNumber"/>
      </w:pPr>
      <w:r/>
      <w:r>
        <w:rPr>
          <w:b/>
        </w:rPr>
        <w:t>Cash Management Agreement amendment.</w:t>
      </w:r>
      <w:r>
        <w:t xml:space="preserve"> Specifically:</w:t>
      </w:r>
    </w:p>
    <w:p>
      <w:pPr>
        <w:pStyle w:val="ListBullet2"/>
      </w:pPr>
      <w:r>
        <w:t>impose a minimum operating reserve tied to operating expenses, debt service, and contingent liabilities;</w:t>
      </w:r>
    </w:p>
    <w:p>
      <w:pPr>
        <w:pStyle w:val="ListBullet2"/>
      </w:pPr>
      <w:r>
        <w:t>require independent-manager approval of distributions;</w:t>
      </w:r>
    </w:p>
    <w:p>
      <w:pPr>
        <w:pStyle w:val="ListBullet2"/>
      </w:pPr>
      <w:r>
        <w:t>delete the “sole discretion” return language in § 2.3, and treat swept balances as a documented Cascade payable to Pryor with interest;</w:t>
      </w:r>
    </w:p>
    <w:p>
      <w:pPr>
        <w:pStyle w:val="ListBullet2"/>
      </w:pPr>
      <w:r>
        <w:t>give Pryor audit rights; and</w:t>
      </w:r>
    </w:p>
    <w:p>
      <w:pPr>
        <w:pStyle w:val="ListBullet2"/>
      </w:pPr>
      <w:r>
        <w:t>provide mutual termination rights.</w:t>
      </w:r>
    </w:p>
    <w:p>
      <w:r>
        <w:t>Management fees should be approved as distributions only in compliance with Ohio LLC distribution limits.</w:t>
      </w:r>
    </w:p>
    <w:p>
      <w:pPr>
        <w:pStyle w:val="ListNumber"/>
      </w:pPr>
      <w:r/>
      <w:r>
        <w:rPr>
          <w:b/>
        </w:rPr>
        <w:t>Intercompany debt documentation.</w:t>
      </w:r>
      <w:r>
        <w:t xml:space="preserve"> Execute a going-forward loan agreement and promissory note with market terms, maturity, amortization, and covenants, validated by an independent rate study. Do </w:t>
      </w:r>
      <w:r>
        <w:rPr>
          <w:b/>
        </w:rPr>
        <w:t>not</w:t>
      </w:r>
      <w:r>
        <w:t xml:space="preserve"> backdate or create documents purporting to memorialize past terms.</w:t>
      </w:r>
    </w:p>
    <w:p>
      <w:pPr>
        <w:pStyle w:val="ListNumber"/>
      </w:pPr>
      <w:r/>
      <w:r>
        <w:rPr>
          <w:b/>
        </w:rPr>
        <w:t>Services and transfer pricing.</w:t>
      </w:r>
      <w:r>
        <w:t xml:space="preserve"> Enter a written shared-services agreement priced by an independent transfer-pricing study. Stonebridge Hartwell is Cascade’s auditor and should not perform it, because doing so raises independence concerns. Retain a separate firm.</w:t>
      </w:r>
    </w:p>
    <w:p>
      <w:pPr>
        <w:pStyle w:val="Heading2"/>
      </w:pPr>
      <w:r>
        <w:t>C. Longer Term (120–365 days)</w:t>
      </w:r>
    </w:p>
    <w:p>
      <w:pPr>
        <w:pStyle w:val="ListNumber"/>
      </w:pPr>
      <w:r/>
      <w:r>
        <w:rPr>
          <w:b/>
        </w:rPr>
        <w:t>Branding and identity.</w:t>
      </w:r>
      <w:r>
        <w:t xml:space="preserve"> Separate Pryor’s identity:</w:t>
      </w:r>
    </w:p>
    <w:p>
      <w:pPr>
        <w:pStyle w:val="ListBullet2"/>
      </w:pPr>
      <w:r>
        <w:t>Pryor letterhead and signature blocks;</w:t>
      </w:r>
    </w:p>
    <w:p>
      <w:pPr>
        <w:pStyle w:val="ListBullet2"/>
      </w:pPr>
      <w:r>
        <w:t>Pryor’s Akron address on business cards;</w:t>
      </w:r>
    </w:p>
    <w:p>
      <w:pPr>
        <w:pStyle w:val="ListBullet2"/>
      </w:pPr>
      <w:r>
        <w:t>Pryor exterior signage;</w:t>
      </w:r>
    </w:p>
    <w:p>
      <w:pPr>
        <w:pStyle w:val="ListBullet2"/>
      </w:pPr>
      <w:r>
        <w:t>Pryor-administered warranty handling; and</w:t>
      </w:r>
    </w:p>
    <w:p>
      <w:pPr>
        <w:pStyle w:val="ListBullet2"/>
      </w:pPr>
      <w:r>
        <w:t>removal of “A Cascade Industrial Company” from future production (coordinate timing with counsel given pending litigation).</w:t>
      </w:r>
    </w:p>
    <w:p>
      <w:pPr>
        <w:pStyle w:val="ListNumber"/>
      </w:pPr>
      <w:r/>
      <w:r>
        <w:rPr>
          <w:b/>
        </w:rPr>
        <w:t>IT and procurement.</w:t>
      </w:r>
      <w:r>
        <w:t xml:space="preserve"> Separate pryor-mfg.com hosting </w:t>
      </w:r>
      <w:r>
        <w:rPr>
          <w:i/>
        </w:rPr>
        <w:t>after</w:t>
      </w:r>
      <w:r>
        <w:t xml:space="preserve"> preservation. Have Pryor sign its own vendor contracts, using Cascade group purchasing only under a written agency agreement.</w:t>
      </w:r>
    </w:p>
    <w:p>
      <w:pPr>
        <w:pStyle w:val="ListNumber"/>
      </w:pPr>
      <w:r/>
      <w:r>
        <w:rPr>
          <w:b/>
        </w:rPr>
        <w:t>Design authority.</w:t>
      </w:r>
      <w:r>
        <w:t xml:space="preserve"> Establish a written engineering services agreement under which Cascade provides design services </w:t>
      </w:r>
      <w:r>
        <w:rPr>
          <w:i/>
        </w:rPr>
        <w:t>to</w:t>
      </w:r>
      <w:r>
        <w:t xml:space="preserve"> Pryor. Pryor should hold final safety sign-off authority and a documented escalation path, so that a Pryor safety objection cannot be overruled by a Cascade officer without independent Pryor review.</w:t>
      </w:r>
    </w:p>
    <w:p>
      <w:pPr>
        <w:pStyle w:val="ListNumber"/>
      </w:pPr>
      <w:r/>
      <w:r>
        <w:rPr>
          <w:b/>
        </w:rPr>
        <w:t>Insurance architecture.</w:t>
      </w:r>
      <w:r>
        <w:t xml:space="preserve"> Take the following steps:</w:t>
      </w:r>
    </w:p>
    <w:p>
      <w:pPr>
        <w:pStyle w:val="ListBullet2"/>
      </w:pPr>
      <w:r>
        <w:t>Procure parent-level products and excess coverage.</w:t>
      </w:r>
    </w:p>
    <w:p>
      <w:pPr>
        <w:pStyle w:val="ListBullet2"/>
      </w:pPr>
      <w:r>
        <w:t>Obtain a pollution legal liability policy.</w:t>
      </w:r>
    </w:p>
    <w:p>
      <w:pPr>
        <w:pStyle w:val="ListBullet2"/>
      </w:pPr>
      <w:r>
        <w:t>Evaluate limits adequacy for the heavy-machinery portfolio. The $10 million CGL aggregate is thin if more HP-4400 claims emerge.</w:t>
      </w:r>
    </w:p>
    <w:p>
      <w:pPr>
        <w:pStyle w:val="ListNumber"/>
      </w:pPr>
      <w:r/>
      <w:r>
        <w:rPr>
          <w:b/>
        </w:rPr>
        <w:t>Group-wide review.</w:t>
      </w:r>
      <w:r>
        <w:t xml:space="preserve"> Audit the other 13 subsidiaries for the same template: sole-member management, sweep with no reserve, undocumented debt, and parent branding. The same exposure likely exists across the group.</w:t>
      </w:r>
    </w:p>
    <w:p>
      <w:pPr>
        <w:pStyle w:val="Heading1"/>
      </w:pPr>
      <w:r>
        <w:t>IX. Recommended Litigation Positions</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D9E2F3"/>
          </w:tcPr>
          <w:p>
            <w:r/>
            <w:r>
              <w:rPr>
                <w:b/>
                <w:sz w:val="19"/>
              </w:rPr>
              <w:t>Proceeding</w:t>
            </w:r>
          </w:p>
        </w:tc>
        <w:tc>
          <w:tcPr>
            <w:tcW w:type="dxa" w:w="5184"/>
            <w:shd w:val="clear" w:color="auto" w:fill="D9E2F3"/>
          </w:tcPr>
          <w:p>
            <w:r/>
            <w:r>
              <w:rPr>
                <w:b/>
                <w:sz w:val="19"/>
              </w:rPr>
              <w:t>Position</w:t>
            </w:r>
          </w:p>
        </w:tc>
        <w:tc>
          <w:tcPr>
            <w:tcW w:type="dxa" w:w="2592"/>
            <w:shd w:val="clear" w:color="auto" w:fill="D9E2F3"/>
          </w:tcPr>
          <w:p>
            <w:r/>
            <w:r>
              <w:rPr>
                <w:b/>
                <w:sz w:val="19"/>
              </w:rPr>
              <w:t>Timing</w:t>
            </w:r>
          </w:p>
        </w:tc>
      </w:tr>
      <w:tr>
        <w:tc>
          <w:tcPr>
            <w:tcW w:type="dxa" w:w="1584"/>
          </w:tcPr>
          <w:p>
            <w:r>
              <w:rPr>
                <w:sz w:val="19"/>
              </w:rPr>
            </w:r>
            <w:r>
              <w:rPr>
                <w:sz w:val="19"/>
              </w:rPr>
              <w:t>Delgado</w:t>
            </w:r>
          </w:p>
        </w:tc>
        <w:tc>
          <w:tcPr>
            <w:tcW w:type="dxa" w:w="5184"/>
          </w:tcPr>
          <w:p>
            <w:r>
              <w:rPr>
                <w:sz w:val="19"/>
              </w:rPr>
            </w:r>
            <w:r>
              <w:rPr>
                <w:sz w:val="19"/>
              </w:rPr>
              <w:t>Special appearance only if new facts justify it (otherwise general answer with verified denials as appropriate)</w:t>
            </w:r>
          </w:p>
        </w:tc>
        <w:tc>
          <w:tcPr>
            <w:tcW w:type="dxa" w:w="2592"/>
          </w:tcPr>
          <w:p>
            <w:r>
              <w:rPr>
                <w:sz w:val="19"/>
              </w:rPr>
            </w:r>
            <w:r>
              <w:rPr>
                <w:sz w:val="19"/>
              </w:rPr>
              <w:t>Before any other filing</w:t>
            </w:r>
          </w:p>
        </w:tc>
      </w:tr>
      <w:tr>
        <w:tc>
          <w:tcPr>
            <w:tcW w:type="dxa" w:w="1584"/>
          </w:tcPr>
          <w:p>
            <w:r>
              <w:rPr>
                <w:sz w:val="19"/>
              </w:rPr>
            </w:r>
            <w:r>
              <w:rPr>
                <w:sz w:val="19"/>
              </w:rPr>
              <w:t>Delgado</w:t>
            </w:r>
          </w:p>
        </w:tc>
        <w:tc>
          <w:tcPr>
            <w:tcW w:type="dxa" w:w="5184"/>
          </w:tcPr>
          <w:p>
            <w:r>
              <w:rPr>
                <w:sz w:val="19"/>
              </w:rPr>
            </w:r>
            <w:r>
              <w:rPr>
                <w:sz w:val="19"/>
              </w:rPr>
              <w:t>Rule 91a motion / partial summary judgment on the SBE cause of action (</w:t>
            </w:r>
            <w:r>
              <w:rPr>
                <w:i/>
                <w:sz w:val="19"/>
              </w:rPr>
              <w:t>SSP Partners</w:t>
            </w:r>
            <w:r>
              <w:rPr>
                <w:sz w:val="19"/>
              </w:rPr>
              <w:t>)</w:t>
            </w:r>
          </w:p>
        </w:tc>
        <w:tc>
          <w:tcPr>
            <w:tcW w:type="dxa" w:w="2592"/>
          </w:tcPr>
          <w:p>
            <w:r>
              <w:rPr>
                <w:sz w:val="19"/>
              </w:rPr>
            </w:r>
            <w:r>
              <w:rPr>
                <w:sz w:val="19"/>
              </w:rPr>
              <w:t>Within 60 days of service of the Petition (Rule 91a.3), or later by MSJ</w:t>
            </w:r>
          </w:p>
        </w:tc>
      </w:tr>
      <w:tr>
        <w:tc>
          <w:tcPr>
            <w:tcW w:type="dxa" w:w="1584"/>
          </w:tcPr>
          <w:p>
            <w:r>
              <w:rPr>
                <w:sz w:val="19"/>
              </w:rPr>
            </w:r>
            <w:r>
              <w:rPr>
                <w:sz w:val="19"/>
              </w:rPr>
              <w:t>Delgado</w:t>
            </w:r>
          </w:p>
        </w:tc>
        <w:tc>
          <w:tcPr>
            <w:tcW w:type="dxa" w:w="5184"/>
          </w:tcPr>
          <w:p>
            <w:r>
              <w:rPr>
                <w:sz w:val="19"/>
              </w:rPr>
            </w:r>
            <w:r>
              <w:rPr>
                <w:sz w:val="19"/>
              </w:rPr>
              <w:t>Choice-of-law motion: Ohio law governs veil piercing (Tex. Bus. Orgs. Code §§ 1.102–1.105); abandon Delaware</w:t>
            </w:r>
          </w:p>
        </w:tc>
        <w:tc>
          <w:tcPr>
            <w:tcW w:type="dxa" w:w="2592"/>
          </w:tcPr>
          <w:p>
            <w:r>
              <w:rPr>
                <w:sz w:val="19"/>
              </w:rPr>
            </w:r>
            <w:r>
              <w:rPr>
                <w:sz w:val="19"/>
              </w:rPr>
              <w:t>Early, before expert designations</w:t>
            </w:r>
          </w:p>
        </w:tc>
      </w:tr>
      <w:tr>
        <w:tc>
          <w:tcPr>
            <w:tcW w:type="dxa" w:w="1584"/>
          </w:tcPr>
          <w:p>
            <w:r>
              <w:rPr>
                <w:sz w:val="19"/>
              </w:rPr>
            </w:r>
            <w:r>
              <w:rPr>
                <w:sz w:val="19"/>
              </w:rPr>
              <w:t>Delgado</w:t>
            </w:r>
          </w:p>
        </w:tc>
        <w:tc>
          <w:tcPr>
            <w:tcW w:type="dxa" w:w="5184"/>
          </w:tcPr>
          <w:p>
            <w:r>
              <w:rPr>
                <w:sz w:val="19"/>
              </w:rPr>
            </w:r>
            <w:r>
              <w:rPr>
                <w:sz w:val="19"/>
              </w:rPr>
              <w:t>Correct the $49.5M double-count and equity figures in responses; prepare a financial expert on solvency and capitalization</w:t>
            </w:r>
          </w:p>
        </w:tc>
        <w:tc>
          <w:tcPr>
            <w:tcW w:type="dxa" w:w="2592"/>
          </w:tcPr>
          <w:p>
            <w:r>
              <w:rPr>
                <w:sz w:val="19"/>
              </w:rPr>
            </w:r>
            <w:r>
              <w:rPr>
                <w:sz w:val="19"/>
              </w:rPr>
              <w:t>With disclosures</w:t>
            </w:r>
          </w:p>
        </w:tc>
      </w:tr>
      <w:tr>
        <w:tc>
          <w:tcPr>
            <w:tcW w:type="dxa" w:w="1584"/>
          </w:tcPr>
          <w:p>
            <w:r>
              <w:rPr>
                <w:sz w:val="19"/>
              </w:rPr>
            </w:r>
            <w:r>
              <w:rPr>
                <w:sz w:val="19"/>
              </w:rPr>
              <w:t>Delgado</w:t>
            </w:r>
          </w:p>
        </w:tc>
        <w:tc>
          <w:tcPr>
            <w:tcW w:type="dxa" w:w="5184"/>
          </w:tcPr>
          <w:p>
            <w:r>
              <w:rPr>
                <w:sz w:val="19"/>
              </w:rPr>
            </w:r>
            <w:r>
              <w:rPr>
                <w:sz w:val="19"/>
              </w:rPr>
              <w:t>Immediate protocol-based forensic inspection of the Garza HP-4400 unit; responsible-third-party designation of Garza</w:t>
            </w:r>
          </w:p>
        </w:tc>
        <w:tc>
          <w:tcPr>
            <w:tcW w:type="dxa" w:w="2592"/>
          </w:tcPr>
          <w:p>
            <w:r>
              <w:rPr>
                <w:sz w:val="19"/>
              </w:rPr>
            </w:r>
            <w:r>
              <w:rPr>
                <w:sz w:val="19"/>
              </w:rPr>
              <w:t>Immediately; RTP motion ≥60 days before trial</w:t>
            </w:r>
          </w:p>
        </w:tc>
      </w:tr>
      <w:tr>
        <w:tc>
          <w:tcPr>
            <w:tcW w:type="dxa" w:w="1584"/>
          </w:tcPr>
          <w:p>
            <w:r>
              <w:rPr>
                <w:sz w:val="19"/>
              </w:rPr>
            </w:r>
            <w:r>
              <w:rPr>
                <w:sz w:val="19"/>
              </w:rPr>
              <w:t>Delgado</w:t>
            </w:r>
          </w:p>
        </w:tc>
        <w:tc>
          <w:tcPr>
            <w:tcW w:type="dxa" w:w="5184"/>
          </w:tcPr>
          <w:p>
            <w:r>
              <w:rPr>
                <w:sz w:val="19"/>
              </w:rPr>
            </w:r>
            <w:r>
              <w:rPr>
                <w:sz w:val="19"/>
              </w:rPr>
              <w:t>Engineering expert on the interlock, 1910.217 applicability, and ANSI B11.2</w:t>
            </w:r>
          </w:p>
        </w:tc>
        <w:tc>
          <w:tcPr>
            <w:tcW w:type="dxa" w:w="2592"/>
          </w:tcPr>
          <w:p>
            <w:r>
              <w:rPr>
                <w:sz w:val="19"/>
              </w:rPr>
            </w:r>
            <w:r>
              <w:rPr>
                <w:sz w:val="19"/>
              </w:rPr>
              <w:t>Immediately</w:t>
            </w:r>
          </w:p>
        </w:tc>
      </w:tr>
      <w:tr>
        <w:tc>
          <w:tcPr>
            <w:tcW w:type="dxa" w:w="1584"/>
          </w:tcPr>
          <w:p>
            <w:r>
              <w:rPr>
                <w:sz w:val="19"/>
              </w:rPr>
            </w:r>
            <w:r>
              <w:rPr>
                <w:sz w:val="19"/>
              </w:rPr>
              <w:t>IEPA</w:t>
            </w:r>
          </w:p>
        </w:tc>
        <w:tc>
          <w:tcPr>
            <w:tcW w:type="dxa" w:w="5184"/>
          </w:tcPr>
          <w:p>
            <w:r>
              <w:rPr>
                <w:sz w:val="19"/>
              </w:rPr>
            </w:r>
            <w:r>
              <w:rPr>
                <w:sz w:val="19"/>
              </w:rPr>
              <w:t>Jurisdictional / authority objections to storage-based counts; preserve all defenses in any answer</w:t>
            </w:r>
          </w:p>
        </w:tc>
        <w:tc>
          <w:tcPr>
            <w:tcW w:type="dxa" w:w="2592"/>
          </w:tcPr>
          <w:p>
            <w:r>
              <w:rPr>
                <w:sz w:val="19"/>
              </w:rPr>
            </w:r>
            <w:r>
              <w:rPr>
                <w:sz w:val="19"/>
              </w:rPr>
              <w:t>Immediately (deadline check)</w:t>
            </w:r>
          </w:p>
        </w:tc>
      </w:tr>
      <w:tr>
        <w:tc>
          <w:tcPr>
            <w:tcW w:type="dxa" w:w="1584"/>
          </w:tcPr>
          <w:p>
            <w:r>
              <w:rPr>
                <w:sz w:val="19"/>
              </w:rPr>
            </w:r>
            <w:r>
              <w:rPr>
                <w:sz w:val="19"/>
              </w:rPr>
              <w:t>IEPA</w:t>
            </w:r>
          </w:p>
        </w:tc>
        <w:tc>
          <w:tcPr>
            <w:tcW w:type="dxa" w:w="5184"/>
          </w:tcPr>
          <w:p>
            <w:r>
              <w:rPr>
                <w:sz w:val="19"/>
              </w:rPr>
            </w:r>
            <w:r>
              <w:rPr>
                <w:sz w:val="19"/>
              </w:rPr>
              <w:t>Merits: dual-officer presumption for Yun; distinguish oversight; Ohio law for Count IV</w:t>
            </w:r>
          </w:p>
        </w:tc>
        <w:tc>
          <w:tcPr>
            <w:tcW w:type="dxa" w:w="2592"/>
          </w:tcPr>
          <w:p>
            <w:r>
              <w:rPr>
                <w:sz w:val="19"/>
              </w:rPr>
            </w:r>
            <w:r>
              <w:rPr>
                <w:sz w:val="19"/>
              </w:rPr>
              <w:t>With answer/hearing request</w:t>
            </w:r>
          </w:p>
        </w:tc>
      </w:tr>
      <w:tr>
        <w:tc>
          <w:tcPr>
            <w:tcW w:type="dxa" w:w="1584"/>
          </w:tcPr>
          <w:p>
            <w:r>
              <w:rPr>
                <w:sz w:val="19"/>
              </w:rPr>
            </w:r>
            <w:r>
              <w:rPr>
                <w:sz w:val="19"/>
              </w:rPr>
              <w:t>IEPA</w:t>
            </w:r>
          </w:p>
        </w:tc>
        <w:tc>
          <w:tcPr>
            <w:tcW w:type="dxa" w:w="5184"/>
          </w:tcPr>
          <w:p>
            <w:r>
              <w:rPr>
                <w:sz w:val="19"/>
              </w:rPr>
            </w:r>
            <w:r>
              <w:rPr>
                <w:sz w:val="19"/>
              </w:rPr>
              <w:t>Explore resolution after independent remediation funding by Pryor; coordinate with Ohio EPA</w:t>
            </w:r>
          </w:p>
        </w:tc>
        <w:tc>
          <w:tcPr>
            <w:tcW w:type="dxa" w:w="2592"/>
          </w:tcPr>
          <w:p>
            <w:r>
              <w:rPr>
                <w:sz w:val="19"/>
              </w:rPr>
            </w:r>
            <w:r>
              <w:rPr>
                <w:sz w:val="19"/>
              </w:rPr>
              <w:t>After jurisdictional motion</w:t>
            </w:r>
          </w:p>
        </w:tc>
      </w:tr>
    </w:tbl>
    <w:p/>
    <w:p>
      <w:pPr>
        <w:pStyle w:val="Heading1"/>
      </w:pPr>
      <w:r>
        <w:t>X. Limitations and Verification Items</w:t>
      </w:r>
    </w:p>
    <w:p>
      <w:pPr>
        <w:pStyle w:val="ListBullet"/>
      </w:pPr>
      <w:r>
        <w:t>This memorandum relies solely on the eight documents listed in Part III. We have not reviewed the Operating Agreement, the 2014 acquisition documents, the insurance policy forms, the Whitfield Memorandum, QA Memo PM-QA-2022-0047, or EDS-HP4400-Rev3. Each should be obtained.</w:t>
      </w:r>
    </w:p>
    <w:p>
      <w:pPr>
        <w:pStyle w:val="ListBullet"/>
      </w:pPr>
      <w:r>
        <w:t>Case and statutory citations reflect our understanding of the governing authorities and must be cite-checked and updated (including subsequent history) before use in any filing. We flag in particular:</w:t>
      </w:r>
    </w:p>
    <w:p>
      <w:pPr>
        <w:pStyle w:val="ListBullet2"/>
      </w:pPr>
      <w:r>
        <w:t>the Ohio R.C. Chapter 1706 pin cites;</w:t>
      </w:r>
    </w:p>
    <w:p>
      <w:pPr>
        <w:pStyle w:val="ListBullet2"/>
      </w:pPr>
      <w:r>
        <w:t>the scope of Tex. Bus. Orgs. Code §§ 1.104–1.105 as applied to tort veil piercing;</w:t>
      </w:r>
    </w:p>
    <w:p>
      <w:pPr>
        <w:pStyle w:val="ListBullet2"/>
      </w:pPr>
      <w:r>
        <w:t>the post-</w:t>
      </w:r>
      <w:r>
        <w:rPr>
          <w:i/>
        </w:rPr>
        <w:t>SSP Partners</w:t>
      </w:r>
      <w:r>
        <w:t xml:space="preserve"> appellate landscape;</w:t>
      </w:r>
    </w:p>
    <w:p>
      <w:pPr>
        <w:pStyle w:val="ListBullet2"/>
      </w:pPr>
      <w:r>
        <w:t>Illinois procedural rules on administrative penalties; and</w:t>
      </w:r>
    </w:p>
    <w:p>
      <w:pPr>
        <w:pStyle w:val="ListBullet2"/>
      </w:pPr>
      <w:r>
        <w:t>the insurability of punitive damages under the policies’ governing law.</w:t>
      </w:r>
    </w:p>
    <w:p>
      <w:pPr>
        <w:pStyle w:val="ListBullet"/>
      </w:pPr>
      <w:r>
        <w:t>Probability and risk ratings are professional judgments on an incomplete, pre-discovery record. They will change as facts develop, particularly with the forensic inspection of the Delgado press and the accounting review.</w:t>
      </w:r>
    </w:p>
    <w:p>
      <w:pPr>
        <w:pStyle w:val="ListBullet"/>
      </w:pPr>
      <w:r>
        <w:t>Several source documents contain internal inconsistencies (Part III.E). No figure should be attested to in a verified pleading or discovery response until it has been reconciled.</w:t>
      </w:r>
    </w:p>
    <w:p/>
    <w:p>
      <w:r>
        <w:t>Office of the General Counsel — Litigation Research</w:t>
      </w:r>
    </w:p>
    <w:p>
      <w:r>
        <w:t>Cascade Industrial Holdings, Inc.</w:t>
      </w:r>
    </w:p>
    <w:p>
      <w:r/>
      <w:r>
        <w:rPr>
          <w:i/>
        </w:rPr>
        <w:t>Privileged &amp; Confidential — Attorney Work Product</w:t>
      </w:r>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