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46"/>
        </w:rPr>
        <w:t>PRIVILEGE DESIGNATION REPORT</w:t>
      </w:r>
    </w:p>
    <w:p>
      <w:pPr>
        <w:jc w:val="center"/>
      </w:pPr>
      <w:r>
        <w:rPr>
          <w:b/>
          <w:sz w:val="26"/>
        </w:rPr>
        <w:t>Huang v. Greenleaf Consumer Products, Inc.</w:t>
      </w:r>
    </w:p>
    <w:p>
      <w:pPr>
        <w:jc w:val="center"/>
      </w:pPr>
      <w:r>
        <w:rPr>
          <w:sz w:val="20"/>
        </w:rPr>
        <w:t>Case No. 5:24-cv-04187-RLK (N.D. Cal., San Jose Division)</w:t>
        <w:br/>
      </w:r>
      <w:r>
        <w:rPr>
          <w:sz w:val="18"/>
        </w:rPr>
        <w:t>Review of 18 supplied documents  |  Prepared for attorney review</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2448"/>
            <w:vAlign w:val="center"/>
            <w:shd w:fill="17365D"/>
          </w:tcPr>
          <w:p>
            <w:pPr>
              <w:jc w:val="center"/>
            </w:pPr>
            <w:r>
              <w:rPr>
                <w:b/>
                <w:color w:val="FFFFFF"/>
                <w:sz w:val="16"/>
              </w:rPr>
              <w:t>Privileged — Withhold</w:t>
            </w:r>
          </w:p>
        </w:tc>
        <w:tc>
          <w:tcPr>
            <w:tcW w:type="dxa" w:w="2448"/>
            <w:vAlign w:val="center"/>
            <w:shd w:fill="17365D"/>
          </w:tcPr>
          <w:p>
            <w:pPr>
              <w:jc w:val="center"/>
            </w:pPr>
            <w:r>
              <w:rPr>
                <w:b/>
                <w:color w:val="FFFFFF"/>
                <w:sz w:val="16"/>
              </w:rPr>
              <w:t>Withhold with Caveats</w:t>
            </w:r>
          </w:p>
        </w:tc>
        <w:tc>
          <w:tcPr>
            <w:tcW w:type="dxa" w:w="2448"/>
            <w:vAlign w:val="center"/>
            <w:shd w:fill="17365D"/>
          </w:tcPr>
          <w:p>
            <w:pPr>
              <w:jc w:val="center"/>
            </w:pPr>
            <w:r>
              <w:rPr>
                <w:b/>
                <w:color w:val="FFFFFF"/>
                <w:sz w:val="16"/>
              </w:rPr>
              <w:t>Requires Further Review</w:t>
            </w:r>
          </w:p>
        </w:tc>
        <w:tc>
          <w:tcPr>
            <w:tcW w:type="dxa" w:w="2448"/>
            <w:vAlign w:val="center"/>
            <w:shd w:fill="17365D"/>
          </w:tcPr>
          <w:p>
            <w:pPr>
              <w:jc w:val="center"/>
            </w:pPr>
            <w:r>
              <w:rPr>
                <w:b/>
                <w:color w:val="FFFFFF"/>
                <w:sz w:val="16"/>
              </w:rPr>
              <w:t>Not Privileged — Produce</w:t>
            </w:r>
          </w:p>
        </w:tc>
      </w:tr>
      <w:tr>
        <w:tc>
          <w:tcPr>
            <w:tcW w:type="dxa" w:w="2448"/>
            <w:shd w:fill="EAF1F8"/>
          </w:tcPr>
          <w:p>
            <w:pPr>
              <w:jc w:val="center"/>
            </w:pPr>
            <w:r>
              <w:rPr>
                <w:b/>
                <w:color w:val="1F4E79"/>
                <w:sz w:val="22"/>
              </w:rPr>
              <w:t>5 documents</w:t>
            </w:r>
          </w:p>
        </w:tc>
        <w:tc>
          <w:tcPr>
            <w:tcW w:type="dxa" w:w="2448"/>
            <w:shd w:fill="EAF1F8"/>
          </w:tcPr>
          <w:p>
            <w:pPr>
              <w:jc w:val="center"/>
            </w:pPr>
            <w:r>
              <w:rPr>
                <w:b/>
                <w:color w:val="1F4E79"/>
                <w:sz w:val="22"/>
              </w:rPr>
              <w:t>5 documents</w:t>
            </w:r>
          </w:p>
        </w:tc>
        <w:tc>
          <w:tcPr>
            <w:tcW w:type="dxa" w:w="2448"/>
            <w:shd w:fill="EAF1F8"/>
          </w:tcPr>
          <w:p>
            <w:pPr>
              <w:jc w:val="center"/>
            </w:pPr>
            <w:r>
              <w:rPr>
                <w:b/>
                <w:color w:val="1F4E79"/>
                <w:sz w:val="22"/>
              </w:rPr>
              <w:t>2 documents</w:t>
            </w:r>
          </w:p>
        </w:tc>
        <w:tc>
          <w:tcPr>
            <w:tcW w:type="dxa" w:w="2448"/>
            <w:shd w:fill="EAF1F8"/>
          </w:tcPr>
          <w:p>
            <w:pPr>
              <w:jc w:val="center"/>
            </w:pPr>
            <w:r>
              <w:rPr>
                <w:b/>
                <w:color w:val="1F4E79"/>
                <w:sz w:val="22"/>
              </w:rPr>
              <w:t>6 documents</w:t>
            </w:r>
          </w:p>
        </w:tc>
      </w:tr>
    </w:tbl>
    <w:p/>
    <w:p>
      <w:pPr>
        <w:pStyle w:val="Heading1"/>
      </w:pPr>
      <w:r>
        <w:t>1. Executive Summary</w:t>
      </w:r>
    </w:p>
    <w:p>
      <w:r>
        <w:t>This report provides document-by-document privilege recommendations for the 18 files supplied in the workspace. Five documents are recommended for full withholding; five warrant a limited or conditional claim with segregation or redaction; two require further review before any final designation; and six are not privileged on the supplied record. The designations are recommendations for counsel’s review, not final production instructions.</w:t>
      </w:r>
    </w:p>
    <w:p>
      <w:r>
        <w:t>The most significant issues are (1) the apparent disclosure of Priya Nandakumar’s legal-risk email in full to independent consultant Dr. Kenji Moritani, which likely waives protection for that communication; (2) the March 2021 Rennick–Tsao chain, which is facially a confidential attorney-client communication but must be escalated for crime-fraud review; (3) the potential common-interest protection for the Bridger–Cascade counsel email; and (4) separating privileged litigation/legal material from otherwise nonprivileged business content in the Board deck, invoice, mixed-purpose reformulation email, and claw-back file.</w:t>
      </w:r>
    </w:p>
    <w:p>
      <w:pPr>
        <w:pStyle w:val="Heading1"/>
      </w:pPr>
      <w:r>
        <w:t>2. Scope and Review Method</w:t>
      </w:r>
    </w:p>
    <w:p>
      <w:r>
        <w:t>The review applies the supplied Harwell Bridger &amp; Koss LLP Privilege Review Protocol and the facts stated in each document. It distinguishes attorney-client communications made for legal advice from ordinary business material, and work product prepared in anticipation of litigation from pre-litigation regulatory advice. Privilege labels and confidentiality legends were treated as relevant context, not as dispositive.</w:t>
      </w:r>
    </w:p>
    <w:p>
      <w:r>
        <w:t>No Bates numbers were supplied for these files. The companion workbook therefore uses filenames as provisional document identifiers; replace them with assigned Bates numbers before service. This review addresses privilege only. Responsiveness, relevance, confidentiality, other objections, and production format remain separate questions.</w:t>
      </w:r>
    </w:p>
    <w:p>
      <w:r>
        <w:t>The supplied draft-privilege-log.xlsx contains a pending-batch tab describing documents that are not included as separate source files in the 18-document set. This report does not make determinations or create log entries for those absent documents based solely on the draft log’s descriptions.</w:t>
      </w:r>
    </w:p>
    <w:p>
      <w:pPr>
        <w:pStyle w:val="Heading1"/>
      </w:pPr>
      <w:r>
        <w:t>3. Document-by-Document Designations</w:t>
      </w:r>
    </w:p>
    <w:p>
      <w:pPr>
        <w:pStyle w:val="Heading2"/>
      </w:pPr>
      <w:r>
        <w:t>1. competitive-market-analysis.docx</w:t>
      </w:r>
    </w:p>
    <w:p>
      <w:r>
        <w:rPr>
          <w:b/>
        </w:rPr>
        <w:t xml:space="preserve">Recommended designation: </w:t>
      </w:r>
      <w:r>
        <w:rPr>
          <w:b/>
        </w:rPr>
        <w:t>Not Privileged — Produce</w:t>
      </w:r>
    </w:p>
    <w:p>
      <w:r>
        <w:rPr>
          <w:b/>
        </w:rPr>
        <w:t xml:space="preserve">Assessment: </w:t>
      </w:r>
      <w:r>
        <w:t>Marketing-department competitive analysis prepared for internal brand strategy. No attorney involvement or legal-advice purpose is shown. The privilege stamp alone does not establish privilege.</w:t>
      </w:r>
    </w:p>
    <w:p>
      <w:pPr>
        <w:pStyle w:val="Heading2"/>
      </w:pPr>
      <w:r>
        <w:t>2. emmerich-forward-to-moritani.eml</w:t>
      </w:r>
    </w:p>
    <w:p>
      <w:r>
        <w:rPr>
          <w:b/>
        </w:rPr>
        <w:t xml:space="preserve">Recommended designation: </w:t>
      </w:r>
      <w:r>
        <w:rPr>
          <w:b/>
        </w:rPr>
        <w:t>Not Privileged — Produce (waiver; escalate)</w:t>
      </w:r>
    </w:p>
    <w:p>
      <w:r>
        <w:rPr>
          <w:b/>
        </w:rPr>
        <w:t xml:space="preserve">Assessment: </w:t>
      </w:r>
      <w:r>
        <w:t>Harold Emmerich forwarded Priya Nandakumar’s legal-risk email in full to Dr. Kenji Moritani, an independent consultant retained directly by Regulatory Affairs and not by counsel. On the supplied record there is no NDA or common-interest arrangement. The disclosure likely waived privilege as to the forwarded communication; have the lead partner review the scope of any waiver before production.</w:t>
      </w:r>
    </w:p>
    <w:p>
      <w:pPr>
        <w:pStyle w:val="Heading2"/>
      </w:pPr>
      <w:r>
        <w:t>3. rennick-tsao-labeling-email.eml</w:t>
      </w:r>
    </w:p>
    <w:p>
      <w:r>
        <w:rPr>
          <w:b/>
        </w:rPr>
        <w:t xml:space="preserve">Recommended designation: </w:t>
      </w:r>
      <w:r>
        <w:rPr>
          <w:b/>
        </w:rPr>
        <w:t>Requires Further Review</w:t>
      </w:r>
    </w:p>
    <w:p>
      <w:r>
        <w:rPr>
          <w:b/>
        </w:rPr>
        <w:t xml:space="preserve">Assessment: </w:t>
      </w:r>
      <w:r>
        <w:t>The GC-to-CEO chain is facially a confidential legal communication, but the CEO response raises a potential crime-fraud issue under the review protocol. Escalate to Nathan Bridger; do not assume an exception applies or make a final designation without partner review.</w:t>
      </w:r>
    </w:p>
    <w:p>
      <w:pPr>
        <w:pStyle w:val="Heading2"/>
      </w:pPr>
      <w:r>
        <w:t>4. inadvertent-production-clawback.docx</w:t>
      </w:r>
    </w:p>
    <w:p>
      <w:r>
        <w:rPr>
          <w:b/>
        </w:rPr>
        <w:t xml:space="preserve">Recommended designation: </w:t>
      </w:r>
      <w:r>
        <w:rPr>
          <w:b/>
        </w:rPr>
        <w:t>Privileged — Withhold with Caveats (partial)</w:t>
      </w:r>
    </w:p>
    <w:p>
      <w:r>
        <w:rPr>
          <w:b/>
        </w:rPr>
        <w:t xml:space="preserve">Assessment: </w:t>
      </w:r>
      <w:r>
        <w:t>The internal paralegal memorandum is litigation work product. The attached claw-back letter was sent to opposing counsel and the exhibit identifies documents at a high level; these external materials are not claimed. Separate and produce nonprivileged external portions if otherwise responsive.</w:t>
      </w:r>
    </w:p>
    <w:p>
      <w:pPr>
        <w:pStyle w:val="Heading2"/>
      </w:pPr>
      <w:r>
        <w:t>5. first-rfp-set.docx</w:t>
      </w:r>
    </w:p>
    <w:p>
      <w:r>
        <w:rPr>
          <w:b/>
        </w:rPr>
        <w:t xml:space="preserve">Recommended designation: </w:t>
      </w:r>
      <w:r>
        <w:rPr>
          <w:b/>
        </w:rPr>
        <w:t>Not Privileged — Produce (if otherwise responsive)</w:t>
      </w:r>
    </w:p>
    <w:p>
      <w:r>
        <w:rPr>
          <w:b/>
        </w:rPr>
        <w:t xml:space="preserve">Assessment: </w:t>
      </w:r>
      <w:r>
        <w:t>Opposing counsel’s discovery requests are not privileged. This document may be an incoming litigation paper rather than a responsive Greenleaf document; responsiveness is separate from privilege.</w:t>
      </w:r>
    </w:p>
    <w:p>
      <w:pPr>
        <w:pStyle w:val="Heading2"/>
      </w:pPr>
      <w:r>
        <w:t>6. litigation-hold-notice.docx</w:t>
      </w:r>
    </w:p>
    <w:p>
      <w:r>
        <w:rPr>
          <w:b/>
        </w:rPr>
        <w:t xml:space="preserve">Recommended designation: </w:t>
      </w:r>
      <w:r>
        <w:rPr>
          <w:b/>
        </w:rPr>
        <w:t>Not Privileged — Produce (if otherwise responsive)</w:t>
      </w:r>
    </w:p>
    <w:p>
      <w:r>
        <w:rPr>
          <w:b/>
        </w:rPr>
        <w:t xml:space="preserve">Assessment: </w:t>
      </w:r>
      <w:r>
        <w:t>The notice communicates preservation duties and operational instructions. It contains no attorney mental impressions or legal advice that warrants withholding on the supplied record.</w:t>
      </w:r>
    </w:p>
    <w:p>
      <w:pPr>
        <w:pStyle w:val="Heading2"/>
      </w:pPr>
      <w:r>
        <w:t>7. litigation-strategy-memo.docx</w:t>
      </w:r>
    </w:p>
    <w:p>
      <w:r>
        <w:rPr>
          <w:b/>
        </w:rPr>
        <w:t xml:space="preserve">Recommended designation: </w:t>
      </w:r>
      <w:r>
        <w:rPr>
          <w:b/>
        </w:rPr>
        <w:t>Privileged — Withhold</w:t>
      </w:r>
    </w:p>
    <w:p>
      <w:r>
        <w:rPr>
          <w:b/>
        </w:rPr>
        <w:t xml:space="preserve">Assessment: </w:t>
      </w:r>
      <w:r>
        <w:t>Outside counsel memorandum to Greenleaf legal representatives, prepared after filing/engagement, containing litigation analysis, legal advice, and attorney mental impressions.</w:t>
      </w:r>
    </w:p>
    <w:p>
      <w:pPr>
        <w:pStyle w:val="Heading2"/>
      </w:pPr>
      <w:r>
        <w:t>8. board-audit-committee-deck.pptx</w:t>
      </w:r>
    </w:p>
    <w:p>
      <w:r>
        <w:rPr>
          <w:b/>
        </w:rPr>
        <w:t xml:space="preserve">Recommended designation: </w:t>
      </w:r>
      <w:r>
        <w:rPr>
          <w:b/>
        </w:rPr>
        <w:t>Privileged — Withhold with Caveats (slides 7–8 only)</w:t>
      </w:r>
    </w:p>
    <w:p>
      <w:r>
        <w:rPr>
          <w:b/>
        </w:rPr>
        <w:t xml:space="preserve">Assessment: </w:t>
      </w:r>
      <w:r>
        <w:t>Legal update and defense material on slides 7–8 was presented to the Audit Committee for legal oversight. Claim is limited to those slides; ordinary marketing, financial, audit, and business slides should be produced. Confirm confidential, authorized audience.</w:t>
      </w:r>
    </w:p>
    <w:p>
      <w:pPr>
        <w:pStyle w:val="Heading2"/>
      </w:pPr>
      <w:r>
        <w:t>9. pemberton-invoice-june2021.docx</w:t>
      </w:r>
    </w:p>
    <w:p>
      <w:r>
        <w:rPr>
          <w:b/>
        </w:rPr>
        <w:t xml:space="preserve">Recommended designation: </w:t>
      </w:r>
      <w:r>
        <w:rPr>
          <w:b/>
        </w:rPr>
        <w:t>Privileged — Withhold with Caveats (narrative only, if needed)</w:t>
      </w:r>
    </w:p>
    <w:p>
      <w:r>
        <w:rPr>
          <w:b/>
        </w:rPr>
        <w:t xml:space="preserve">Assessment: </w:t>
      </w:r>
      <w:r>
        <w:t>An invoice is not categorically privileged. Any redaction should be limited to specific narrative text that would reveal confidential legal services or advice; dates, timekeeper, hours, rates, and amounts are not claimed.</w:t>
      </w:r>
    </w:p>
    <w:p>
      <w:pPr>
        <w:pStyle w:val="Heading2"/>
      </w:pPr>
      <w:r>
        <w:t>10. pemberton-opinion-letter.docx</w:t>
      </w:r>
    </w:p>
    <w:p>
      <w:r>
        <w:rPr>
          <w:b/>
        </w:rPr>
        <w:t xml:space="preserve">Recommended designation: </w:t>
      </w:r>
      <w:r>
        <w:rPr>
          <w:b/>
        </w:rPr>
        <w:t>Privileged — Withhold</w:t>
      </w:r>
    </w:p>
    <w:p>
      <w:r>
        <w:rPr>
          <w:b/>
        </w:rPr>
        <w:t xml:space="preserve">Assessment: </w:t>
      </w:r>
      <w:r>
        <w:t>Confidential outside regulatory counsel opinion to Greenleaf’s General Counsel and Associate General Counsel. Attorney-client privilege applies; the letter expressly disclaims anticipation of litigation, so work product is not asserted.</w:t>
      </w:r>
    </w:p>
    <w:p>
      <w:pPr>
        <w:pStyle w:val="Heading2"/>
      </w:pPr>
      <w:r>
        <w:t>11. draft-privilege-log.xlsx</w:t>
      </w:r>
    </w:p>
    <w:p>
      <w:r>
        <w:rPr>
          <w:b/>
        </w:rPr>
        <w:t xml:space="preserve">Recommended designation: </w:t>
      </w:r>
      <w:r>
        <w:rPr>
          <w:b/>
        </w:rPr>
        <w:t>Privileged — Withhold</w:t>
      </w:r>
    </w:p>
    <w:p>
      <w:r>
        <w:rPr>
          <w:b/>
        </w:rPr>
        <w:t xml:space="preserve">Assessment: </w:t>
      </w:r>
      <w:r>
        <w:t>Internal working draft containing counsel/paralegal review notes, provisional designations, and mental impressions prepared for litigation privilege review.</w:t>
      </w:r>
    </w:p>
    <w:p>
      <w:pPr>
        <w:pStyle w:val="Heading2"/>
      </w:pPr>
      <w:r>
        <w:t>12. frey-personal-email-notes.eml</w:t>
      </w:r>
    </w:p>
    <w:p>
      <w:r>
        <w:rPr>
          <w:b/>
        </w:rPr>
        <w:t xml:space="preserve">Recommended designation: </w:t>
      </w:r>
      <w:r>
        <w:rPr>
          <w:b/>
        </w:rPr>
        <w:t>Privileged — Withhold</w:t>
      </w:r>
    </w:p>
    <w:p>
      <w:r>
        <w:rPr>
          <w:b/>
        </w:rPr>
        <w:t xml:space="preserve">Assessment: </w:t>
      </w:r>
      <w:r>
        <w:t>Outside counsel’s personal notes on the pending case are opinion work product. No client communication is apparent. Confirm no external forwarding.</w:t>
      </w:r>
    </w:p>
    <w:p>
      <w:pPr>
        <w:pStyle w:val="Heading2"/>
      </w:pPr>
      <w:r>
        <w:t>13. emmerich-reformulation-email.eml</w:t>
      </w:r>
    </w:p>
    <w:p>
      <w:r>
        <w:rPr>
          <w:b/>
        </w:rPr>
        <w:t xml:space="preserve">Recommended designation: </w:t>
      </w:r>
      <w:r>
        <w:rPr>
          <w:b/>
        </w:rPr>
        <w:t>Privileged — Withhold with Caveats (severable portion only)</w:t>
      </w:r>
    </w:p>
    <w:p>
      <w:r>
        <w:rPr>
          <w:b/>
        </w:rPr>
        <w:t xml:space="preserve">Assessment: </w:t>
      </w:r>
      <w:r>
        <w:t>A detailed operational email includes a discrete request to the General Counsel for legal advice. The technical/business portions are not privileged; withhold only the legal request and necessary context if counsel confirms predominant legal purpose and limited, need-to-know circulation.</w:t>
      </w:r>
    </w:p>
    <w:p>
      <w:pPr>
        <w:pStyle w:val="Heading2"/>
      </w:pPr>
      <w:r>
        <w:t>14. nandakumar-legal-risk-email.eml</w:t>
      </w:r>
    </w:p>
    <w:p>
      <w:r>
        <w:rPr>
          <w:b/>
        </w:rPr>
        <w:t xml:space="preserve">Recommended designation: </w:t>
      </w:r>
      <w:r>
        <w:rPr>
          <w:b/>
        </w:rPr>
        <w:t>Not Privileged — Produce (waiver; escalate)</w:t>
      </w:r>
    </w:p>
    <w:p>
      <w:r>
        <w:rPr>
          <w:b/>
        </w:rPr>
        <w:t xml:space="preserve">Assessment: </w:t>
      </w:r>
      <w:r>
        <w:t>The original advice email was forwarded in full to Dr. Moritani in the paired forward document. On the supplied facts, this is a disclosure of the same communication to an outside consultant not retained through counsel. Have the lead partner review the scope of any waiver.</w:t>
      </w:r>
    </w:p>
    <w:p>
      <w:pPr>
        <w:pStyle w:val="Heading2"/>
      </w:pPr>
      <w:r>
        <w:t>15. privilege-review-protocol.docx</w:t>
      </w:r>
    </w:p>
    <w:p>
      <w:r>
        <w:rPr>
          <w:b/>
        </w:rPr>
        <w:t xml:space="preserve">Recommended designation: </w:t>
      </w:r>
      <w:r>
        <w:rPr>
          <w:b/>
        </w:rPr>
        <w:t>Privileged — Withhold</w:t>
      </w:r>
    </w:p>
    <w:p>
      <w:r>
        <w:rPr>
          <w:b/>
        </w:rPr>
        <w:t xml:space="preserve">Assessment: </w:t>
      </w:r>
      <w:r>
        <w:t>Matter-specific internal legal guidance by outside counsel, prepared for the litigation review team and reflecting counsel’s review strategy and mental impressions.</w:t>
      </w:r>
    </w:p>
    <w:p>
      <w:pPr>
        <w:pStyle w:val="Heading2"/>
      </w:pPr>
      <w:r>
        <w:t>16. slack-product-reformulation.txt</w:t>
      </w:r>
    </w:p>
    <w:p>
      <w:r>
        <w:rPr>
          <w:b/>
        </w:rPr>
        <w:t xml:space="preserve">Recommended designation: </w:t>
      </w:r>
      <w:r>
        <w:rPr>
          <w:b/>
        </w:rPr>
        <w:t>Not Privileged — Produce (waiver; escalate)</w:t>
      </w:r>
    </w:p>
    <w:p>
      <w:r>
        <w:rPr>
          <w:b/>
        </w:rPr>
        <w:t xml:space="preserve">Assessment: </w:t>
      </w:r>
      <w:r>
        <w:t>The excerpt is predominantly operational, in a 23-member channel that includes employees without apparent need for legal advice. A brief statement summarizing Legal’s conclusion was broadcast to the group; no privilege should be asserted over that disclosed statement. Assess any separate subject-matter waiver with counsel.</w:t>
      </w:r>
    </w:p>
    <w:p>
      <w:pPr>
        <w:pStyle w:val="Heading2"/>
      </w:pPr>
      <w:r>
        <w:t>17. rennick-handwritten-note.docx</w:t>
      </w:r>
    </w:p>
    <w:p>
      <w:r>
        <w:rPr>
          <w:b/>
        </w:rPr>
        <w:t xml:space="preserve">Recommended designation: </w:t>
      </w:r>
      <w:r>
        <w:rPr>
          <w:b/>
        </w:rPr>
        <w:t>Requires Further Review</w:t>
      </w:r>
    </w:p>
    <w:p>
      <w:r>
        <w:rPr>
          <w:b/>
        </w:rPr>
        <w:t xml:space="preserve">Assessment: </w:t>
      </w:r>
      <w:r>
        <w:t>Undated, fragmentary note with mixed legal and business planning references; author, date, purpose, and whether it reflects privileged advice/work product are unconfirmed. Hold pending attorney review and consider in camera review if necessary.</w:t>
      </w:r>
    </w:p>
    <w:p>
      <w:pPr>
        <w:pStyle w:val="Heading2"/>
      </w:pPr>
      <w:r>
        <w:t>18. bridger-to-cascade-counsel.eml</w:t>
      </w:r>
    </w:p>
    <w:p>
      <w:r>
        <w:rPr>
          <w:b/>
        </w:rPr>
        <w:t xml:space="preserve">Recommended designation: </w:t>
      </w:r>
      <w:r>
        <w:rPr>
          <w:b/>
        </w:rPr>
        <w:t>Privileged — Withhold with Caveats (conditional)</w:t>
      </w:r>
    </w:p>
    <w:p>
      <w:r>
        <w:rPr>
          <w:b/>
        </w:rPr>
        <w:t xml:space="preserve">Assessment: </w:t>
      </w:r>
      <w:r>
        <w:t>Outside counsel’s email contains litigation work product shared with counsel for a potential co-party. A common-interest claim may apply, but the record does not establish a written agreement, actual shared legal interest, confidentiality, or absence of adversity. Obtain partner approval before withholding/logging.</w:t>
      </w:r>
    </w:p>
    <w:p>
      <w:pPr>
        <w:pStyle w:val="Heading1"/>
      </w:pPr>
      <w:r>
        <w:t>4. Key Issues and Required Follow-Up</w:t>
      </w:r>
    </w:p>
    <w:p>
      <w:pPr>
        <w:pStyle w:val="ListBullet"/>
      </w:pPr>
      <w:r>
        <w:rPr>
          <w:b/>
        </w:rPr>
        <w:t xml:space="preserve">Third-party disclosure / waiver — Moritani. </w:t>
      </w:r>
      <w:r>
        <w:t>The Emmerich forward appears to reproduce the complete Nandakumar legal analysis for an independent consultant retained directly by Regulatory Affairs, not through counsel, with no confidentiality or common-interest arrangement identified. Treat both the forwarded copy and the original communication as unprotected on the supplied facts; escalate to the lead partner to define the scope of waiver before production.</w:t>
      </w:r>
    </w:p>
    <w:p>
      <w:pPr>
        <w:pStyle w:val="ListBullet"/>
      </w:pPr>
      <w:r>
        <w:rPr>
          <w:b/>
        </w:rPr>
        <w:t xml:space="preserve">Crime-fraud escalation — Rennick–Tsao. </w:t>
      </w:r>
      <w:r>
        <w:t>The March 2021 email chain is a confidential GC–CEO communication, but the CEO’s response raises a potential crime-fraud issue involving the handling of routine QA documentation. This report does not conclude that fraud occurred or that the exception applies. The protocol requires partner-level review; hold the document and do not serve a final log entry pending that review.</w:t>
      </w:r>
    </w:p>
    <w:p>
      <w:pPr>
        <w:pStyle w:val="ListBullet"/>
      </w:pPr>
      <w:r>
        <w:rPr>
          <w:b/>
        </w:rPr>
        <w:t xml:space="preserve">Mixed business/legal communications. </w:t>
      </w:r>
      <w:r>
        <w:t>For the Emmerich reformulation email, do not claim the technical and operational discussion wholesale. Consider withholding only the severable legal request and necessary context if predominant legal purpose and need-to-know circulation are confirmed. For the Board deck, limit any claim to slides 7–8 and produce the business, financial, marketing, and audit material.</w:t>
      </w:r>
    </w:p>
    <w:p>
      <w:pPr>
        <w:pStyle w:val="ListBullet"/>
      </w:pPr>
      <w:r>
        <w:rPr>
          <w:b/>
        </w:rPr>
        <w:t xml:space="preserve">Invoice and claw-back file. </w:t>
      </w:r>
      <w:r>
        <w:t>The Pemberton invoice is not categorically privileged; objective billing fields should not be withheld. In the claw-back compilation, the internal memorandum may be protected work product, but the letter sent to opposing counsel and its nonprivileged exhibit should be separated and not claimed.</w:t>
      </w:r>
    </w:p>
    <w:p>
      <w:pPr>
        <w:pStyle w:val="ListBullet"/>
      </w:pPr>
      <w:r>
        <w:rPr>
          <w:b/>
        </w:rPr>
        <w:t xml:space="preserve">Cascade counsel communication. </w:t>
      </w:r>
      <w:r>
        <w:t>The Bridger email contains litigation counsel’s work product and may qualify for common-interest protection, but the supplied record does not establish the necessary shared legal interest, confidentiality, or absence of adversity. A written agreement is a strong safeguard but not necessarily an absolute prerequisite under the supplied protocol. Obtain partner confirmation before withholding.</w:t>
      </w:r>
    </w:p>
    <w:p>
      <w:pPr>
        <w:pStyle w:val="ListBullet"/>
      </w:pPr>
      <w:r>
        <w:rPr>
          <w:b/>
        </w:rPr>
        <w:t xml:space="preserve">Undated handwritten note. </w:t>
      </w:r>
      <w:r>
        <w:t>Establish authorship, date, purpose, and source of any legal content. Keep it out of production pending that review. If protection remains genuinely uncertain, counsel may consider in camera review; do not represent the candidate log description as a final claim.</w:t>
      </w:r>
    </w:p>
    <w:p>
      <w:pPr>
        <w:pStyle w:val="Heading1"/>
      </w:pPr>
      <w:r>
        <w:t>5. Draft Privilege Log and Service Controls</w:t>
      </w:r>
    </w:p>
    <w:p>
      <w:r>
        <w:t>The companion workbook contains 12 draft candidate entries for documents or portions recommended for withholding. It includes conditional entries for the two documents requiring further review. Conditional entries are not service-ready: remove them if the final review determines the document is not protected, and revise Bates identifiers once assigned. For partial claims, redact/withhold only the described portion and produce the segregable remainder.</w:t>
      </w:r>
    </w:p>
    <w:p>
      <w:r>
        <w:t>Before any production, counsel should verify the exact portions withheld, the final privilege basis, recipient lists and distribution context, any relevant non-waiver/common-interest agreements, and the status of any prior disclosure. The review protocol requires second-level review and partner sign-off for waiver, crime-fraud, and in-camera issues.</w:t>
      </w:r>
    </w:p>
    <w:p>
      <w:pPr>
        <w:pStyle w:val="Heading1"/>
      </w:pPr>
      <w:r>
        <w:t>6. Recommended Disposition Summary</w:t>
      </w:r>
    </w:p>
    <w:p>
      <w:pPr>
        <w:pStyle w:val="ListBullet"/>
      </w:pPr>
      <w:r>
        <w:t>Full withholding recommended: litigation-strategy-memo.docx; pemberton-opinion-letter.docx; draft-privilege-log.xlsx; frey-personal-email-notes.eml; privilege-review-protocol.docx.</w:t>
      </w:r>
    </w:p>
    <w:p>
      <w:pPr>
        <w:pStyle w:val="ListBullet"/>
      </w:pPr>
      <w:r>
        <w:t>Limited/caveated withholding recommended: inadvertent-production-clawback.docx (internal memo only); board-audit-committee-deck.pptx (slides 7–8 only); pemberton-invoice-june2021.docx (specific narratives only if needed); emmerich-reformulation-email.eml (severable legal request only, if confirmed); bridger-to-cascade-counsel.eml (conditional common-interest/work-product claim).</w:t>
      </w:r>
    </w:p>
    <w:p>
      <w:pPr>
        <w:pStyle w:val="ListBullet"/>
      </w:pPr>
      <w:r>
        <w:t>Hold pending final attorney determination: rennick-tsao-labeling-email.eml; rennick-handwritten-note.docx.</w:t>
      </w:r>
    </w:p>
    <w:p>
      <w:pPr>
        <w:pStyle w:val="ListBullet"/>
      </w:pPr>
      <w:r>
        <w:t>No privilege claim recommended: competitive-market-analysis.docx; emmerich-forward-to-moritani.eml; first-rfp-set.docx; litigation-hold-notice.docx; nandakumar-legal-risk-email.eml; slack-product-reformulation.txt.</w:t>
      </w:r>
    </w:p>
    <w:p>
      <w:pPr>
        <w:spacing w:before="160"/>
      </w:pPr>
      <w:r>
        <w:rPr>
          <w:b/>
        </w:rPr>
        <w:t xml:space="preserve">Prepared as a privilege-review work product for attorney review. </w:t>
      </w:r>
      <w:r>
        <w:t>The final privilege log and production decisions should be approved by responsible counsel.</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CONFIDENTIAL — ATTORNEY WORK PRODUCT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64748B"/>
        <w:sz w:val="16"/>
      </w:rPr>
      <w:t>GREENLEAF CONSUMER PRODUCTS, INC.  |  PRIVILEGE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