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color w:val="007C83"/>
          <w:sz w:val="18"/>
        </w:rPr>
        <w:t>INVOICE COMPLIANCE</w:t>
      </w:r>
    </w:p>
    <w:p>
      <w:pPr>
        <w:pStyle w:val="Title"/>
      </w:pPr>
      <w:r>
        <w:t>Deviation Report</w:t>
      </w:r>
    </w:p>
    <w:p>
      <w:pPr>
        <w:spacing w:after="160"/>
      </w:pPr>
      <w:r>
        <w:rPr>
          <w:b/>
          <w:color w:val="17365D"/>
          <w:sz w:val="26"/>
        </w:rPr>
        <w:t>Blackwell Stanhope LLP  |  October 2024 Litigation Invoice</w:t>
      </w:r>
    </w:p>
    <w:tbl>
      <w:tblPr>
        <w:tblStyle w:val="TableGrid"/>
        <w:tblW w:type="auto" w:w="0"/>
        <w:jc w:val="center"/>
        <w:tblLayout w:type="fixed"/>
        <w:tblLook w:firstColumn="1" w:firstRow="1" w:lastColumn="0" w:lastRow="0" w:noHBand="0" w:noVBand="1" w:val="04A0"/>
      </w:tblPr>
      <w:tblGrid>
        <w:gridCol w:w="5184"/>
        <w:gridCol w:w="4824"/>
      </w:tblGrid>
      <w:tr>
        <w:trPr>
          <w:tblHeader w:val="true"/>
          <w:cantSplit/>
        </w:trPr>
        <w:tc>
          <w:tcPr>
            <w:tcW w:type="dxa" w:w="5083"/>
            <w:vAlign w:val="center"/>
            <w:tcMar>
              <w:top w:w="65" w:type="dxa"/>
              <w:start w:w="75" w:type="dxa"/>
              <w:bottom w:w="65" w:type="dxa"/>
              <w:end w:w="75" w:type="dxa"/>
            </w:tcMar>
            <w:shd w:fill="17365D"/>
          </w:tcPr>
          <w:p>
            <w:pPr>
              <w:pStyle w:val="TableText"/>
              <w:keepLines/>
            </w:pPr>
            <w:r/>
            <w:r>
              <w:rPr>
                <w:rFonts w:ascii="Aptos" w:hAnsi="Aptos"/>
                <w:b/>
                <w:color w:val="FFFFFF"/>
                <w:sz w:val="16"/>
              </w:rPr>
              <w:t>Matter / Invoice</w:t>
            </w:r>
          </w:p>
        </w:tc>
        <w:tc>
          <w:tcPr>
            <w:tcW w:type="dxa" w:w="5083"/>
            <w:vAlign w:val="center"/>
            <w:tcMar>
              <w:top w:w="65" w:type="dxa"/>
              <w:start w:w="75" w:type="dxa"/>
              <w:bottom w:w="65" w:type="dxa"/>
              <w:end w:w="75" w:type="dxa"/>
            </w:tcMar>
            <w:shd w:fill="17365D"/>
          </w:tcPr>
          <w:p>
            <w:pPr>
              <w:pStyle w:val="TableText"/>
              <w:keepLines/>
            </w:pPr>
            <w:r/>
            <w:r>
              <w:rPr>
                <w:rFonts w:ascii="Aptos" w:hAnsi="Aptos"/>
                <w:b/>
                <w:color w:val="FFFFFF"/>
                <w:sz w:val="16"/>
              </w:rPr>
              <w:t>Review parameters</w:t>
            </w:r>
          </w:p>
        </w:tc>
      </w:tr>
      <w:tr>
        <w:trPr>
          <w:cantSplit/>
        </w:trPr>
        <w:tc>
          <w:tcPr>
            <w:tcW w:type="dxa" w:w="5184"/>
            <w:vAlign w:val="center"/>
            <w:tcMar>
              <w:top w:w="65" w:type="dxa"/>
              <w:start w:w="75" w:type="dxa"/>
              <w:bottom w:w="65" w:type="dxa"/>
              <w:end w:w="75" w:type="dxa"/>
            </w:tcMar>
          </w:tcPr>
          <w:p>
            <w:pPr>
              <w:pStyle w:val="TableText"/>
              <w:keepLines/>
            </w:pPr>
            <w:r/>
            <w:r>
              <w:rPr>
                <w:rFonts w:ascii="Aptos" w:hAnsi="Aptos"/>
                <w:b w:val="0"/>
                <w:color w:val="1D2733"/>
                <w:sz w:val="16"/>
              </w:rPr>
              <w:t>Clearwater Technologies, Inc. v. Saxonbrook Industrial Holdings, Inc.</w:t>
              <w:br/>
              <w:t>Case No. 1:23-cv-00847 (N.D. Ill.)</w:t>
              <w:br/>
              <w:t>Invoice BS-VIH-2024-1031; invoice date November 4, 2024</w:t>
            </w:r>
          </w:p>
        </w:tc>
        <w:tc>
          <w:tcPr>
            <w:tcW w:type="dxa" w:w="4824"/>
            <w:vAlign w:val="center"/>
            <w:tcMar>
              <w:top w:w="65" w:type="dxa"/>
              <w:start w:w="75" w:type="dxa"/>
              <w:bottom w:w="65" w:type="dxa"/>
              <w:end w:w="75" w:type="dxa"/>
            </w:tcMar>
          </w:tcPr>
          <w:p>
            <w:pPr>
              <w:pStyle w:val="TableText"/>
              <w:keepLines/>
            </w:pPr>
            <w:r/>
            <w:r>
              <w:rPr>
                <w:rFonts w:ascii="Aptos" w:hAnsi="Aptos"/>
                <w:b w:val="0"/>
                <w:color w:val="1D2733"/>
                <w:sz w:val="16"/>
              </w:rPr>
              <w:t>Service period: October 1–31, 2024</w:t>
              <w:br/>
              <w:t>Invoice submitted by Sandra Messina on November 4, 2024</w:t>
              <w:br/>
              <w:t>Invoice amount asserted: $487,329.14</w:t>
            </w:r>
          </w:p>
        </w:tc>
      </w:tr>
    </w:tbl>
    <w:p>
      <w:pPr>
        <w:spacing w:after="60"/>
      </w:pPr>
      <w:r>
        <w:rPr>
          <w:b/>
        </w:rPr>
        <w:t xml:space="preserve">Prepared for: </w:t>
      </w:r>
      <w:r>
        <w:t xml:space="preserve">VIH Office of the General Counsel  |  </w:t>
      </w:r>
      <w:r>
        <w:rPr>
          <w:b/>
        </w:rPr>
        <w:t xml:space="preserve">Governing standard: </w:t>
      </w:r>
      <w:r>
        <w:t>VIH Outside Counsel Billing Guidelines v4.2, effective January 1, 2024; engagement letter dated March 15, 2023; 2024 rate schedule; prior approval log current November 1, 2024; transmittal email dated November 4, 2024.</w:t>
      </w:r>
    </w:p>
    <w:tbl>
      <w:tblPr>
        <w:tblW w:type="auto" w:w="0"/>
        <w:jc w:val="center"/>
        <w:tblLayout w:type="fixed"/>
        <w:tblLook w:firstColumn="1" w:firstRow="1" w:lastColumn="0" w:lastRow="0" w:noHBand="0" w:noVBand="1" w:val="04A0"/>
      </w:tblPr>
      <w:tblGrid>
        <w:gridCol w:w="10008"/>
      </w:tblGrid>
      <w:tr>
        <w:trPr>
          <w:cantSplit/>
        </w:trPr>
        <w:tc>
          <w:tcPr>
            <w:tcW w:type="dxa" w:w="10166"/>
            <w:shd w:fill="FCEDEF"/>
            <w:tcMar>
              <w:top w:w="120" w:type="dxa"/>
              <w:start w:w="140" w:type="dxa"/>
              <w:bottom w:w="120" w:type="dxa"/>
              <w:end w:w="140" w:type="dxa"/>
            </w:tcMar>
          </w:tcPr>
          <w:p>
            <w:pPr>
              <w:keepLines/>
            </w:pPr>
            <w:r/>
            <w:r>
              <w:rPr>
                <w:b/>
                <w:color w:val="A61B29"/>
              </w:rPr>
              <w:t xml:space="preserve">DISPOSITION — RETURN FOR CORRECTION.  </w:t>
            </w:r>
            <w:r>
              <w:t>Do not approve the stated invoice total as submitted. The itemized fee and expense lines do not reconcile to the billed summary or invoice total; there are material unapproved timekeeper, staffing, travel and vendor charges, and non-reimbursable expenses. Require a corrected invoice/LEDES file and supporting records before payment review. The stated Net 30 clock runs from receipt of a compliant invoice and restarts on a corrected submission.</w:t>
            </w:r>
          </w:p>
        </w:tc>
      </w:tr>
    </w:tbl>
    <w:p>
      <w:pPr>
        <w:spacing w:after="0"/>
      </w:pPr>
    </w:p>
    <w:p>
      <w:pPr>
        <w:pStyle w:val="Heading1"/>
      </w:pPr>
      <w:r>
        <w:t>1. Executive Summary</w:t>
      </w:r>
    </w:p>
    <w:p>
      <w:pPr/>
      <w:r>
        <w:t>The submission has several facially material deviations from the Guidelines and engagement terms. Most significantly, the detailed invoice and LEDES export sum to $514,206.14, while the invoice claims $487,329.14—a $26,877.00 mismatch before any compliance adjustments. The detail contains $269,554.00 in fees versus the $242,687.00 fee subtotal, and $244,652.14 in expenses versus the $244,642.14 expense subtotal.</w:t>
      </w:r>
    </w:p>
    <w:p>
      <w:pPr/>
      <w:r>
        <w:t>The highest-confidence billing issues are: (i) $51,907.50 of detailed fees billed by Timothy Kwan, a summer associate never approved, and Elaine Cho, whose project approval expired September 30; (ii) a further $56,948.74 of facially non-reimbursable or unapproved expenses (after-hour word processing/admin support, technology surcharge, Forrest Data Solutions charges, and unapproved San Francisco local counsel); and (iii) other capped, unapproved or over-limit expense lines. Separate potential exposure exists for travel outside the Litigation Forum, excess deposition attendance, an over-cap internal strategy meeting, deficient narratives, and block billing. These figures overlap with other defects and should not be mechanically added into one net adjustment.</w:t>
      </w:r>
    </w:p>
    <w:p>
      <w:pPr/>
      <w:r>
        <w:t>The arithmetic and compliance issues should be addressed first. The fee amounts below are calculated from the 139 itemized fee lines, not the inaccurate displayed subtotals; expense amounts are calculated from the 22 itemized expense lines.</w:t>
      </w:r>
    </w:p>
    <w:p>
      <w:pPr>
        <w:pStyle w:val="Heading1"/>
      </w:pPr>
      <w:r>
        <w:t>2. Scope and Documents Reviewed</w:t>
      </w:r>
    </w:p>
    <w:p>
      <w:pPr/>
      <w:r>
        <w:t>Reviewed: VIH Outside Counsel Billing Guidelines v4.2; the Blackwell Stanhope engagement letter and Exhibits A–B (2024 rate schedule and approved experts); the VIH prior approval log current November 1, 2024; the October 2024 invoice workbook including its “LEDES Export Data” tab; and Sandra Messina’s November 4, 2024 transmittal email. No separate LEDES flat file, receipts, vendor invoices, expert invoices, travel itineraries, or other expense backup were included in the materials furnished for this review.</w:t>
      </w:r>
    </w:p>
    <w:p>
      <w:pPr>
        <w:pStyle w:val="SmallNote"/>
      </w:pPr>
      <w:r>
        <w:t>The report distinguishes (a) facially non-compliant charges, (b) charges requiring additional approval or documentation, and (c) potential adjustments that depend on VIH’s chosen remedy or an allocation of mixed-task time. “Disallow” identifies the remedy expressly permitted or required by the cited rule; where Guidelines say an item “may” be disallowed, the report identifies an exposure/recommendation rather than treating the outcome as automatic.</w:t>
      </w:r>
    </w:p>
    <w:p>
      <w:pPr>
        <w:pStyle w:val="Heading1"/>
      </w:pPr>
      <w:r>
        <w:t>3. Summary of Deviations and Recommended Action</w:t>
      </w:r>
    </w:p>
    <w:tbl>
      <w:tblPr>
        <w:tblStyle w:val="TableGrid"/>
        <w:tblW w:type="auto" w:w="0"/>
        <w:jc w:val="center"/>
        <w:tblLayout w:type="fixed"/>
        <w:tblLook w:firstColumn="1" w:firstRow="1" w:lastColumn="0" w:lastRow="0" w:noHBand="0" w:noVBand="1" w:val="04A0"/>
      </w:tblPr>
      <w:tblGrid>
        <w:gridCol w:w="1944"/>
        <w:gridCol w:w="4824"/>
        <w:gridCol w:w="3240"/>
      </w:tblGrid>
      <w:tr>
        <w:trPr>
          <w:tblHeader w:val="true"/>
          <w:cantSplit/>
        </w:trPr>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Risk area</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Finding</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Recommended action</w:t>
            </w:r>
          </w:p>
        </w:tc>
      </w:tr>
      <w:tr>
        <w:trPr>
          <w:cantSplit/>
        </w:trPr>
        <w:tc>
          <w:tcPr>
            <w:tcW w:type="dxa" w:w="1944"/>
            <w:vAlign w:val="center"/>
            <w:tcMar>
              <w:top w:w="65" w:type="dxa"/>
              <w:start w:w="75" w:type="dxa"/>
              <w:bottom w:w="65" w:type="dxa"/>
              <w:end w:w="75" w:type="dxa"/>
            </w:tcMar>
          </w:tcPr>
          <w:p>
            <w:pPr>
              <w:pStyle w:val="TableText"/>
              <w:keepLines/>
            </w:pPr>
            <w:r/>
            <w:r>
              <w:rPr>
                <w:rFonts w:ascii="Aptos" w:hAnsi="Aptos"/>
                <w:b w:val="0"/>
                <w:color w:val="1D2733"/>
                <w:sz w:val="14"/>
              </w:rPr>
              <w:t>Critical — invoice reconciliation</w:t>
            </w:r>
          </w:p>
        </w:tc>
        <w:tc>
          <w:tcPr>
            <w:tcW w:type="dxa" w:w="4824"/>
            <w:vAlign w:val="center"/>
            <w:tcMar>
              <w:top w:w="65" w:type="dxa"/>
              <w:start w:w="75" w:type="dxa"/>
              <w:bottom w:w="65" w:type="dxa"/>
              <w:end w:w="75" w:type="dxa"/>
            </w:tcMar>
          </w:tcPr>
          <w:p>
            <w:pPr>
              <w:pStyle w:val="TableText"/>
              <w:keepLines/>
            </w:pPr>
            <w:r/>
            <w:r>
              <w:rPr>
                <w:rFonts w:ascii="Aptos" w:hAnsi="Aptos"/>
                <w:b w:val="0"/>
                <w:color w:val="1D2733"/>
                <w:sz w:val="14"/>
              </w:rPr>
              <w:t>Professional-fee line items total $269,554.00, not $242,687.00 (+$26,867.00). Expense lines total $244,652.14, not $244,642.14 (+$10.00). Detail/LEDES sum is $514,206.14, $26,877.00 above the stated total.</w:t>
            </w:r>
          </w:p>
        </w:tc>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Return invoice; require reconciled line-item detail, subtotals, and a replacement LEDES file.</w:t>
            </w:r>
          </w:p>
        </w:tc>
      </w:tr>
      <w:tr>
        <w:trPr>
          <w:cantSplit/>
        </w:trPr>
        <w:tc>
          <w:tcPr>
            <w:tcW w:type="dxa" w:w="1944"/>
            <w:vAlign w:val="center"/>
            <w:tcMar>
              <w:top w:w="65" w:type="dxa"/>
              <w:start w:w="75" w:type="dxa"/>
              <w:bottom w:w="65" w:type="dxa"/>
              <w:end w:w="75" w:type="dxa"/>
            </w:tcMar>
            <w:shd w:fill="F4F7FA"/>
          </w:tcPr>
          <w:p>
            <w:pPr>
              <w:pStyle w:val="TableText"/>
              <w:keepLines/>
            </w:pPr>
            <w:r/>
            <w:r>
              <w:rPr>
                <w:rFonts w:ascii="Aptos" w:hAnsi="Aptos"/>
                <w:b w:val="0"/>
                <w:color w:val="1D2733"/>
                <w:sz w:val="14"/>
              </w:rPr>
              <w:t>High — unapproved personnel</w:t>
            </w:r>
          </w:p>
        </w:tc>
        <w:tc>
          <w:tcPr>
            <w:tcW w:type="dxa" w:w="4824"/>
            <w:vAlign w:val="center"/>
            <w:tcMar>
              <w:top w:w="65" w:type="dxa"/>
              <w:start w:w="75" w:type="dxa"/>
              <w:bottom w:w="65" w:type="dxa"/>
              <w:end w:w="75" w:type="dxa"/>
            </w:tcMar>
            <w:shd w:fill="F4F7FA"/>
          </w:tcPr>
          <w:p>
            <w:pPr>
              <w:pStyle w:val="TableText"/>
              <w:keepLines/>
            </w:pPr>
            <w:r/>
            <w:r>
              <w:rPr>
                <w:rFonts w:ascii="Aptos" w:hAnsi="Aptos"/>
                <w:b w:val="0"/>
                <w:color w:val="1D2733"/>
                <w:sz w:val="14"/>
              </w:rPr>
              <w:t>Kwan: 34.5 h / $10,177.50 (no summer-associate approval). Cho: detailed lines 214.0 h / $41,730.00, all October work after approval expired 9/30; invoice subtotal instead states 186.0 h / $36,270.00.</w:t>
            </w:r>
          </w:p>
        </w:tc>
        <w:tc>
          <w:tcPr>
            <w:tcW w:type="dxa" w:w="3240"/>
            <w:vAlign w:val="center"/>
            <w:tcMar>
              <w:top w:w="65" w:type="dxa"/>
              <w:start w:w="75" w:type="dxa"/>
              <w:bottom w:w="65" w:type="dxa"/>
              <w:end w:w="75" w:type="dxa"/>
            </w:tcMar>
            <w:shd w:fill="F4F7FA"/>
          </w:tcPr>
          <w:p>
            <w:pPr>
              <w:pStyle w:val="TableText"/>
              <w:keepLines/>
            </w:pPr>
            <w:r/>
            <w:r>
              <w:rPr>
                <w:rFonts w:ascii="Aptos" w:hAnsi="Aptos"/>
                <w:b w:val="0"/>
                <w:color w:val="1D2733"/>
                <w:sz w:val="14"/>
              </w:rPr>
              <w:t>Disallow all post-expiration/unapproved time under §§3.1, 9.1; reconcile Cho’s line totals.</w:t>
            </w:r>
          </w:p>
        </w:tc>
      </w:tr>
      <w:tr>
        <w:trPr>
          <w:cantSplit/>
        </w:trPr>
        <w:tc>
          <w:tcPr>
            <w:tcW w:type="dxa" w:w="1944"/>
            <w:vAlign w:val="center"/>
            <w:tcMar>
              <w:top w:w="65" w:type="dxa"/>
              <w:start w:w="75" w:type="dxa"/>
              <w:bottom w:w="65" w:type="dxa"/>
              <w:end w:w="75" w:type="dxa"/>
            </w:tcMar>
          </w:tcPr>
          <w:p>
            <w:pPr>
              <w:pStyle w:val="TableText"/>
              <w:keepLines/>
            </w:pPr>
            <w:r/>
            <w:r>
              <w:rPr>
                <w:rFonts w:ascii="Aptos" w:hAnsi="Aptos"/>
                <w:b w:val="0"/>
                <w:color w:val="1D2733"/>
                <w:sz w:val="14"/>
              </w:rPr>
              <w:t>High — unapproved/non-reimbursable expenses</w:t>
            </w:r>
          </w:p>
        </w:tc>
        <w:tc>
          <w:tcPr>
            <w:tcW w:type="dxa" w:w="4824"/>
            <w:vAlign w:val="center"/>
            <w:tcMar>
              <w:top w:w="65" w:type="dxa"/>
              <w:start w:w="75" w:type="dxa"/>
              <w:bottom w:w="65" w:type="dxa"/>
              <w:end w:w="75" w:type="dxa"/>
            </w:tcMar>
          </w:tcPr>
          <w:p>
            <w:pPr>
              <w:pStyle w:val="TableText"/>
              <w:keepLines/>
            </w:pPr>
            <w:r/>
            <w:r>
              <w:rPr>
                <w:rFonts w:ascii="Aptos" w:hAnsi="Aptos"/>
                <w:b w:val="0"/>
                <w:color w:val="1D2733"/>
                <w:sz w:val="14"/>
              </w:rPr>
              <w:t>Forrest Data Solutions $48,250; local counsel $1,500; after-hours word processing/admin $2,345; technology surcharge $4,853.74. Separate capped and travel expenses also require adjustment.</w:t>
            </w:r>
          </w:p>
        </w:tc>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Disallow the first four lines ($56,948.74); apply cap/approval remedies to other expenses; obtain receipts.</w:t>
            </w:r>
          </w:p>
        </w:tc>
      </w:tr>
      <w:tr>
        <w:trPr>
          <w:cantSplit/>
        </w:trPr>
        <w:tc>
          <w:tcPr>
            <w:tcW w:type="dxa" w:w="1944"/>
            <w:vAlign w:val="center"/>
            <w:tcMar>
              <w:top w:w="65" w:type="dxa"/>
              <w:start w:w="75" w:type="dxa"/>
              <w:bottom w:w="65" w:type="dxa"/>
              <w:end w:w="75" w:type="dxa"/>
            </w:tcMar>
            <w:shd w:fill="F4F7FA"/>
          </w:tcPr>
          <w:p>
            <w:pPr>
              <w:pStyle w:val="TableText"/>
              <w:keepLines/>
            </w:pPr>
            <w:r/>
            <w:r>
              <w:rPr>
                <w:rFonts w:ascii="Aptos" w:hAnsi="Aptos"/>
                <w:b w:val="0"/>
                <w:color w:val="1D2733"/>
                <w:sz w:val="14"/>
              </w:rPr>
              <w:t>High — outside-forum travel</w:t>
            </w:r>
          </w:p>
        </w:tc>
        <w:tc>
          <w:tcPr>
            <w:tcW w:type="dxa" w:w="4824"/>
            <w:vAlign w:val="center"/>
            <w:tcMar>
              <w:top w:w="65" w:type="dxa"/>
              <w:start w:w="75" w:type="dxa"/>
              <w:bottom w:w="65" w:type="dxa"/>
              <w:end w:w="75" w:type="dxa"/>
            </w:tcMar>
            <w:shd w:fill="F4F7FA"/>
          </w:tcPr>
          <w:p>
            <w:pPr>
              <w:pStyle w:val="TableText"/>
              <w:keepLines/>
            </w:pPr>
            <w:r/>
            <w:r>
              <w:rPr>
                <w:rFonts w:ascii="Aptos" w:hAnsi="Aptos"/>
                <w:b w:val="0"/>
                <w:color w:val="1D2733"/>
                <w:sz w:val="14"/>
              </w:rPr>
              <w:t>San Francisco trip is outside the Chicago Litigation Forum. No prior written travel approval appears in the complete approval log. Two time entries bill at 100% of rates.</w:t>
            </w:r>
          </w:p>
        </w:tc>
        <w:tc>
          <w:tcPr>
            <w:tcW w:type="dxa" w:w="3240"/>
            <w:vAlign w:val="center"/>
            <w:tcMar>
              <w:top w:w="65" w:type="dxa"/>
              <w:start w:w="75" w:type="dxa"/>
              <w:bottom w:w="65" w:type="dxa"/>
              <w:end w:w="75" w:type="dxa"/>
            </w:tcMar>
            <w:shd w:fill="F4F7FA"/>
          </w:tcPr>
          <w:p>
            <w:pPr>
              <w:pStyle w:val="TableText"/>
              <w:keepLines/>
            </w:pPr>
            <w:r/>
            <w:r>
              <w:rPr>
                <w:rFonts w:ascii="Aptos" w:hAnsi="Aptos"/>
                <w:b w:val="0"/>
                <w:color w:val="1D2733"/>
                <w:sz w:val="14"/>
              </w:rPr>
              <w:t>Consider disallowing $7,234.00 travel expenses and $6,174.00 travel fees for lack of approval. If travel is allowed, reduce travel fees by $3,087.00 to the 50% rate and apply expense caps.</w:t>
            </w:r>
          </w:p>
        </w:tc>
      </w:tr>
      <w:tr>
        <w:trPr>
          <w:cantSplit/>
        </w:trPr>
        <w:tc>
          <w:tcPr>
            <w:tcW w:type="dxa" w:w="1944"/>
            <w:vAlign w:val="center"/>
            <w:tcMar>
              <w:top w:w="65" w:type="dxa"/>
              <w:start w:w="75" w:type="dxa"/>
              <w:bottom w:w="65" w:type="dxa"/>
              <w:end w:w="75" w:type="dxa"/>
            </w:tcMar>
          </w:tcPr>
          <w:p>
            <w:pPr>
              <w:pStyle w:val="TableText"/>
              <w:keepLines/>
            </w:pPr>
            <w:r/>
            <w:r>
              <w:rPr>
                <w:rFonts w:ascii="Aptos" w:hAnsi="Aptos"/>
                <w:b w:val="0"/>
                <w:color w:val="1D2733"/>
                <w:sz w:val="14"/>
              </w:rPr>
              <w:t>High — staffing caps</w:t>
            </w:r>
          </w:p>
        </w:tc>
        <w:tc>
          <w:tcPr>
            <w:tcW w:type="dxa" w:w="4824"/>
            <w:vAlign w:val="center"/>
            <w:tcMar>
              <w:top w:w="65" w:type="dxa"/>
              <w:start w:w="75" w:type="dxa"/>
              <w:bottom w:w="65" w:type="dxa"/>
              <w:end w:w="75" w:type="dxa"/>
            </w:tcMar>
          </w:tcPr>
          <w:p>
            <w:pPr>
              <w:pStyle w:val="TableText"/>
              <w:keepLines/>
            </w:pPr>
            <w:r/>
            <w:r>
              <w:rPr>
                <w:rFonts w:ascii="Aptos" w:hAnsi="Aptos"/>
                <w:b w:val="0"/>
                <w:color w:val="1D2733"/>
                <w:sz w:val="14"/>
              </w:rPr>
              <w:t>Torres deposition: at least four attorneys billed attendance/monitoring, beyond the two-attorney cap. Nakamura deposition: a third attorney billed remote monitoring. Oct. 28 conference: five attorneys and 19 total attorney-hours billed.</w:t>
            </w:r>
          </w:p>
        </w:tc>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Disallow excess-attendee time; cap Oct. 28 at four aggregate attorney-hours, in addition to the unauthorized Kwan time.</w:t>
            </w:r>
          </w:p>
        </w:tc>
      </w:tr>
      <w:tr>
        <w:trPr>
          <w:cantSplit/>
        </w:trPr>
        <w:tc>
          <w:tcPr>
            <w:tcW w:type="dxa" w:w="1944"/>
            <w:vAlign w:val="center"/>
            <w:tcMar>
              <w:top w:w="65" w:type="dxa"/>
              <w:start w:w="75" w:type="dxa"/>
              <w:bottom w:w="65" w:type="dxa"/>
              <w:end w:w="75" w:type="dxa"/>
            </w:tcMar>
            <w:shd w:fill="F4F7FA"/>
          </w:tcPr>
          <w:p>
            <w:pPr>
              <w:pStyle w:val="TableText"/>
              <w:keepLines/>
            </w:pPr>
            <w:r/>
            <w:r>
              <w:rPr>
                <w:rFonts w:ascii="Aptos" w:hAnsi="Aptos"/>
                <w:b w:val="0"/>
                <w:color w:val="1D2733"/>
                <w:sz w:val="14"/>
              </w:rPr>
              <w:t>Moderate — time-entry/LEDES compliance</w:t>
            </w:r>
          </w:p>
        </w:tc>
        <w:tc>
          <w:tcPr>
            <w:tcW w:type="dxa" w:w="4824"/>
            <w:vAlign w:val="center"/>
            <w:tcMar>
              <w:top w:w="65" w:type="dxa"/>
              <w:start w:w="75" w:type="dxa"/>
              <w:bottom w:w="65" w:type="dxa"/>
              <w:end w:w="75" w:type="dxa"/>
            </w:tcMar>
            <w:shd w:fill="F4F7FA"/>
          </w:tcPr>
          <w:p>
            <w:pPr>
              <w:pStyle w:val="TableText"/>
              <w:keepLines/>
            </w:pPr>
            <w:r/>
            <w:r>
              <w:rPr>
                <w:rFonts w:ascii="Aptos" w:hAnsi="Aptos"/>
                <w:b w:val="0"/>
                <w:color w:val="1D2733"/>
                <w:sz w:val="14"/>
              </w:rPr>
              <w:t>138 of 139 narratives are under the mandatory 30-word minimum; all 139 task codes are outside the VIH Appendix A list; several narratives combine distinct tasks.</w:t>
            </w:r>
          </w:p>
        </w:tc>
        <w:tc>
          <w:tcPr>
            <w:tcW w:type="dxa" w:w="3240"/>
            <w:vAlign w:val="center"/>
            <w:tcMar>
              <w:top w:w="65" w:type="dxa"/>
              <w:start w:w="75" w:type="dxa"/>
              <w:bottom w:w="65" w:type="dxa"/>
              <w:end w:w="75" w:type="dxa"/>
            </w:tcMar>
            <w:shd w:fill="F4F7FA"/>
          </w:tcPr>
          <w:p>
            <w:pPr>
              <w:pStyle w:val="TableText"/>
              <w:keepLines/>
            </w:pPr>
            <w:r/>
            <w:r>
              <w:rPr>
                <w:rFonts w:ascii="Aptos" w:hAnsi="Aptos"/>
                <w:b w:val="0"/>
                <w:color w:val="1D2733"/>
                <w:sz w:val="14"/>
              </w:rPr>
              <w:t>Require corrected narratives, task-code mapping, and proper line-by-line LEDES output; apply §4.2 reduction to block-billed entries.</w:t>
            </w:r>
          </w:p>
        </w:tc>
      </w:tr>
      <w:tr>
        <w:trPr>
          <w:cantSplit/>
        </w:trPr>
        <w:tc>
          <w:tcPr>
            <w:tcW w:type="dxa" w:w="1944"/>
            <w:vAlign w:val="center"/>
            <w:tcMar>
              <w:top w:w="65" w:type="dxa"/>
              <w:start w:w="75" w:type="dxa"/>
              <w:bottom w:w="65" w:type="dxa"/>
              <w:end w:w="75" w:type="dxa"/>
            </w:tcMar>
          </w:tcPr>
          <w:p>
            <w:pPr>
              <w:pStyle w:val="TableText"/>
              <w:keepLines/>
            </w:pPr>
            <w:r/>
            <w:r>
              <w:rPr>
                <w:rFonts w:ascii="Aptos" w:hAnsi="Aptos"/>
                <w:b w:val="0"/>
                <w:color w:val="1D2733"/>
                <w:sz w:val="14"/>
              </w:rPr>
              <w:t>Moderate — invoice identifiers</w:t>
            </w:r>
          </w:p>
        </w:tc>
        <w:tc>
          <w:tcPr>
            <w:tcW w:type="dxa" w:w="4824"/>
            <w:vAlign w:val="center"/>
            <w:tcMar>
              <w:top w:w="65" w:type="dxa"/>
              <w:start w:w="75" w:type="dxa"/>
              <w:bottom w:w="65" w:type="dxa"/>
              <w:end w:w="75" w:type="dxa"/>
            </w:tcMar>
          </w:tcPr>
          <w:p>
            <w:pPr>
              <w:pStyle w:val="TableText"/>
              <w:keepLines/>
            </w:pPr>
            <w:r/>
            <w:r>
              <w:rPr>
                <w:rFonts w:ascii="Aptos" w:hAnsi="Aptos"/>
                <w:b w:val="0"/>
                <w:color w:val="1D2733"/>
                <w:sz w:val="14"/>
              </w:rPr>
              <w:t>The invoice identifies the case number but no separate VIH matter number appears in the summary or LEDES export.</w:t>
            </w:r>
          </w:p>
        </w:tc>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Confirm the case number is the assigned VIH matter number; otherwise add VIH’s matter number to the corrected invoice and LEDES file.</w:t>
            </w:r>
          </w:p>
        </w:tc>
      </w:tr>
      <w:tr>
        <w:trPr>
          <w:cantSplit/>
        </w:trPr>
        <w:tc>
          <w:tcPr>
            <w:tcW w:type="dxa" w:w="1944"/>
            <w:vAlign w:val="center"/>
            <w:tcMar>
              <w:top w:w="65" w:type="dxa"/>
              <w:start w:w="75" w:type="dxa"/>
              <w:bottom w:w="65" w:type="dxa"/>
              <w:end w:w="75" w:type="dxa"/>
            </w:tcMar>
            <w:shd w:fill="F4F7FA"/>
          </w:tcPr>
          <w:p>
            <w:pPr>
              <w:pStyle w:val="TableText"/>
              <w:keepLines/>
            </w:pPr>
            <w:r/>
            <w:r>
              <w:rPr>
                <w:rFonts w:ascii="Aptos" w:hAnsi="Aptos"/>
                <w:b w:val="0"/>
                <w:color w:val="1D2733"/>
                <w:sz w:val="14"/>
              </w:rPr>
              <w:t>Moderate — budget and expense substantiation</w:t>
            </w:r>
          </w:p>
        </w:tc>
        <w:tc>
          <w:tcPr>
            <w:tcW w:type="dxa" w:w="4824"/>
            <w:vAlign w:val="center"/>
            <w:tcMar>
              <w:top w:w="65" w:type="dxa"/>
              <w:start w:w="75" w:type="dxa"/>
              <w:bottom w:w="65" w:type="dxa"/>
              <w:end w:w="75" w:type="dxa"/>
            </w:tcMar>
            <w:shd w:fill="F4F7FA"/>
          </w:tcPr>
          <w:p>
            <w:pPr>
              <w:pStyle w:val="TableText"/>
              <w:keepLines/>
            </w:pPr>
            <w:r/>
            <w:r>
              <w:rPr>
                <w:rFonts w:ascii="Aptos" w:hAnsi="Aptos"/>
                <w:b w:val="0"/>
                <w:color w:val="1D2733"/>
                <w:sz w:val="14"/>
              </w:rPr>
              <w:t>Invoice exceeds $350,000 without the required written spend explanation. Matter status states YTD spend of $2,230,941.14 (79.7% of budget), but no timely 75% threshold notice is provided. No expense backup was furnished.</w:t>
            </w:r>
          </w:p>
        </w:tc>
        <w:tc>
          <w:tcPr>
            <w:tcW w:type="dxa" w:w="3240"/>
            <w:vAlign w:val="center"/>
            <w:tcMar>
              <w:top w:w="65" w:type="dxa"/>
              <w:start w:w="75" w:type="dxa"/>
              <w:bottom w:w="65" w:type="dxa"/>
              <w:end w:w="75" w:type="dxa"/>
            </w:tcMar>
            <w:shd w:fill="F4F7FA"/>
          </w:tcPr>
          <w:p>
            <w:pPr>
              <w:pStyle w:val="TableText"/>
              <w:keepLines/>
            </w:pPr>
            <w:r/>
            <w:r>
              <w:rPr>
                <w:rFonts w:ascii="Aptos" w:hAnsi="Aptos"/>
                <w:b w:val="0"/>
                <w:color w:val="1D2733"/>
                <w:sz w:val="14"/>
              </w:rPr>
              <w:t>Request the contemporaneous budget notice/reforecast, the invoice-threshold explanation, and vendor/receipt backup.</w:t>
            </w:r>
          </w:p>
        </w:tc>
      </w:tr>
    </w:tbl>
    <w:p>
      <w:pPr>
        <w:pStyle w:val="Heading1"/>
      </w:pPr>
      <w:r>
        <w:t>4. Invoice Integrity, Timing and Submission Format</w:t>
      </w:r>
    </w:p>
    <w:p>
      <w:pPr>
        <w:pStyle w:val="Heading2"/>
      </w:pPr>
      <w:r>
        <w:t>4.1 Arithmetic / totals do not reconcile</w:t>
      </w:r>
    </w:p>
    <w:p>
      <w:pPr/>
      <w:r>
        <w:t>The Summary tab and invoice email state professional fees of $242,687.00, expenses of $244,642.14, and total of $487,329.14. Recalculation of all numbered line items (also reflected in the LEDES tab) yields:</w:t>
      </w:r>
    </w:p>
    <w:tbl>
      <w:tblPr>
        <w:tblStyle w:val="TableGrid"/>
        <w:tblW w:type="auto" w:w="0"/>
        <w:jc w:val="center"/>
        <w:tblLayout w:type="fixed"/>
        <w:tblLook w:firstColumn="1" w:firstRow="1" w:lastColumn="0" w:lastRow="0" w:noHBand="0" w:noVBand="1" w:val="04A0"/>
      </w:tblPr>
      <w:tblGrid>
        <w:gridCol w:w="3168"/>
        <w:gridCol w:w="2160"/>
        <w:gridCol w:w="2808"/>
        <w:gridCol w:w="1872"/>
      </w:tblGrid>
      <w:tr>
        <w:trPr>
          <w:tblHeader w:val="true"/>
          <w:cantSplit/>
        </w:trPr>
        <w:tc>
          <w:tcPr>
            <w:tcW w:type="dxa" w:w="2541"/>
            <w:vAlign w:val="center"/>
            <w:tcMar>
              <w:top w:w="65" w:type="dxa"/>
              <w:start w:w="75" w:type="dxa"/>
              <w:bottom w:w="65" w:type="dxa"/>
              <w:end w:w="75" w:type="dxa"/>
            </w:tcMar>
            <w:shd w:fill="17365D"/>
          </w:tcPr>
          <w:p>
            <w:pPr>
              <w:pStyle w:val="TableText"/>
              <w:keepLines/>
            </w:pPr>
            <w:r/>
            <w:r>
              <w:rPr>
                <w:rFonts w:ascii="Aptos" w:hAnsi="Aptos"/>
                <w:b/>
                <w:color w:val="FFFFFF"/>
                <w:sz w:val="16"/>
              </w:rPr>
              <w:t>Component</w:t>
            </w:r>
          </w:p>
        </w:tc>
        <w:tc>
          <w:tcPr>
            <w:tcW w:type="dxa" w:w="2541"/>
            <w:vAlign w:val="center"/>
            <w:tcMar>
              <w:top w:w="65" w:type="dxa"/>
              <w:start w:w="75" w:type="dxa"/>
              <w:bottom w:w="65" w:type="dxa"/>
              <w:end w:w="75" w:type="dxa"/>
            </w:tcMar>
            <w:shd w:fill="17365D"/>
          </w:tcPr>
          <w:p>
            <w:pPr>
              <w:pStyle w:val="TableText"/>
              <w:keepLines/>
            </w:pPr>
            <w:r/>
            <w:r>
              <w:rPr>
                <w:rFonts w:ascii="Aptos" w:hAnsi="Aptos"/>
                <w:b/>
                <w:color w:val="FFFFFF"/>
                <w:sz w:val="16"/>
              </w:rPr>
              <w:t>Invoice summary</w:t>
            </w:r>
          </w:p>
        </w:tc>
        <w:tc>
          <w:tcPr>
            <w:tcW w:type="dxa" w:w="2541"/>
            <w:vAlign w:val="center"/>
            <w:tcMar>
              <w:top w:w="65" w:type="dxa"/>
              <w:start w:w="75" w:type="dxa"/>
              <w:bottom w:w="65" w:type="dxa"/>
              <w:end w:w="75" w:type="dxa"/>
            </w:tcMar>
            <w:shd w:fill="17365D"/>
          </w:tcPr>
          <w:p>
            <w:pPr>
              <w:pStyle w:val="TableText"/>
              <w:keepLines/>
            </w:pPr>
            <w:r/>
            <w:r>
              <w:rPr>
                <w:rFonts w:ascii="Aptos" w:hAnsi="Aptos"/>
                <w:b/>
                <w:color w:val="FFFFFF"/>
                <w:sz w:val="16"/>
              </w:rPr>
              <w:t>Sum of itemized detail / LEDES</w:t>
            </w:r>
          </w:p>
        </w:tc>
        <w:tc>
          <w:tcPr>
            <w:tcW w:type="dxa" w:w="2541"/>
            <w:vAlign w:val="center"/>
            <w:tcMar>
              <w:top w:w="65" w:type="dxa"/>
              <w:start w:w="75" w:type="dxa"/>
              <w:bottom w:w="65" w:type="dxa"/>
              <w:end w:w="75" w:type="dxa"/>
            </w:tcMar>
            <w:shd w:fill="17365D"/>
          </w:tcPr>
          <w:p>
            <w:pPr>
              <w:pStyle w:val="TableText"/>
              <w:keepLines/>
            </w:pPr>
            <w:r/>
            <w:r>
              <w:rPr>
                <w:rFonts w:ascii="Aptos" w:hAnsi="Aptos"/>
                <w:b/>
                <w:color w:val="FFFFFF"/>
                <w:sz w:val="16"/>
              </w:rPr>
              <w:t>Difference</w:t>
            </w:r>
          </w:p>
        </w:tc>
      </w:tr>
      <w:tr>
        <w:trPr>
          <w:cantSplit/>
        </w:trPr>
        <w:tc>
          <w:tcPr>
            <w:tcW w:type="dxa" w:w="3168"/>
            <w:vAlign w:val="center"/>
            <w:tcMar>
              <w:top w:w="65" w:type="dxa"/>
              <w:start w:w="75" w:type="dxa"/>
              <w:bottom w:w="65" w:type="dxa"/>
              <w:end w:w="75" w:type="dxa"/>
            </w:tcMar>
          </w:tcPr>
          <w:p>
            <w:pPr>
              <w:pStyle w:val="TableText"/>
              <w:keepLines/>
            </w:pPr>
            <w:r/>
            <w:r>
              <w:rPr>
                <w:rFonts w:ascii="Aptos" w:hAnsi="Aptos"/>
                <w:b w:val="0"/>
                <w:color w:val="1D2733"/>
                <w:sz w:val="16"/>
              </w:rPr>
              <w:t>Professional fees</w:t>
            </w:r>
          </w:p>
        </w:tc>
        <w:tc>
          <w:tcPr>
            <w:tcW w:type="dxa" w:w="2160"/>
            <w:vAlign w:val="center"/>
            <w:tcMar>
              <w:top w:w="65" w:type="dxa"/>
              <w:start w:w="75" w:type="dxa"/>
              <w:bottom w:w="65" w:type="dxa"/>
              <w:end w:w="75" w:type="dxa"/>
            </w:tcMar>
          </w:tcPr>
          <w:p>
            <w:pPr>
              <w:pStyle w:val="TableText"/>
              <w:keepLines/>
            </w:pPr>
            <w:r/>
            <w:r>
              <w:rPr>
                <w:rFonts w:ascii="Aptos" w:hAnsi="Aptos"/>
                <w:b w:val="0"/>
                <w:color w:val="1D2733"/>
                <w:sz w:val="16"/>
              </w:rPr>
              <w:t>$242,687.00</w:t>
            </w:r>
          </w:p>
        </w:tc>
        <w:tc>
          <w:tcPr>
            <w:tcW w:type="dxa" w:w="2808"/>
            <w:vAlign w:val="center"/>
            <w:tcMar>
              <w:top w:w="65" w:type="dxa"/>
              <w:start w:w="75" w:type="dxa"/>
              <w:bottom w:w="65" w:type="dxa"/>
              <w:end w:w="75" w:type="dxa"/>
            </w:tcMar>
          </w:tcPr>
          <w:p>
            <w:pPr>
              <w:pStyle w:val="TableText"/>
              <w:keepLines/>
            </w:pPr>
            <w:r/>
            <w:r>
              <w:rPr>
                <w:rFonts w:ascii="Aptos" w:hAnsi="Aptos"/>
                <w:b w:val="0"/>
                <w:color w:val="1D2733"/>
                <w:sz w:val="16"/>
              </w:rPr>
              <w:t>$269,554.00</w:t>
            </w:r>
          </w:p>
        </w:tc>
        <w:tc>
          <w:tcPr>
            <w:tcW w:type="dxa" w:w="1872"/>
            <w:vAlign w:val="center"/>
            <w:tcMar>
              <w:top w:w="65" w:type="dxa"/>
              <w:start w:w="75" w:type="dxa"/>
              <w:bottom w:w="65" w:type="dxa"/>
              <w:end w:w="75" w:type="dxa"/>
            </w:tcMar>
          </w:tcPr>
          <w:p>
            <w:pPr>
              <w:pStyle w:val="TableText"/>
              <w:keepLines/>
            </w:pPr>
            <w:r/>
            <w:r>
              <w:rPr>
                <w:rFonts w:ascii="Aptos" w:hAnsi="Aptos"/>
                <w:b w:val="0"/>
                <w:color w:val="1D2733"/>
                <w:sz w:val="16"/>
              </w:rPr>
              <w:t>+$26,867.00</w:t>
            </w:r>
          </w:p>
        </w:tc>
      </w:tr>
      <w:tr>
        <w:trPr>
          <w:cantSplit/>
        </w:trPr>
        <w:tc>
          <w:tcPr>
            <w:tcW w:type="dxa" w:w="3168"/>
            <w:vAlign w:val="center"/>
            <w:tcMar>
              <w:top w:w="65" w:type="dxa"/>
              <w:start w:w="75" w:type="dxa"/>
              <w:bottom w:w="65" w:type="dxa"/>
              <w:end w:w="75" w:type="dxa"/>
            </w:tcMar>
            <w:shd w:fill="F4F7FA"/>
          </w:tcPr>
          <w:p>
            <w:pPr>
              <w:pStyle w:val="TableText"/>
              <w:keepLines/>
            </w:pPr>
            <w:r/>
            <w:r>
              <w:rPr>
                <w:rFonts w:ascii="Aptos" w:hAnsi="Aptos"/>
                <w:b w:val="0"/>
                <w:color w:val="1D2733"/>
                <w:sz w:val="16"/>
              </w:rPr>
              <w:t>Expenses and disbursements</w:t>
            </w:r>
          </w:p>
        </w:tc>
        <w:tc>
          <w:tcPr>
            <w:tcW w:type="dxa" w:w="2160"/>
            <w:vAlign w:val="center"/>
            <w:tcMar>
              <w:top w:w="65" w:type="dxa"/>
              <w:start w:w="75" w:type="dxa"/>
              <w:bottom w:w="65" w:type="dxa"/>
              <w:end w:w="75" w:type="dxa"/>
            </w:tcMar>
            <w:shd w:fill="F4F7FA"/>
          </w:tcPr>
          <w:p>
            <w:pPr>
              <w:pStyle w:val="TableText"/>
              <w:keepLines/>
            </w:pPr>
            <w:r/>
            <w:r>
              <w:rPr>
                <w:rFonts w:ascii="Aptos" w:hAnsi="Aptos"/>
                <w:b w:val="0"/>
                <w:color w:val="1D2733"/>
                <w:sz w:val="16"/>
              </w:rPr>
              <w:t>$244,642.14</w:t>
            </w:r>
          </w:p>
        </w:tc>
        <w:tc>
          <w:tcPr>
            <w:tcW w:type="dxa" w:w="2808"/>
            <w:vAlign w:val="center"/>
            <w:tcMar>
              <w:top w:w="65" w:type="dxa"/>
              <w:start w:w="75" w:type="dxa"/>
              <w:bottom w:w="65" w:type="dxa"/>
              <w:end w:w="75" w:type="dxa"/>
            </w:tcMar>
            <w:shd w:fill="F4F7FA"/>
          </w:tcPr>
          <w:p>
            <w:pPr>
              <w:pStyle w:val="TableText"/>
              <w:keepLines/>
            </w:pPr>
            <w:r/>
            <w:r>
              <w:rPr>
                <w:rFonts w:ascii="Aptos" w:hAnsi="Aptos"/>
                <w:b w:val="0"/>
                <w:color w:val="1D2733"/>
                <w:sz w:val="16"/>
              </w:rPr>
              <w:t>$244,652.14</w:t>
            </w:r>
          </w:p>
        </w:tc>
        <w:tc>
          <w:tcPr>
            <w:tcW w:type="dxa" w:w="1872"/>
            <w:vAlign w:val="center"/>
            <w:tcMar>
              <w:top w:w="65" w:type="dxa"/>
              <w:start w:w="75" w:type="dxa"/>
              <w:bottom w:w="65" w:type="dxa"/>
              <w:end w:w="75" w:type="dxa"/>
            </w:tcMar>
            <w:shd w:fill="F4F7FA"/>
          </w:tcPr>
          <w:p>
            <w:pPr>
              <w:pStyle w:val="TableText"/>
              <w:keepLines/>
            </w:pPr>
            <w:r/>
            <w:r>
              <w:rPr>
                <w:rFonts w:ascii="Aptos" w:hAnsi="Aptos"/>
                <w:b w:val="0"/>
                <w:color w:val="1D2733"/>
                <w:sz w:val="16"/>
              </w:rPr>
              <w:t>+$10.00</w:t>
            </w:r>
          </w:p>
        </w:tc>
      </w:tr>
      <w:tr>
        <w:trPr>
          <w:cantSplit/>
        </w:trPr>
        <w:tc>
          <w:tcPr>
            <w:tcW w:type="dxa" w:w="3168"/>
            <w:vAlign w:val="center"/>
            <w:tcMar>
              <w:top w:w="65" w:type="dxa"/>
              <w:start w:w="75" w:type="dxa"/>
              <w:bottom w:w="65" w:type="dxa"/>
              <w:end w:w="75" w:type="dxa"/>
            </w:tcMar>
          </w:tcPr>
          <w:p>
            <w:pPr>
              <w:pStyle w:val="TableText"/>
              <w:keepLines/>
            </w:pPr>
            <w:r/>
            <w:r>
              <w:rPr>
                <w:rFonts w:ascii="Aptos" w:hAnsi="Aptos"/>
                <w:b w:val="0"/>
                <w:color w:val="1D2733"/>
                <w:sz w:val="16"/>
              </w:rPr>
              <w:t>Invoice total</w:t>
            </w:r>
          </w:p>
        </w:tc>
        <w:tc>
          <w:tcPr>
            <w:tcW w:type="dxa" w:w="2160"/>
            <w:vAlign w:val="center"/>
            <w:tcMar>
              <w:top w:w="65" w:type="dxa"/>
              <w:start w:w="75" w:type="dxa"/>
              <w:bottom w:w="65" w:type="dxa"/>
              <w:end w:w="75" w:type="dxa"/>
            </w:tcMar>
          </w:tcPr>
          <w:p>
            <w:pPr>
              <w:pStyle w:val="TableText"/>
              <w:keepLines/>
            </w:pPr>
            <w:r/>
            <w:r>
              <w:rPr>
                <w:rFonts w:ascii="Aptos" w:hAnsi="Aptos"/>
                <w:b w:val="0"/>
                <w:color w:val="1D2733"/>
                <w:sz w:val="16"/>
              </w:rPr>
              <w:t>$487,329.14</w:t>
            </w:r>
          </w:p>
        </w:tc>
        <w:tc>
          <w:tcPr>
            <w:tcW w:type="dxa" w:w="2808"/>
            <w:vAlign w:val="center"/>
            <w:tcMar>
              <w:top w:w="65" w:type="dxa"/>
              <w:start w:w="75" w:type="dxa"/>
              <w:bottom w:w="65" w:type="dxa"/>
              <w:end w:w="75" w:type="dxa"/>
            </w:tcMar>
          </w:tcPr>
          <w:p>
            <w:pPr>
              <w:pStyle w:val="TableText"/>
              <w:keepLines/>
            </w:pPr>
            <w:r/>
            <w:r>
              <w:rPr>
                <w:rFonts w:ascii="Aptos" w:hAnsi="Aptos"/>
                <w:b w:val="0"/>
                <w:color w:val="1D2733"/>
                <w:sz w:val="16"/>
              </w:rPr>
              <w:t>$514,206.14</w:t>
            </w:r>
          </w:p>
        </w:tc>
        <w:tc>
          <w:tcPr>
            <w:tcW w:type="dxa" w:w="1872"/>
            <w:vAlign w:val="center"/>
            <w:tcMar>
              <w:top w:w="65" w:type="dxa"/>
              <w:start w:w="75" w:type="dxa"/>
              <w:bottom w:w="65" w:type="dxa"/>
              <w:end w:w="75" w:type="dxa"/>
            </w:tcMar>
          </w:tcPr>
          <w:p>
            <w:pPr>
              <w:pStyle w:val="TableText"/>
              <w:keepLines/>
            </w:pPr>
            <w:r/>
            <w:r>
              <w:rPr>
                <w:rFonts w:ascii="Aptos" w:hAnsi="Aptos"/>
                <w:b w:val="0"/>
                <w:color w:val="1D2733"/>
                <w:sz w:val="16"/>
              </w:rPr>
              <w:t>+$26,877.00</w:t>
            </w:r>
          </w:p>
        </w:tc>
      </w:tr>
    </w:tbl>
    <w:p>
      <w:pPr/>
      <w:r>
        <w:t>Displayed professional-fee subtotals also fail to match the line detail. Fee lines total 743.8 hours; subtotals show 671.8 hours (72.0 fewer). Differences by timekeeper are: Messina +4.3 h / $3,848.50; Pryor-Hall +12.5 h / $7,187.50; Tanaka +20.9 h / $8,882.50; DeVries +2.0 h / $650.00; Cho +28.0 h / $5,460.00; Briggs +2.8 h / $546.00; Rosenberg +1.5 h / $292.50; Kwan no difference. The discrepancy cannot be resolved from the supplied file.</w:t>
      </w:r>
    </w:p>
    <w:p>
      <w:pPr>
        <w:pStyle w:val="Heading2"/>
      </w:pPr>
      <w:r>
        <w:t>4.2 Timing, invoice content and payment date</w:t>
      </w:r>
    </w:p>
    <w:p>
      <w:pPr>
        <w:pStyle w:val="ListBullet"/>
        <w:spacing w:after="40"/>
        <w:ind w:left="317" w:hanging="173"/>
      </w:pPr>
      <w:r>
        <w:t>Timely submission: the invoice is dated and transmitted November 4 for an October 31 period end—within the Guidelines’ 45-day submission window.</w:t>
      </w:r>
    </w:p>
    <w:p>
      <w:pPr>
        <w:pStyle w:val="ListBullet"/>
        <w:spacing w:after="40"/>
        <w:ind w:left="317" w:hanging="173"/>
      </w:pPr>
      <w:r>
        <w:t>Matter number: the invoice identifies the case number but no separate VIH matter number appears in the summary or LEDES export. Confirm that the case number is VIH’s assigned matter number; otherwise add the VIH matter number to the corrected invoice and LEDES file.</w:t>
      </w:r>
    </w:p>
    <w:p>
      <w:pPr>
        <w:pStyle w:val="ListBullet"/>
        <w:spacing w:after="40"/>
        <w:ind w:left="317" w:hanging="173"/>
      </w:pPr>
      <w:r>
        <w:t>Matter-status summary: the transmittal describes October developments, expert-report deadlines, the November motion, and near-term work. It substantially satisfies the ordinary status-summary requirement, but does not replace the separate &gt;$350,000 spend explanation required below.</w:t>
      </w:r>
    </w:p>
    <w:p>
      <w:pPr>
        <w:pStyle w:val="ListBullet"/>
        <w:spacing w:after="40"/>
        <w:ind w:left="317" w:hanging="173"/>
      </w:pPr>
      <w:r>
        <w:t>Payment due date: the workbook states December 5, 2024. If receipt occurred November 4, a simple 30-day calculation points to December 4; more importantly, §§8.1 and 6 of the engagement letter start the 30-day period only on receipt of a compliant invoice and restart it after correction.</w:t>
      </w:r>
    </w:p>
    <w:p>
      <w:pPr>
        <w:pStyle w:val="Heading2"/>
      </w:pPr>
      <w:r>
        <w:t>4.3 LEDES format and UTBMS codes</w:t>
      </w:r>
    </w:p>
    <w:p>
      <w:pPr/>
      <w:r>
        <w:t>The supplied workbook has a “LEDES Export Data” tab, but no separate 1998B flat file was among the provided materials despite the transmittal’s representation that one was attached. The export uses “LINE_ITEM_NUMBER_OF_UNITS” and “LINE_ITEM_UNIT_COST” rather than the Appendix B fields “LINE_ITEM_HOURS” and “LINE_ITEM_RATE,” and does not include “TIMEKEEPER_NAME.” These may be system mappings, but the submission does not establish conformity to VIH’s required field structure; provide a conforming, accepted LEDES 1998B file and confirm the timekeeper/units/rate mapping. The export includes expense lines but assigns no task/activity code to expense rows, which should be confirmed against VIH’s electronic billing specifications.</w:t>
      </w:r>
    </w:p>
    <w:p>
      <w:pPr/>
      <w:r>
        <w:t>All 139 fee lines use task codes L510, L520, L530, L540 or L550. VIH Appendix A identifies L110–L190 as its approved task codes and instructs counsel to select the closest approved code and note any deviation. None of the invoice’s task codes appears in that list. Correct all fee lines to VIH-approved task codes or supply a documented VIH-approved exception. The activity codes are populated in the export.</w:t>
      </w:r>
    </w:p>
    <w:p>
      <w:pPr>
        <w:pStyle w:val="Heading1"/>
      </w:pPr>
      <w:r>
        <w:t>5. Professional Fee Deviations</w:t>
      </w:r>
    </w:p>
    <w:p>
      <w:pPr>
        <w:pStyle w:val="Heading2"/>
      </w:pPr>
      <w:r>
        <w:t>5.1 Unapproved timekeepers / expired authorization</w:t>
      </w:r>
    </w:p>
    <w:tbl>
      <w:tblPr>
        <w:tblStyle w:val="TableGrid"/>
        <w:tblW w:type="auto" w:w="0"/>
        <w:jc w:val="center"/>
        <w:tblLayout w:type="fixed"/>
        <w:tblLook w:firstColumn="1" w:firstRow="1" w:lastColumn="0" w:lastRow="0" w:noHBand="0" w:noVBand="1" w:val="04A0"/>
      </w:tblPr>
      <w:tblGrid>
        <w:gridCol w:w="3240"/>
        <w:gridCol w:w="2376"/>
        <w:gridCol w:w="4536"/>
      </w:tblGrid>
      <w:tr>
        <w:trPr>
          <w:tblHeader w:val="true"/>
          <w:cantSplit/>
        </w:trPr>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Timekeeper / line entries</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Invoice detail</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Approval status and treatment</w:t>
            </w:r>
          </w:p>
        </w:tc>
      </w:tr>
      <w:tr>
        <w:trPr>
          <w:cantSplit/>
        </w:trPr>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Timothy Kwan — 058, 070, 078, 084, 097, 109, 116, 130</w:t>
            </w:r>
          </w:p>
        </w:tc>
        <w:tc>
          <w:tcPr>
            <w:tcW w:type="dxa" w:w="2376"/>
            <w:vAlign w:val="center"/>
            <w:tcMar>
              <w:top w:w="65" w:type="dxa"/>
              <w:start w:w="75" w:type="dxa"/>
              <w:bottom w:w="65" w:type="dxa"/>
              <w:end w:w="75" w:type="dxa"/>
            </w:tcMar>
          </w:tcPr>
          <w:p>
            <w:pPr>
              <w:pStyle w:val="TableText"/>
              <w:keepLines/>
            </w:pPr>
            <w:r/>
            <w:r>
              <w:rPr>
                <w:rFonts w:ascii="Aptos" w:hAnsi="Aptos"/>
                <w:b w:val="0"/>
                <w:color w:val="1D2733"/>
                <w:sz w:val="14"/>
              </w:rPr>
              <w:t>34.5 h; $10,177.50; billed $295/h</w:t>
            </w:r>
          </w:p>
        </w:tc>
        <w:tc>
          <w:tcPr>
            <w:tcW w:type="dxa" w:w="4536"/>
            <w:vAlign w:val="center"/>
            <w:tcMar>
              <w:top w:w="65" w:type="dxa"/>
              <w:start w:w="75" w:type="dxa"/>
              <w:bottom w:w="65" w:type="dxa"/>
              <w:end w:w="75" w:type="dxa"/>
            </w:tcMar>
          </w:tcPr>
          <w:p>
            <w:pPr>
              <w:pStyle w:val="TableText"/>
              <w:keepLines/>
            </w:pPr>
            <w:r/>
            <w:r>
              <w:rPr>
                <w:rFonts w:ascii="Aptos" w:hAnsi="Aptos"/>
                <w:b w:val="0"/>
                <w:color w:val="1D2733"/>
                <w:sz w:val="14"/>
              </w:rPr>
              <w:t>Summer associate; not listed in the approved-timekeeper schedule or prior-approval log. Guidelines §3.1 and engagement §2 require advance written approval. Disallow in full.</w:t>
            </w:r>
          </w:p>
        </w:tc>
      </w:tr>
      <w:tr>
        <w:trPr>
          <w:cantSplit/>
        </w:trPr>
        <w:tc>
          <w:tcPr>
            <w:tcW w:type="dxa" w:w="3240"/>
            <w:vAlign w:val="center"/>
            <w:tcMar>
              <w:top w:w="65" w:type="dxa"/>
              <w:start w:w="75" w:type="dxa"/>
              <w:bottom w:w="65" w:type="dxa"/>
              <w:end w:w="75" w:type="dxa"/>
            </w:tcMar>
            <w:shd w:fill="F4F7FA"/>
          </w:tcPr>
          <w:p>
            <w:pPr>
              <w:pStyle w:val="TableText"/>
              <w:keepLines/>
            </w:pPr>
            <w:r/>
            <w:r>
              <w:rPr>
                <w:rFonts w:ascii="Aptos" w:hAnsi="Aptos"/>
                <w:b w:val="0"/>
                <w:color w:val="1D2733"/>
                <w:sz w:val="14"/>
              </w:rPr>
              <w:t>Elaine Cho — 005, 011, 018, 023, 029, 036, 042, 047, 052, 059, 065, 071, 074, 079, 085, 091, 098, 103, 110, 117, 123, 131, 137</w:t>
            </w:r>
          </w:p>
        </w:tc>
        <w:tc>
          <w:tcPr>
            <w:tcW w:type="dxa" w:w="2376"/>
            <w:vAlign w:val="center"/>
            <w:tcMar>
              <w:top w:w="65" w:type="dxa"/>
              <w:start w:w="75" w:type="dxa"/>
              <w:bottom w:w="65" w:type="dxa"/>
              <w:end w:w="75" w:type="dxa"/>
            </w:tcMar>
            <w:shd w:fill="F4F7FA"/>
          </w:tcPr>
          <w:p>
            <w:pPr>
              <w:pStyle w:val="TableText"/>
              <w:keepLines/>
            </w:pPr>
            <w:r/>
            <w:r>
              <w:rPr>
                <w:rFonts w:ascii="Aptos" w:hAnsi="Aptos"/>
                <w:b w:val="0"/>
                <w:color w:val="1D2733"/>
                <w:sz w:val="14"/>
              </w:rPr>
              <w:t>Detailed lines: 214.0 h; $41,730.00 at $195/h. Displayed subtotal: 186.0 h; $36,270.00.</w:t>
            </w:r>
          </w:p>
        </w:tc>
        <w:tc>
          <w:tcPr>
            <w:tcW w:type="dxa" w:w="4536"/>
            <w:vAlign w:val="center"/>
            <w:tcMar>
              <w:top w:w="65" w:type="dxa"/>
              <w:start w:w="75" w:type="dxa"/>
              <w:bottom w:w="65" w:type="dxa"/>
              <w:end w:w="75" w:type="dxa"/>
            </w:tcMar>
            <w:shd w:fill="F4F7FA"/>
          </w:tcPr>
          <w:p>
            <w:pPr>
              <w:pStyle w:val="TableText"/>
              <w:keepLines/>
            </w:pPr>
            <w:r/>
            <w:r>
              <w:rPr>
                <w:rFonts w:ascii="Aptos" w:hAnsi="Aptos"/>
                <w:b w:val="0"/>
                <w:color w:val="1D2733"/>
                <w:sz w:val="14"/>
              </w:rPr>
              <w:t>Approval Entry 5 and Rate Schedule authorize Phase II review only through September 30, 2024. All billed services are in October. No renewal appears in the log. Disallow all October time under §§3.1 and 9.1; reconcile the additional 28 hours/$5,460.00.</w:t>
            </w:r>
          </w:p>
        </w:tc>
      </w:tr>
    </w:tbl>
    <w:p>
      <w:pPr/>
      <w:r>
        <w:t>Detailed-line disallowance exposure for these two timekeepers is $51,907.50 (not $46,447.50 as would result from using Cho’s incorrect displayed subtotal). Rates for the remaining previously approved timekeepers match the 2024 Rate Schedule; their line-item arithmetic (hours × rate) is correct. All 139 billed time increments are in tenths of an hour. No conclusion on contemporaneous recording can be made from the invoice alone.</w:t>
      </w:r>
    </w:p>
    <w:p>
      <w:pPr>
        <w:pStyle w:val="Heading2"/>
      </w:pPr>
      <w:r>
        <w:t>5.2 Travel time and prior approval</w:t>
      </w:r>
    </w:p>
    <w:p>
      <w:pPr/>
      <w:r>
        <w:t>Entries 025–026 charge Messina 4.2 hours at $895 ($3,759) and Pryor-Hall 4.2 hours at $575 ($2,415), or $6,174 total, for travel to San Francisco. San Francisco is outside the Chicago Litigation Forum. No prior written travel approval appears in the log; Entry 6 authorizes up to $5,000 of Nexon subpoena service/enforcement costs, not out-of-forum travel. The transmittal is post-trip notice, not prior approval. Under §9.1 the full $6,174 is exposed to disallowance. If VIH elects to allow the travel notwithstanding the missing approval, §6.1 and the engagement letter require 50% rates: total payable would be $3,087, so reduce $3,087.</w:t>
      </w:r>
    </w:p>
    <w:p>
      <w:pPr>
        <w:pStyle w:val="Heading2"/>
      </w:pPr>
      <w:r>
        <w:t>5.3 Deposition and internal-conference staffing caps</w:t>
      </w:r>
    </w:p>
    <w:tbl>
      <w:tblPr>
        <w:tblStyle w:val="TableGrid"/>
        <w:tblW w:type="auto" w:w="0"/>
        <w:jc w:val="center"/>
        <w:tblLayout w:type="fixed"/>
        <w:tblLook w:firstColumn="1" w:firstRow="1" w:lastColumn="0" w:lastRow="0" w:noHBand="0" w:noVBand="1" w:val="04A0"/>
      </w:tblPr>
      <w:tblGrid>
        <w:gridCol w:w="2376"/>
        <w:gridCol w:w="3240"/>
        <w:gridCol w:w="4536"/>
      </w:tblGrid>
      <w:tr>
        <w:trPr>
          <w:tblHeader w:val="true"/>
          <w:cantSplit/>
        </w:trPr>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Activity / entries</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Observed billing</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4"/>
              </w:rPr>
              <w:t>Guideline application / exposure</w:t>
            </w:r>
          </w:p>
        </w:tc>
      </w:tr>
      <w:tr>
        <w:trPr>
          <w:cantSplit/>
        </w:trPr>
        <w:tc>
          <w:tcPr>
            <w:tcW w:type="dxa" w:w="2376"/>
            <w:vAlign w:val="center"/>
            <w:tcMar>
              <w:top w:w="65" w:type="dxa"/>
              <w:start w:w="75" w:type="dxa"/>
              <w:bottom w:w="65" w:type="dxa"/>
              <w:end w:w="75" w:type="dxa"/>
            </w:tcMar>
          </w:tcPr>
          <w:p>
            <w:pPr>
              <w:pStyle w:val="TableText"/>
              <w:keepLines/>
            </w:pPr>
            <w:r/>
            <w:r>
              <w:rPr>
                <w:rFonts w:ascii="Aptos" w:hAnsi="Aptos"/>
                <w:b w:val="0"/>
                <w:color w:val="1D2733"/>
                <w:sz w:val="14"/>
              </w:rPr>
              <w:t>Michael Torres deposition, Oct. 15 — 061 Messina; 062 Pryor-Hall; 063 Tanaka; 064 DeVries</w:t>
            </w:r>
          </w:p>
        </w:tc>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Four attorneys billed 9.3, 8.7, 7.2 and 4.0 hours respectively; lines 063–064 total $4,360. DeVries is described as monitoring remotely.</w:t>
            </w:r>
          </w:p>
        </w:tc>
        <w:tc>
          <w:tcPr>
            <w:tcW w:type="dxa" w:w="4536"/>
            <w:vAlign w:val="center"/>
            <w:tcMar>
              <w:top w:w="65" w:type="dxa"/>
              <w:start w:w="75" w:type="dxa"/>
              <w:bottom w:w="65" w:type="dxa"/>
              <w:end w:w="75" w:type="dxa"/>
            </w:tcMar>
          </w:tcPr>
          <w:p>
            <w:pPr>
              <w:pStyle w:val="TableText"/>
              <w:keepLines/>
            </w:pPr>
            <w:r/>
            <w:r>
              <w:rPr>
                <w:rFonts w:ascii="Aptos" w:hAnsi="Aptos"/>
                <w:b w:val="0"/>
                <w:color w:val="1D2733"/>
                <w:sz w:val="14"/>
              </w:rPr>
              <w:t>§5.1 permits no more than two attorneys. Tanaka’s attendance/summary ($3,060) and DeVries’s remote monitoring ($1,300) are additional attorney attendance and exposed to full disallowance. If counsel says time was for separate non-attendance work, require separate contemporaneous entries and allocation.</w:t>
            </w:r>
          </w:p>
        </w:tc>
      </w:tr>
      <w:tr>
        <w:trPr>
          <w:cantSplit/>
        </w:trPr>
        <w:tc>
          <w:tcPr>
            <w:tcW w:type="dxa" w:w="2376"/>
            <w:vAlign w:val="center"/>
            <w:tcMar>
              <w:top w:w="65" w:type="dxa"/>
              <w:start w:w="75" w:type="dxa"/>
              <w:bottom w:w="65" w:type="dxa"/>
              <w:end w:w="75" w:type="dxa"/>
            </w:tcMar>
            <w:shd w:fill="F4F7FA"/>
          </w:tcPr>
          <w:p>
            <w:pPr>
              <w:pStyle w:val="TableText"/>
              <w:keepLines/>
            </w:pPr>
            <w:r/>
            <w:r>
              <w:rPr>
                <w:rFonts w:ascii="Aptos" w:hAnsi="Aptos"/>
                <w:b w:val="0"/>
                <w:color w:val="1D2733"/>
                <w:sz w:val="14"/>
              </w:rPr>
              <w:t>David Nakamura deposition, Oct. 24 — 100 Pryor-Hall; 101 Tanaka; 102 DeVries</w:t>
            </w:r>
          </w:p>
        </w:tc>
        <w:tc>
          <w:tcPr>
            <w:tcW w:type="dxa" w:w="3240"/>
            <w:vAlign w:val="center"/>
            <w:tcMar>
              <w:top w:w="65" w:type="dxa"/>
              <w:start w:w="75" w:type="dxa"/>
              <w:bottom w:w="65" w:type="dxa"/>
              <w:end w:w="75" w:type="dxa"/>
            </w:tcMar>
            <w:shd w:fill="F4F7FA"/>
          </w:tcPr>
          <w:p>
            <w:pPr>
              <w:pStyle w:val="TableText"/>
              <w:keepLines/>
            </w:pPr>
            <w:r/>
            <w:r>
              <w:rPr>
                <w:rFonts w:ascii="Aptos" w:hAnsi="Aptos"/>
                <w:b w:val="0"/>
                <w:color w:val="1D2733"/>
                <w:sz w:val="14"/>
              </w:rPr>
              <w:t>Three attorneys billed attendance/monitoring; line 102 is 4.0 hours / $1,300 and describes monitoring the deposition.</w:t>
            </w:r>
          </w:p>
        </w:tc>
        <w:tc>
          <w:tcPr>
            <w:tcW w:type="dxa" w:w="4536"/>
            <w:vAlign w:val="center"/>
            <w:tcMar>
              <w:top w:w="65" w:type="dxa"/>
              <w:start w:w="75" w:type="dxa"/>
              <w:bottom w:w="65" w:type="dxa"/>
              <w:end w:w="75" w:type="dxa"/>
            </w:tcMar>
            <w:shd w:fill="F4F7FA"/>
          </w:tcPr>
          <w:p>
            <w:pPr>
              <w:pStyle w:val="TableText"/>
              <w:keepLines/>
            </w:pPr>
            <w:r/>
            <w:r>
              <w:rPr>
                <w:rFonts w:ascii="Aptos" w:hAnsi="Aptos"/>
                <w:b w:val="0"/>
                <w:color w:val="1D2733"/>
                <w:sz w:val="14"/>
              </w:rPr>
              <w:t>The two-attorney limit is exceeded. Disallow the additional attendee’s $1,300 line absent a specific prior written exception.</w:t>
            </w:r>
          </w:p>
        </w:tc>
      </w:tr>
      <w:tr>
        <w:trPr>
          <w:cantSplit/>
        </w:trPr>
        <w:tc>
          <w:tcPr>
            <w:tcW w:type="dxa" w:w="2376"/>
            <w:vAlign w:val="center"/>
            <w:tcMar>
              <w:top w:w="65" w:type="dxa"/>
              <w:start w:w="75" w:type="dxa"/>
              <w:bottom w:w="65" w:type="dxa"/>
              <w:end w:w="75" w:type="dxa"/>
            </w:tcMar>
          </w:tcPr>
          <w:p>
            <w:pPr>
              <w:pStyle w:val="TableText"/>
              <w:keepLines/>
            </w:pPr>
            <w:r/>
            <w:r>
              <w:rPr>
                <w:rFonts w:ascii="Aptos" w:hAnsi="Aptos"/>
                <w:b w:val="0"/>
                <w:color w:val="1D2733"/>
                <w:sz w:val="14"/>
              </w:rPr>
              <w:t>Internal strategy meeting, Oct. 28 — 112–116</w:t>
            </w:r>
          </w:p>
        </w:tc>
        <w:tc>
          <w:tcPr>
            <w:tcW w:type="dxa" w:w="3240"/>
            <w:vAlign w:val="center"/>
            <w:tcMar>
              <w:top w:w="65" w:type="dxa"/>
              <w:start w:w="75" w:type="dxa"/>
              <w:bottom w:w="65" w:type="dxa"/>
              <w:end w:w="75" w:type="dxa"/>
            </w:tcMar>
          </w:tcPr>
          <w:p>
            <w:pPr>
              <w:pStyle w:val="TableText"/>
              <w:keepLines/>
            </w:pPr>
            <w:r/>
            <w:r>
              <w:rPr>
                <w:rFonts w:ascii="Aptos" w:hAnsi="Aptos"/>
                <w:b w:val="0"/>
                <w:color w:val="1D2733"/>
                <w:sz w:val="14"/>
              </w:rPr>
              <w:t>Five attorneys each billed 3.8 hours: 19 total attorney-hours. Four approved attendees’ charges total $8,436 for 15.2 hours; Kwan also billed $1,121.</w:t>
            </w:r>
          </w:p>
        </w:tc>
        <w:tc>
          <w:tcPr>
            <w:tcW w:type="dxa" w:w="4536"/>
            <w:vAlign w:val="center"/>
            <w:tcMar>
              <w:top w:w="65" w:type="dxa"/>
              <w:start w:w="75" w:type="dxa"/>
              <w:bottom w:w="65" w:type="dxa"/>
              <w:end w:w="75" w:type="dxa"/>
            </w:tcMar>
          </w:tcPr>
          <w:p>
            <w:pPr>
              <w:pStyle w:val="TableText"/>
              <w:keepLines/>
            </w:pPr>
            <w:r/>
            <w:r>
              <w:rPr>
                <w:rFonts w:ascii="Aptos" w:hAnsi="Aptos"/>
                <w:b w:val="0"/>
                <w:color w:val="1D2733"/>
                <w:sz w:val="14"/>
              </w:rPr>
              <w:t>§5.1 caps attendance at four attorneys and total time at four attorney-hours. Kwan is the fifth attendee and his $1,121 is already included in the unauthorized-timekeeper total above. For the four otherwise approved attendees, a proportional reduction to four of 15.2 hours would reduce $8,436 by $6,216 (illustrative allocation); accept no more than four aggregate attorney-hours.</w:t>
            </w:r>
          </w:p>
        </w:tc>
      </w:tr>
    </w:tbl>
    <w:p>
      <w:pPr/>
      <w:r>
        <w:t>Deposition attendance exposure totals $5,660 (lines 063, 064 and 102), in addition to the internal conference cap. These are separate from the no-approval travel issue. Avoid double counting any line that is ultimately disallowed in full for another reason.</w:t>
      </w:r>
    </w:p>
    <w:p>
      <w:pPr>
        <w:pStyle w:val="Heading2"/>
      </w:pPr>
      <w:r>
        <w:t>5.4 Block billing and narrative minimum</w:t>
      </w:r>
    </w:p>
    <w:p>
      <w:pPr/>
      <w:r>
        <w:t>Guidelines §4.2 prohibits combining distinct tasks and authorizes a 30% reduction of each affected entry. Clear examples include entry 008 (privilege-log analysis and drafting a challenge letter); 014 (expert material review, internal conference, opposing-counsel correspondence); 054 (deposition preparation/review plus client conference); 061–063 (preparation/attendance plus debrief, coordination, summary or follow-up work); 069 (transcript review plus legal research); 088 (motion drafting, research, memorandum, exhibits and prior-order review); 105 (transcript review plus client conference); and 133 (billing/status review plus budget conference). These examples are not exhaustive; review all semicolon- and conjunction-separated entries for distinct tasks. Apply the 30% remedy to block-billed entries, without stacking it on charges disallowed in full.</w:t>
      </w:r>
    </w:p>
    <w:p>
      <w:pPr/>
      <w:r>
        <w:t>The separate minimum-narrative rule in §4.1 requires at least 30 words per time entry. Only entry 008 meets that threshold (36 words). Entries 001–007 and 009–139 (138 entries) do not; their detailed line charges total $266,794.00. Require revised, specific narratives identifying work and relevant materials/participants. The Guidelines permit reduction or disallowance for inadequate descriptions but prescribe no flat percentage for short narratives; the $266,794.00 is gross affected billing, not an additional automatic write-off.</w:t>
      </w:r>
    </w:p>
    <w:p>
      <w:pPr>
        <w:pStyle w:val="Heading2"/>
      </w:pPr>
      <w:r>
        <w:t>5.5 Prohibited administrative/billing time</w:t>
      </w:r>
    </w:p>
    <w:p>
      <w:pPr/>
      <w:r>
        <w:t>The following mixed-task entries include non-billable billing or administrative work under §4.3: entry 125, $682.50 (month-end billing reconciliation); entry 133, $1,253.00 (review of monthly billing summary); and entry 139, $780.00 (billing support documentation and file organization). Gross entries total $2,715.00. Disallow the prohibited portions; because each entry combines work, disallow the entire line unless counsel produces reliable contemporaneous time allocation separating permissible legal work. Entry 133 also appears in the block-billing examples above; do not double count.</w:t>
      </w:r>
    </w:p>
    <w:p>
      <w:pPr>
        <w:pStyle w:val="Heading1"/>
      </w:pPr>
      <w:r>
        <w:t>6. Expense Deviations</w:t>
      </w:r>
    </w:p>
    <w:p>
      <w:pPr/>
      <w:r>
        <w:t>The expense table’s stated individual lines sum to $244,652.14, $10.00 above its total and the Summary tab. The expense review below separates approval, cap and reimbursement restrictions from missing backup documentation.</w:t>
      </w:r>
    </w:p>
    <w:tbl>
      <w:tblPr>
        <w:tblStyle w:val="TableGrid"/>
        <w:tblW w:type="auto" w:w="0"/>
        <w:jc w:val="center"/>
        <w:tblLayout w:type="fixed"/>
        <w:tblLook w:firstColumn="1" w:firstRow="1" w:lastColumn="0" w:lastRow="0" w:noHBand="0" w:noVBand="1" w:val="04A0"/>
      </w:tblPr>
      <w:tblGrid>
        <w:gridCol w:w="2232"/>
        <w:gridCol w:w="4392"/>
        <w:gridCol w:w="3528"/>
      </w:tblGrid>
      <w:tr>
        <w:trPr>
          <w:tblHeader w:val="true"/>
          <w:cantSplit/>
        </w:trPr>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3"/>
              </w:rPr>
              <w:t>Line / amount</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3"/>
              </w:rPr>
              <w:t>Finding</w:t>
            </w:r>
          </w:p>
        </w:tc>
        <w:tc>
          <w:tcPr>
            <w:tcW w:type="dxa" w:w="3389"/>
            <w:vAlign w:val="center"/>
            <w:tcMar>
              <w:top w:w="65" w:type="dxa"/>
              <w:start w:w="75" w:type="dxa"/>
              <w:bottom w:w="65" w:type="dxa"/>
              <w:end w:w="75" w:type="dxa"/>
            </w:tcMar>
            <w:shd w:fill="17365D"/>
          </w:tcPr>
          <w:p>
            <w:pPr>
              <w:pStyle w:val="TableText"/>
              <w:keepLines/>
            </w:pPr>
            <w:r/>
            <w:r>
              <w:rPr>
                <w:rFonts w:ascii="Aptos" w:hAnsi="Aptos"/>
                <w:b/>
                <w:color w:val="FFFFFF"/>
                <w:sz w:val="13"/>
              </w:rPr>
              <w:t>Recommended adjustment / evidence</w:t>
            </w:r>
          </w:p>
        </w:tc>
      </w:tr>
      <w:tr>
        <w:trPr>
          <w:cantSplit/>
        </w:trPr>
        <w:tc>
          <w:tcPr>
            <w:tcW w:type="dxa" w:w="2232"/>
            <w:vAlign w:val="center"/>
            <w:tcMar>
              <w:top w:w="65" w:type="dxa"/>
              <w:start w:w="75" w:type="dxa"/>
              <w:bottom w:w="65" w:type="dxa"/>
              <w:end w:w="75" w:type="dxa"/>
            </w:tcMar>
          </w:tcPr>
          <w:p>
            <w:pPr>
              <w:pStyle w:val="TableText"/>
              <w:keepLines/>
            </w:pPr>
            <w:r/>
            <w:r>
              <w:rPr>
                <w:rFonts w:ascii="Aptos" w:hAnsi="Aptos"/>
                <w:b w:val="0"/>
                <w:color w:val="1D2733"/>
                <w:sz w:val="13"/>
              </w:rPr>
              <w:t>E-006 Westlaw — $4,218.60</w:t>
            </w:r>
          </w:p>
        </w:tc>
        <w:tc>
          <w:tcPr>
            <w:tcW w:type="dxa" w:w="4392"/>
            <w:vAlign w:val="center"/>
            <w:tcMar>
              <w:top w:w="65" w:type="dxa"/>
              <w:start w:w="75" w:type="dxa"/>
              <w:bottom w:w="65" w:type="dxa"/>
              <w:end w:w="75" w:type="dxa"/>
            </w:tcMar>
          </w:tcPr>
          <w:p>
            <w:pPr>
              <w:pStyle w:val="TableText"/>
              <w:keepLines/>
            </w:pPr>
            <w:r/>
            <w:r>
              <w:rPr>
                <w:rFonts w:ascii="Aptos" w:hAnsi="Aptos"/>
                <w:b w:val="0"/>
                <w:color w:val="1D2733"/>
                <w:sz w:val="13"/>
              </w:rPr>
              <w:t>October legal-research charge exceeds $3,500 monthly/matter cap by $718.60; no approval for excess appears.</w:t>
            </w:r>
          </w:p>
        </w:tc>
        <w:tc>
          <w:tcPr>
            <w:tcW w:type="dxa" w:w="3528"/>
            <w:vAlign w:val="center"/>
            <w:tcMar>
              <w:top w:w="65" w:type="dxa"/>
              <w:start w:w="75" w:type="dxa"/>
              <w:bottom w:w="65" w:type="dxa"/>
              <w:end w:w="75" w:type="dxa"/>
            </w:tcMar>
          </w:tcPr>
          <w:p>
            <w:pPr>
              <w:pStyle w:val="TableText"/>
              <w:keepLines/>
            </w:pPr>
            <w:r/>
            <w:r>
              <w:rPr>
                <w:rFonts w:ascii="Aptos" w:hAnsi="Aptos"/>
                <w:b w:val="0"/>
                <w:color w:val="1D2733"/>
                <w:sz w:val="13"/>
              </w:rPr>
              <w:t>Reduce to $3,500; disallow $718.60 absent prior written approval. Obtain provider invoice / actual-cost support.</w:t>
            </w:r>
          </w:p>
        </w:tc>
      </w:tr>
      <w:tr>
        <w:trPr>
          <w:cantSplit/>
        </w:trPr>
        <w:tc>
          <w:tcPr>
            <w:tcW w:type="dxa" w:w="2232"/>
            <w:vAlign w:val="center"/>
            <w:tcMar>
              <w:top w:w="65" w:type="dxa"/>
              <w:start w:w="75" w:type="dxa"/>
              <w:bottom w:w="65" w:type="dxa"/>
              <w:end w:w="75" w:type="dxa"/>
            </w:tcMar>
            <w:shd w:fill="F4F7FA"/>
          </w:tcPr>
          <w:p>
            <w:pPr>
              <w:pStyle w:val="TableText"/>
              <w:keepLines/>
            </w:pPr>
            <w:r/>
            <w:r>
              <w:rPr>
                <w:rFonts w:ascii="Aptos" w:hAnsi="Aptos"/>
                <w:b w:val="0"/>
                <w:color w:val="1D2733"/>
                <w:sz w:val="13"/>
              </w:rPr>
              <w:t>E-007 printing — $12,050.00</w:t>
            </w:r>
          </w:p>
        </w:tc>
        <w:tc>
          <w:tcPr>
            <w:tcW w:type="dxa" w:w="4392"/>
            <w:vAlign w:val="center"/>
            <w:tcMar>
              <w:top w:w="65" w:type="dxa"/>
              <w:start w:w="75" w:type="dxa"/>
              <w:bottom w:w="65" w:type="dxa"/>
              <w:end w:w="75" w:type="dxa"/>
            </w:tcMar>
            <w:shd w:fill="F4F7FA"/>
          </w:tcPr>
          <w:p>
            <w:pPr>
              <w:pStyle w:val="TableText"/>
              <w:keepLines/>
            </w:pPr>
            <w:r/>
            <w:r>
              <w:rPr>
                <w:rFonts w:ascii="Aptos" w:hAnsi="Aptos"/>
                <w:b w:val="0"/>
                <w:color w:val="1D2733"/>
                <w:sz w:val="13"/>
              </w:rPr>
              <w:t>48,200 pages billed at $0.25/page; VIH cap is $0.15/page ($7,230 maximum). Line is also a single $12,050 expense requiring prior approval; none appears.</w:t>
            </w:r>
          </w:p>
        </w:tc>
        <w:tc>
          <w:tcPr>
            <w:tcW w:type="dxa" w:w="3528"/>
            <w:vAlign w:val="center"/>
            <w:tcMar>
              <w:top w:w="65" w:type="dxa"/>
              <w:start w:w="75" w:type="dxa"/>
              <w:bottom w:w="65" w:type="dxa"/>
              <w:end w:w="75" w:type="dxa"/>
            </w:tcMar>
            <w:shd w:fill="F4F7FA"/>
          </w:tcPr>
          <w:p>
            <w:pPr>
              <w:pStyle w:val="TableText"/>
              <w:keepLines/>
            </w:pPr>
            <w:r/>
            <w:r>
              <w:rPr>
                <w:rFonts w:ascii="Aptos" w:hAnsi="Aptos"/>
                <w:b w:val="0"/>
                <w:color w:val="1D2733"/>
                <w:sz w:val="13"/>
              </w:rPr>
              <w:t>Strict application: disallow full $12,050 pending prior approval (or exceptional written retroactive approval). If the line is otherwise approved, reduce by at least $4,820 to $7,230. Do not add the $4,820 alternative to the full-line adjustment.</w:t>
            </w:r>
          </w:p>
        </w:tc>
      </w:tr>
      <w:tr>
        <w:trPr>
          <w:cantSplit/>
        </w:trPr>
        <w:tc>
          <w:tcPr>
            <w:tcW w:type="dxa" w:w="2232"/>
            <w:vAlign w:val="center"/>
            <w:tcMar>
              <w:top w:w="65" w:type="dxa"/>
              <w:start w:w="75" w:type="dxa"/>
              <w:bottom w:w="65" w:type="dxa"/>
              <w:end w:w="75" w:type="dxa"/>
            </w:tcMar>
          </w:tcPr>
          <w:p>
            <w:pPr>
              <w:pStyle w:val="TableText"/>
              <w:keepLines/>
            </w:pPr>
            <w:r/>
            <w:r>
              <w:rPr>
                <w:rFonts w:ascii="Aptos" w:hAnsi="Aptos"/>
                <w:b w:val="0"/>
                <w:color w:val="1D2733"/>
                <w:sz w:val="13"/>
              </w:rPr>
              <w:t>E-008–015 San Francisco travel expenses — $7,234.00</w:t>
            </w:r>
          </w:p>
        </w:tc>
        <w:tc>
          <w:tcPr>
            <w:tcW w:type="dxa" w:w="4392"/>
            <w:vAlign w:val="center"/>
            <w:tcMar>
              <w:top w:w="65" w:type="dxa"/>
              <w:start w:w="75" w:type="dxa"/>
              <w:bottom w:w="65" w:type="dxa"/>
              <w:end w:w="75" w:type="dxa"/>
            </w:tcMar>
          </w:tcPr>
          <w:p>
            <w:pPr>
              <w:pStyle w:val="TableText"/>
              <w:keepLines/>
            </w:pPr>
            <w:r/>
            <w:r>
              <w:rPr>
                <w:rFonts w:ascii="Aptos" w:hAnsi="Aptos"/>
                <w:b w:val="0"/>
                <w:color w:val="1D2733"/>
                <w:sz w:val="13"/>
              </w:rPr>
              <w:t>Out-of-forum travel had no prior written approval. Hotels: $489/night × 3 for each traveler versus $325 cap, excess $984 total. Messina meals $312.40 over three days versus $225 cap, excess $87.40; Pryor-Hall meals $198.40 are within cap. Messina’s $387 black car is prohibited; Pryor-Hall’s $143.20 ride-share is an allowed mode.</w:t>
            </w:r>
          </w:p>
        </w:tc>
        <w:tc>
          <w:tcPr>
            <w:tcW w:type="dxa" w:w="3528"/>
            <w:vAlign w:val="center"/>
            <w:tcMar>
              <w:top w:w="65" w:type="dxa"/>
              <w:start w:w="75" w:type="dxa"/>
              <w:bottom w:w="65" w:type="dxa"/>
              <w:end w:w="75" w:type="dxa"/>
            </w:tcMar>
          </w:tcPr>
          <w:p>
            <w:pPr>
              <w:pStyle w:val="TableText"/>
              <w:keepLines/>
            </w:pPr>
            <w:r/>
            <w:r>
              <w:rPr>
                <w:rFonts w:ascii="Aptos" w:hAnsi="Aptos"/>
                <w:b w:val="0"/>
                <w:color w:val="1D2733"/>
                <w:sz w:val="13"/>
              </w:rPr>
              <w:t>Potential full disallowance of all $7,234 under §9.1 for lack of approval. If trip is allowed, at minimum reduce $984 hotel overage, $87.40 meal excess and $387 black car (total $1,458.40). Require itemized receipts for travel and meals. Business class on the domestic Chicago–San Francisco itinerary is allowable only if scheduled flight duration was at least four hours; obtain itinerary.</w:t>
            </w:r>
          </w:p>
        </w:tc>
      </w:tr>
      <w:tr>
        <w:trPr>
          <w:cantSplit/>
        </w:trPr>
        <w:tc>
          <w:tcPr>
            <w:tcW w:type="dxa" w:w="2232"/>
            <w:vAlign w:val="center"/>
            <w:tcMar>
              <w:top w:w="65" w:type="dxa"/>
              <w:start w:w="75" w:type="dxa"/>
              <w:bottom w:w="65" w:type="dxa"/>
              <w:end w:w="75" w:type="dxa"/>
            </w:tcMar>
            <w:shd w:fill="F4F7FA"/>
          </w:tcPr>
          <w:p>
            <w:pPr>
              <w:pStyle w:val="TableText"/>
              <w:keepLines/>
            </w:pPr>
            <w:r/>
            <w:r>
              <w:rPr>
                <w:rFonts w:ascii="Aptos" w:hAnsi="Aptos"/>
                <w:b w:val="0"/>
                <w:color w:val="1D2733"/>
                <w:sz w:val="13"/>
              </w:rPr>
              <w:t>E-017 Relativity hosting — $18,500.00</w:t>
            </w:r>
          </w:p>
        </w:tc>
        <w:tc>
          <w:tcPr>
            <w:tcW w:type="dxa" w:w="4392"/>
            <w:vAlign w:val="center"/>
            <w:tcMar>
              <w:top w:w="65" w:type="dxa"/>
              <w:start w:w="75" w:type="dxa"/>
              <w:bottom w:w="65" w:type="dxa"/>
              <w:end w:w="75" w:type="dxa"/>
            </w:tcMar>
            <w:shd w:fill="F4F7FA"/>
          </w:tcPr>
          <w:p>
            <w:pPr>
              <w:pStyle w:val="TableText"/>
              <w:keepLines/>
            </w:pPr>
            <w:r/>
            <w:r>
              <w:rPr>
                <w:rFonts w:ascii="Aptos" w:hAnsi="Aptos"/>
                <w:b w:val="0"/>
                <w:color w:val="1D2733"/>
                <w:sz w:val="13"/>
              </w:rPr>
              <w:t>Prior Approval Entry 4 authorizes CloudStar Technologies’ Relativity hosting/processing through document review, estimated at $12,000–$15,000/month. Invoice labels vendor “Relativity” and bills $18,500. It is unclear whether this is the approved third-party pass-through or prohibited internal hosting/technology overhead.</w:t>
            </w:r>
          </w:p>
        </w:tc>
        <w:tc>
          <w:tcPr>
            <w:tcW w:type="dxa" w:w="3528"/>
            <w:vAlign w:val="center"/>
            <w:tcMar>
              <w:top w:w="65" w:type="dxa"/>
              <w:start w:w="75" w:type="dxa"/>
              <w:bottom w:w="65" w:type="dxa"/>
              <w:end w:w="75" w:type="dxa"/>
            </w:tcMar>
            <w:shd w:fill="F4F7FA"/>
          </w:tcPr>
          <w:p>
            <w:pPr>
              <w:pStyle w:val="TableText"/>
              <w:keepLines/>
            </w:pPr>
            <w:r/>
            <w:r>
              <w:rPr>
                <w:rFonts w:ascii="Aptos" w:hAnsi="Aptos"/>
                <w:b w:val="0"/>
                <w:color w:val="1D2733"/>
                <w:sz w:val="13"/>
              </w:rPr>
              <w:t>Obtain CloudStar/Relativity vendor invoice and confirm actual third-party cost, scope, and written authorization for the amount above the $15,000 estimate. $3,500 is above the estimate; up to $18,500 is exposed if internal firm hosting or outside approved scope. Not included in baseline below.</w:t>
            </w:r>
          </w:p>
        </w:tc>
      </w:tr>
      <w:tr>
        <w:trPr>
          <w:cantSplit/>
        </w:trPr>
        <w:tc>
          <w:tcPr>
            <w:tcW w:type="dxa" w:w="2232"/>
            <w:vAlign w:val="center"/>
            <w:tcMar>
              <w:top w:w="65" w:type="dxa"/>
              <w:start w:w="75" w:type="dxa"/>
              <w:bottom w:w="65" w:type="dxa"/>
              <w:end w:w="75" w:type="dxa"/>
            </w:tcMar>
          </w:tcPr>
          <w:p>
            <w:pPr>
              <w:pStyle w:val="TableText"/>
              <w:keepLines/>
            </w:pPr>
            <w:r/>
            <w:r>
              <w:rPr>
                <w:rFonts w:ascii="Aptos" w:hAnsi="Aptos"/>
                <w:b w:val="0"/>
                <w:color w:val="1D2733"/>
                <w:sz w:val="13"/>
              </w:rPr>
              <w:t>E-018 admin support — $2,345.00</w:t>
            </w:r>
          </w:p>
        </w:tc>
        <w:tc>
          <w:tcPr>
            <w:tcW w:type="dxa" w:w="4392"/>
            <w:vAlign w:val="center"/>
            <w:tcMar>
              <w:top w:w="65" w:type="dxa"/>
              <w:start w:w="75" w:type="dxa"/>
              <w:bottom w:w="65" w:type="dxa"/>
              <w:end w:w="75" w:type="dxa"/>
            </w:tcMar>
          </w:tcPr>
          <w:p>
            <w:pPr>
              <w:pStyle w:val="TableText"/>
              <w:keepLines/>
            </w:pPr>
            <w:r/>
            <w:r>
              <w:rPr>
                <w:rFonts w:ascii="Aptos" w:hAnsi="Aptos"/>
                <w:b w:val="0"/>
                <w:color w:val="1D2733"/>
                <w:sz w:val="13"/>
              </w:rPr>
              <w:t>After-hours word processing and administrative support are expressly non-reimbursable.</w:t>
            </w:r>
          </w:p>
        </w:tc>
        <w:tc>
          <w:tcPr>
            <w:tcW w:type="dxa" w:w="3528"/>
            <w:vAlign w:val="center"/>
            <w:tcMar>
              <w:top w:w="65" w:type="dxa"/>
              <w:start w:w="75" w:type="dxa"/>
              <w:bottom w:w="65" w:type="dxa"/>
              <w:end w:w="75" w:type="dxa"/>
            </w:tcMar>
          </w:tcPr>
          <w:p>
            <w:pPr>
              <w:pStyle w:val="TableText"/>
              <w:keepLines/>
            </w:pPr>
            <w:r/>
            <w:r>
              <w:rPr>
                <w:rFonts w:ascii="Aptos" w:hAnsi="Aptos"/>
                <w:b w:val="0"/>
                <w:color w:val="1D2733"/>
                <w:sz w:val="13"/>
              </w:rPr>
              <w:t>Disallow full $2,345.</w:t>
            </w:r>
          </w:p>
        </w:tc>
      </w:tr>
      <w:tr>
        <w:trPr>
          <w:cantSplit/>
        </w:trPr>
        <w:tc>
          <w:tcPr>
            <w:tcW w:type="dxa" w:w="2232"/>
            <w:vAlign w:val="center"/>
            <w:tcMar>
              <w:top w:w="65" w:type="dxa"/>
              <w:start w:w="75" w:type="dxa"/>
              <w:bottom w:w="65" w:type="dxa"/>
              <w:end w:w="75" w:type="dxa"/>
            </w:tcMar>
            <w:shd w:fill="F4F7FA"/>
          </w:tcPr>
          <w:p>
            <w:pPr>
              <w:pStyle w:val="TableText"/>
              <w:keepLines/>
            </w:pPr>
            <w:r/>
            <w:r>
              <w:rPr>
                <w:rFonts w:ascii="Aptos" w:hAnsi="Aptos"/>
                <w:b w:val="0"/>
                <w:color w:val="1D2733"/>
                <w:sz w:val="13"/>
              </w:rPr>
              <w:t>E-019 technology surcharge — $4,853.74</w:t>
            </w:r>
          </w:p>
        </w:tc>
        <w:tc>
          <w:tcPr>
            <w:tcW w:type="dxa" w:w="4392"/>
            <w:vAlign w:val="center"/>
            <w:tcMar>
              <w:top w:w="65" w:type="dxa"/>
              <w:start w:w="75" w:type="dxa"/>
              <w:bottom w:w="65" w:type="dxa"/>
              <w:end w:w="75" w:type="dxa"/>
            </w:tcMar>
            <w:shd w:fill="F4F7FA"/>
          </w:tcPr>
          <w:p>
            <w:pPr>
              <w:pStyle w:val="TableText"/>
              <w:keepLines/>
            </w:pPr>
            <w:r/>
            <w:r>
              <w:rPr>
                <w:rFonts w:ascii="Aptos" w:hAnsi="Aptos"/>
                <w:b w:val="0"/>
                <w:color w:val="1D2733"/>
                <w:sz w:val="13"/>
              </w:rPr>
              <w:t>2% technology-infrastructure charge is a prohibited surcharge/overhead allocation and markup.</w:t>
            </w:r>
          </w:p>
        </w:tc>
        <w:tc>
          <w:tcPr>
            <w:tcW w:type="dxa" w:w="3528"/>
            <w:vAlign w:val="center"/>
            <w:tcMar>
              <w:top w:w="65" w:type="dxa"/>
              <w:start w:w="75" w:type="dxa"/>
              <w:bottom w:w="65" w:type="dxa"/>
              <w:end w:w="75" w:type="dxa"/>
            </w:tcMar>
            <w:shd w:fill="F4F7FA"/>
          </w:tcPr>
          <w:p>
            <w:pPr>
              <w:pStyle w:val="TableText"/>
              <w:keepLines/>
            </w:pPr>
            <w:r/>
            <w:r>
              <w:rPr>
                <w:rFonts w:ascii="Aptos" w:hAnsi="Aptos"/>
                <w:b w:val="0"/>
                <w:color w:val="1D2733"/>
                <w:sz w:val="13"/>
              </w:rPr>
              <w:t>Disallow full $4,853.74.</w:t>
            </w:r>
          </w:p>
        </w:tc>
      </w:tr>
      <w:tr>
        <w:trPr>
          <w:cantSplit/>
        </w:trPr>
        <w:tc>
          <w:tcPr>
            <w:tcW w:type="dxa" w:w="2232"/>
            <w:vAlign w:val="center"/>
            <w:tcMar>
              <w:top w:w="65" w:type="dxa"/>
              <w:start w:w="75" w:type="dxa"/>
              <w:bottom w:w="65" w:type="dxa"/>
              <w:end w:w="75" w:type="dxa"/>
            </w:tcMar>
          </w:tcPr>
          <w:p>
            <w:pPr>
              <w:pStyle w:val="TableText"/>
              <w:keepLines/>
            </w:pPr>
            <w:r/>
            <w:r>
              <w:rPr>
                <w:rFonts w:ascii="Aptos" w:hAnsi="Aptos"/>
                <w:b w:val="0"/>
                <w:color w:val="1D2733"/>
                <w:sz w:val="13"/>
              </w:rPr>
              <w:t>E-020 Forrest Data Solutions — $48,250.00</w:t>
            </w:r>
          </w:p>
        </w:tc>
        <w:tc>
          <w:tcPr>
            <w:tcW w:type="dxa" w:w="4392"/>
            <w:vAlign w:val="center"/>
            <w:tcMar>
              <w:top w:w="65" w:type="dxa"/>
              <w:start w:w="75" w:type="dxa"/>
              <w:bottom w:w="65" w:type="dxa"/>
              <w:end w:w="75" w:type="dxa"/>
            </w:tcMar>
          </w:tcPr>
          <w:p>
            <w:pPr>
              <w:pStyle w:val="TableText"/>
              <w:keepLines/>
            </w:pPr>
            <w:r/>
            <w:r>
              <w:rPr>
                <w:rFonts w:ascii="Aptos" w:hAnsi="Aptos"/>
                <w:b w:val="0"/>
                <w:color w:val="1D2733"/>
                <w:sz w:val="13"/>
              </w:rPr>
              <w:t>Third-party collection, processing and hosting charge exceeds $10,000 and no approval for Forrest appears. Entry 6 covers Nexon subpoena service/enforcement and filing costs up to $5,000—not this vendor engagement.</w:t>
            </w:r>
          </w:p>
        </w:tc>
        <w:tc>
          <w:tcPr>
            <w:tcW w:type="dxa" w:w="3528"/>
            <w:vAlign w:val="center"/>
            <w:tcMar>
              <w:top w:w="65" w:type="dxa"/>
              <w:start w:w="75" w:type="dxa"/>
              <w:bottom w:w="65" w:type="dxa"/>
              <w:end w:w="75" w:type="dxa"/>
            </w:tcMar>
          </w:tcPr>
          <w:p>
            <w:pPr>
              <w:pStyle w:val="TableText"/>
              <w:keepLines/>
            </w:pPr>
            <w:r/>
            <w:r>
              <w:rPr>
                <w:rFonts w:ascii="Aptos" w:hAnsi="Aptos"/>
                <w:b w:val="0"/>
                <w:color w:val="1D2733"/>
                <w:sz w:val="13"/>
              </w:rPr>
              <w:t>Disallow full $48,250 absent a specific prior written approval. Obtain vendor invoice in any event; also confirm no duplication with the Relativity hosting line.</w:t>
            </w:r>
          </w:p>
        </w:tc>
      </w:tr>
      <w:tr>
        <w:trPr>
          <w:cantSplit/>
        </w:trPr>
        <w:tc>
          <w:tcPr>
            <w:tcW w:type="dxa" w:w="2232"/>
            <w:vAlign w:val="center"/>
            <w:tcMar>
              <w:top w:w="65" w:type="dxa"/>
              <w:start w:w="75" w:type="dxa"/>
              <w:bottom w:w="65" w:type="dxa"/>
              <w:end w:w="75" w:type="dxa"/>
            </w:tcMar>
            <w:shd w:fill="F4F7FA"/>
          </w:tcPr>
          <w:p>
            <w:pPr>
              <w:pStyle w:val="TableText"/>
              <w:keepLines/>
            </w:pPr>
            <w:r/>
            <w:r>
              <w:rPr>
                <w:rFonts w:ascii="Aptos" w:hAnsi="Aptos"/>
                <w:b w:val="0"/>
                <w:color w:val="1D2733"/>
                <w:sz w:val="13"/>
              </w:rPr>
              <w:t>E-021 Brixton &amp; Associates — $1,500.00</w:t>
            </w:r>
          </w:p>
        </w:tc>
        <w:tc>
          <w:tcPr>
            <w:tcW w:type="dxa" w:w="4392"/>
            <w:vAlign w:val="center"/>
            <w:tcMar>
              <w:top w:w="65" w:type="dxa"/>
              <w:start w:w="75" w:type="dxa"/>
              <w:bottom w:w="65" w:type="dxa"/>
              <w:end w:w="75" w:type="dxa"/>
            </w:tcMar>
            <w:shd w:fill="F4F7FA"/>
          </w:tcPr>
          <w:p>
            <w:pPr>
              <w:pStyle w:val="TableText"/>
              <w:keepLines/>
            </w:pPr>
            <w:r/>
            <w:r>
              <w:rPr>
                <w:rFonts w:ascii="Aptos" w:hAnsi="Aptos"/>
                <w:b w:val="0"/>
                <w:color w:val="1D2733"/>
                <w:sz w:val="13"/>
              </w:rPr>
              <w:t>San Francisco local counsel retainer requires prior approval. No local-counsel approval appears in the log.</w:t>
            </w:r>
          </w:p>
        </w:tc>
        <w:tc>
          <w:tcPr>
            <w:tcW w:type="dxa" w:w="3528"/>
            <w:vAlign w:val="center"/>
            <w:tcMar>
              <w:top w:w="65" w:type="dxa"/>
              <w:start w:w="75" w:type="dxa"/>
              <w:bottom w:w="65" w:type="dxa"/>
              <w:end w:w="75" w:type="dxa"/>
            </w:tcMar>
            <w:shd w:fill="F4F7FA"/>
          </w:tcPr>
          <w:p>
            <w:pPr>
              <w:pStyle w:val="TableText"/>
              <w:keepLines/>
            </w:pPr>
            <w:r/>
            <w:r>
              <w:rPr>
                <w:rFonts w:ascii="Aptos" w:hAnsi="Aptos"/>
                <w:b w:val="0"/>
                <w:color w:val="1D2733"/>
                <w:sz w:val="13"/>
              </w:rPr>
              <w:t>Disallow full $1,500 absent prior written approval.</w:t>
            </w:r>
          </w:p>
        </w:tc>
      </w:tr>
      <w:tr>
        <w:trPr>
          <w:cantSplit/>
        </w:trPr>
        <w:tc>
          <w:tcPr>
            <w:tcW w:type="dxa" w:w="2232"/>
            <w:vAlign w:val="center"/>
            <w:tcMar>
              <w:top w:w="65" w:type="dxa"/>
              <w:start w:w="75" w:type="dxa"/>
              <w:bottom w:w="65" w:type="dxa"/>
              <w:end w:w="75" w:type="dxa"/>
            </w:tcMar>
          </w:tcPr>
          <w:p>
            <w:pPr>
              <w:pStyle w:val="TableText"/>
              <w:keepLines/>
            </w:pPr>
            <w:r/>
            <w:r>
              <w:rPr>
                <w:rFonts w:ascii="Aptos" w:hAnsi="Aptos"/>
                <w:b w:val="0"/>
                <w:color w:val="1D2733"/>
                <w:sz w:val="13"/>
              </w:rPr>
              <w:t>E-001/E-002 experts — $129,500.00</w:t>
            </w:r>
          </w:p>
        </w:tc>
        <w:tc>
          <w:tcPr>
            <w:tcW w:type="dxa" w:w="4392"/>
            <w:vAlign w:val="center"/>
            <w:tcMar>
              <w:top w:w="65" w:type="dxa"/>
              <w:start w:w="75" w:type="dxa"/>
              <w:bottom w:w="65" w:type="dxa"/>
              <w:end w:w="75" w:type="dxa"/>
            </w:tcMar>
          </w:tcPr>
          <w:p>
            <w:pPr>
              <w:pStyle w:val="TableText"/>
              <w:keepLines/>
            </w:pPr>
            <w:r/>
            <w:r>
              <w:rPr>
                <w:rFonts w:ascii="Aptos" w:hAnsi="Aptos"/>
                <w:b w:val="0"/>
                <w:color w:val="1D2733"/>
                <w:sz w:val="13"/>
              </w:rPr>
              <w:t>Voss ($87,500) and Huang ($42,000) are approved experts, with total engagement caps of $150,000 and $100,000. Current-month charges alone are within caps; cumulative prior spend is not provided.</w:t>
            </w:r>
          </w:p>
        </w:tc>
        <w:tc>
          <w:tcPr>
            <w:tcW w:type="dxa" w:w="3528"/>
            <w:vAlign w:val="center"/>
            <w:tcMar>
              <w:top w:w="65" w:type="dxa"/>
              <w:start w:w="75" w:type="dxa"/>
              <w:bottom w:w="65" w:type="dxa"/>
              <w:end w:w="75" w:type="dxa"/>
            </w:tcMar>
          </w:tcPr>
          <w:p>
            <w:pPr>
              <w:pStyle w:val="TableText"/>
              <w:keepLines/>
            </w:pPr>
            <w:r/>
            <w:r>
              <w:rPr>
                <w:rFonts w:ascii="Aptos" w:hAnsi="Aptos"/>
                <w:b w:val="0"/>
                <w:color w:val="1D2733"/>
                <w:sz w:val="13"/>
              </w:rPr>
              <w:t>Approval is facially valid subject to remaining cap. Obtain each expert’s itemized invoice as required by §7.1 and reconcile lifetime-to-date spend against both caps before payment.</w:t>
            </w:r>
          </w:p>
        </w:tc>
      </w:tr>
      <w:tr>
        <w:trPr>
          <w:cantSplit/>
        </w:trPr>
        <w:tc>
          <w:tcPr>
            <w:tcW w:type="dxa" w:w="2232"/>
            <w:vAlign w:val="center"/>
            <w:tcMar>
              <w:top w:w="65" w:type="dxa"/>
              <w:start w:w="75" w:type="dxa"/>
              <w:bottom w:w="65" w:type="dxa"/>
              <w:end w:w="75" w:type="dxa"/>
            </w:tcMar>
            <w:shd w:fill="F4F7FA"/>
          </w:tcPr>
          <w:p>
            <w:pPr>
              <w:pStyle w:val="TableText"/>
              <w:keepLines/>
            </w:pPr>
            <w:r/>
            <w:r>
              <w:rPr>
                <w:rFonts w:ascii="Aptos" w:hAnsi="Aptos"/>
                <w:b w:val="0"/>
                <w:color w:val="1D2733"/>
                <w:sz w:val="13"/>
              </w:rPr>
              <w:t>E-003–005 court reporting — $14,872.50</w:t>
            </w:r>
          </w:p>
        </w:tc>
        <w:tc>
          <w:tcPr>
            <w:tcW w:type="dxa" w:w="4392"/>
            <w:vAlign w:val="center"/>
            <w:tcMar>
              <w:top w:w="65" w:type="dxa"/>
              <w:start w:w="75" w:type="dxa"/>
              <w:bottom w:w="65" w:type="dxa"/>
              <w:end w:w="75" w:type="dxa"/>
            </w:tcMar>
            <w:shd w:fill="F4F7FA"/>
          </w:tcPr>
          <w:p>
            <w:pPr>
              <w:pStyle w:val="TableText"/>
              <w:keepLines/>
            </w:pPr>
            <w:r/>
            <w:r>
              <w:rPr>
                <w:rFonts w:ascii="Aptos" w:hAnsi="Aptos"/>
                <w:b w:val="0"/>
                <w:color w:val="1D2733"/>
                <w:sz w:val="13"/>
              </w:rPr>
              <w:t>Entry 3 pre-approves Meridian court reporter/transcript services for fact depositions to $65,000 total; E-003 is $5,240, and E-004/E-005 are below the $5,000 individual approval threshold. Vendor identity and cumulative authorized spend are not established in the invoice.</w:t>
            </w:r>
          </w:p>
        </w:tc>
        <w:tc>
          <w:tcPr>
            <w:tcW w:type="dxa" w:w="3528"/>
            <w:vAlign w:val="center"/>
            <w:tcMar>
              <w:top w:w="65" w:type="dxa"/>
              <w:start w:w="75" w:type="dxa"/>
              <w:bottom w:w="65" w:type="dxa"/>
              <w:end w:w="75" w:type="dxa"/>
            </w:tcMar>
            <w:shd w:fill="F4F7FA"/>
          </w:tcPr>
          <w:p>
            <w:pPr>
              <w:pStyle w:val="TableText"/>
              <w:keepLines/>
            </w:pPr>
            <w:r/>
            <w:r>
              <w:rPr>
                <w:rFonts w:ascii="Aptos" w:hAnsi="Aptos"/>
                <w:b w:val="0"/>
                <w:color w:val="1D2733"/>
                <w:sz w:val="13"/>
              </w:rPr>
              <w:t>No facial approval defect if these are Meridian costs within the aggregate cap. Obtain vendor invoices/receipts and confirm aggregate remains within $65,000.</w:t>
            </w:r>
          </w:p>
        </w:tc>
      </w:tr>
      <w:tr>
        <w:trPr>
          <w:cantSplit/>
        </w:trPr>
        <w:tc>
          <w:tcPr>
            <w:tcW w:type="dxa" w:w="2232"/>
            <w:vAlign w:val="center"/>
            <w:tcMar>
              <w:top w:w="65" w:type="dxa"/>
              <w:start w:w="75" w:type="dxa"/>
              <w:bottom w:w="65" w:type="dxa"/>
              <w:end w:w="75" w:type="dxa"/>
            </w:tcMar>
          </w:tcPr>
          <w:p>
            <w:pPr>
              <w:pStyle w:val="TableText"/>
              <w:keepLines/>
            </w:pPr>
            <w:r/>
            <w:r>
              <w:rPr>
                <w:rFonts w:ascii="Aptos" w:hAnsi="Aptos"/>
                <w:b w:val="0"/>
                <w:color w:val="1D2733"/>
                <w:sz w:val="13"/>
              </w:rPr>
              <w:t>E-016 courier $872.04; E-022 filing/service $456.26</w:t>
            </w:r>
          </w:p>
        </w:tc>
        <w:tc>
          <w:tcPr>
            <w:tcW w:type="dxa" w:w="4392"/>
            <w:vAlign w:val="center"/>
            <w:tcMar>
              <w:top w:w="65" w:type="dxa"/>
              <w:start w:w="75" w:type="dxa"/>
              <w:bottom w:w="65" w:type="dxa"/>
              <w:end w:w="75" w:type="dxa"/>
            </w:tcMar>
          </w:tcPr>
          <w:p>
            <w:pPr>
              <w:pStyle w:val="TableText"/>
              <w:keepLines/>
            </w:pPr>
            <w:r/>
            <w:r>
              <w:rPr>
                <w:rFonts w:ascii="Aptos" w:hAnsi="Aptos"/>
                <w:b w:val="0"/>
                <w:color w:val="1D2733"/>
                <w:sz w:val="13"/>
              </w:rPr>
              <w:t>Potentially reimbursable at actual cost; E-016 is generically described as “various.” Filing/service needs no prior approval.</w:t>
            </w:r>
          </w:p>
        </w:tc>
        <w:tc>
          <w:tcPr>
            <w:tcW w:type="dxa" w:w="3528"/>
            <w:vAlign w:val="center"/>
            <w:tcMar>
              <w:top w:w="65" w:type="dxa"/>
              <w:start w:w="75" w:type="dxa"/>
              <w:bottom w:w="65" w:type="dxa"/>
              <w:end w:w="75" w:type="dxa"/>
            </w:tcMar>
          </w:tcPr>
          <w:p>
            <w:pPr>
              <w:pStyle w:val="TableText"/>
              <w:keepLines/>
            </w:pPr>
            <w:r/>
            <w:r>
              <w:rPr>
                <w:rFonts w:ascii="Aptos" w:hAnsi="Aptos"/>
                <w:b w:val="0"/>
                <w:color w:val="1D2733"/>
                <w:sz w:val="13"/>
              </w:rPr>
              <w:t>Provide itemized receipts/vendor invoices and business-purpose support. No face-value adjustment proposed absent a documentation failure.</w:t>
            </w:r>
          </w:p>
        </w:tc>
      </w:tr>
    </w:tbl>
    <w:p>
      <w:pPr>
        <w:pStyle w:val="Heading2"/>
      </w:pPr>
      <w:r>
        <w:t>6.1 Expense adjustment snapshot (no double counting)</w:t>
      </w:r>
    </w:p>
    <w:p>
      <w:pPr/>
      <w:r>
        <w:t>On the face of the invoice, the following strict-application expense reductions total $71,175.74: E-006 $718.60; E-007 $12,050.00 (full line for lack of required prior approval; the alternative if VIH approves the expense is a $4,820.00 rate-cap reduction); E-009/E-013 hotel excess $984.00; E-010 meal excess $87.40; E-011 black car $387.00; E-018 $2,345.00; E-019 $4,853.74; E-020 $48,250.00; and E-021 $1,500.00. This is a recommended face-value adjustment before any retroactive approval, not a final net payable. It excludes the contingent Relativity issue and the possible full-travel denial. If all travel expenses are denied for lack of prior approval, replace—not add to—the $1,458.40 travel cap/prohibited-mode amount already included with the full $7,234.00 travel amount, increasing the snapshot by $5,775.60 to $76,951.34.</w:t>
      </w:r>
    </w:p>
    <w:p>
      <w:pPr>
        <w:pStyle w:val="SmallNote"/>
      </w:pPr>
      <w:r>
        <w:t>Missing supporting documentation is a separate basis to hold or disallow expense lines under §§6.2 and 7.2. The above does not include any receipt-based disallowance and should not be mechanically added to the fee adjustments, narrative exposure, block-billing reductions, staffing caps or arithmetic correction.</w:t>
      </w:r>
    </w:p>
    <w:p>
      <w:pPr>
        <w:pStyle w:val="Heading1"/>
      </w:pPr>
      <w:r>
        <w:t>7. Budget Controls and Matter Status</w:t>
      </w:r>
    </w:p>
    <w:p>
      <w:pPr/>
      <w:r>
        <w:t>The annual budget is $2,800,000; 75% is $2,100,000. The invoice’s Matter Status tab reports year-to-date spend through October of $2,230,941.14 (79.7%), $130,941.14 above the 75% threshold. Section 10.1 requires written notice within five business days of the date cumulative invoiced fees and expenses reached $2.1 million, including work completed, remaining tasks and a revised year-end estimate. No such contemporaneous notice or revised forecast is in the approval log or transmittal materials. Request the dated notice and reforecast; the present record shows a documentation gap, not conclusively when the threshold was crossed.</w:t>
      </w:r>
    </w:p>
    <w:p>
      <w:pPr/>
      <w:r>
        <w:t>The reported invoice total of $487,329.14 exceeds the $350,000 monthly threshold by $137,329.14. The transmittal identifies activity drivers (the Nexon inspection, depositions, expert preparation and motion work) and anticipated work, but does not provide the separate contemporaneous written explanation required by the engagement letter §7 and Guidelines §10.1 addressing why elevated spend was necessary and the expected spending trajectory. Request that explanation and a month-by-month forecast. Note that the underlying line detail totals even higher, at $514,206.14.</w:t>
      </w:r>
    </w:p>
    <w:p>
      <w:pPr/>
      <w:r>
        <w:t>The status report says fact discovery closed September 15, yet October time and expenses include three depositions and a third-party inspection. The supplied record does not include a court order extending fact discovery. This is not, by itself, a billing-rule violation; request the relevant case-management order or explanation to confirm the work was authorized and necessary.</w:t>
      </w:r>
    </w:p>
    <w:p>
      <w:pPr>
        <w:pStyle w:val="Heading1"/>
      </w:pPr>
      <w:r>
        <w:t>8. Additional Documentation Required</w:t>
      </w:r>
    </w:p>
    <w:p>
      <w:pPr>
        <w:pStyle w:val="ListBullet"/>
        <w:spacing w:after="40"/>
        <w:ind w:left="317" w:hanging="173"/>
      </w:pPr>
      <w:r>
        <w:t>A corrected invoice whose fee lines, timekeeper subtotals, expense lines, expense subtotal and invoice total reconcile, with the $26,877.00 discrepancy explained and corrected.</w:t>
      </w:r>
    </w:p>
    <w:p>
      <w:pPr>
        <w:pStyle w:val="ListBullet"/>
        <w:spacing w:after="40"/>
        <w:ind w:left="317" w:hanging="173"/>
      </w:pPr>
      <w:r>
        <w:t>A conforming LEDES 1998B file (and confirmation that the workbook data export is the accepted system output), mapped to VIH’s required name, hours, rate, task and activity fields; corrected task codes for all 139 fee entries.</w:t>
      </w:r>
    </w:p>
    <w:p>
      <w:pPr>
        <w:pStyle w:val="ListBullet"/>
        <w:spacing w:after="40"/>
        <w:ind w:left="317" w:hanging="173"/>
      </w:pPr>
      <w:r>
        <w:t>Written prior approvals, if any, for Kwan; renewal for Cho; San Francisco travel; the Forrest Data Solutions engagement; Brixton &amp; Associates; the $12,050 copying project; and any excess Relativity charges. The provided log shows no such approvals except the specific scopes noted above.</w:t>
      </w:r>
    </w:p>
    <w:p>
      <w:pPr>
        <w:pStyle w:val="ListBullet"/>
        <w:spacing w:after="40"/>
        <w:ind w:left="317" w:hanging="173"/>
      </w:pPr>
      <w:r>
        <w:t>Timekeeper’s corrected 30-word narratives for entries 001–007 and 009–139; task-level split entries for block-billed work; and contemporaneous allocation for mixed billing/admin entries and deposition preparation/attendance.</w:t>
      </w:r>
    </w:p>
    <w:p>
      <w:pPr>
        <w:pStyle w:val="ListBullet"/>
        <w:spacing w:after="40"/>
        <w:ind w:left="317" w:hanging="173"/>
      </w:pPr>
      <w:r>
        <w:t>Travel itemized receipts and flight itinerary showing scheduled duration; meal receipts; hotel folios; vendor expense receipts; expert invoices; court reporter invoices; CloudStar/Relativity and Forrest Data Solutions invoices; and substantiation of actual cost/no markup.</w:t>
      </w:r>
    </w:p>
    <w:p>
      <w:pPr>
        <w:pStyle w:val="ListBullet"/>
        <w:spacing w:after="40"/>
        <w:ind w:left="317" w:hanging="173"/>
      </w:pPr>
      <w:r>
        <w:t>Documentation of cumulative Voss and Huang invoices against their $150,000 and $100,000 engagement caps, and of Meridian costs against the $65,000 approval cap.</w:t>
      </w:r>
    </w:p>
    <w:p>
      <w:pPr>
        <w:pStyle w:val="ListBullet"/>
        <w:spacing w:after="40"/>
        <w:ind w:left="317" w:hanging="173"/>
      </w:pPr>
      <w:r>
        <w:t>The dated 75% budget-threshold notice/revised forecast and the separate written explanation/forecast required for an invoice above $350,000.</w:t>
      </w:r>
    </w:p>
    <w:p>
      <w:pPr>
        <w:pStyle w:val="ListBullet"/>
        <w:spacing w:after="40"/>
        <w:ind w:left="317" w:hanging="173"/>
      </w:pPr>
      <w:r>
        <w:t>A case-management order or explanation supporting October depositions after the stated September 15 fact-discovery close.</w:t>
      </w:r>
    </w:p>
    <w:p>
      <w:pPr>
        <w:pStyle w:val="Heading1"/>
      </w:pPr>
      <w:r>
        <w:t>9. Conclusion</w:t>
      </w:r>
    </w:p>
    <w:p>
      <w:pPr/>
      <w:r>
        <w:t>The invoice should be returned for correction rather than paid at the amount stated. The submission contains an irreconcilable $26,877.00 variance between the detailed lines and billed total, facially disallowed unapproved-timekeeper charges, unapproved outside-forum/vendor/local-counsel charges, multiple non-reimbursable expenses, staffing-cap excesses, inadequate time-entry narratives and incomplete budget/expense support. Once the firm submits corrected line items and the requested approvals and backup, VIH can determine the undisputed payable amount and issue a line-specific adjustment notice under §§8.2 and 11.2.</w:t>
      </w:r>
    </w:p>
    <w:p>
      <w:pPr>
        <w:pStyle w:val="SmallNote"/>
        <w:spacing w:before="100"/>
      </w:pPr>
      <w:r>
        <w:rPr>
          <w:b/>
        </w:rPr>
        <w:t xml:space="preserve">Reference key: </w:t>
      </w:r>
      <w:r>
        <w:t>Guidelines §§3.1–3.4, 4.1–4.4, 5.1–5.2, 6.1–6.2, 7.1–7.3, 8.1–8.2, 9.1–9.3, 10.1–10.2, 11.1–11.3 and Appendices A–B; Engagement Letter §§2–8 and Exhibits A–B; Prior Approval Log Entries 1–6.</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CONFIDENTIAL  •  Invoice BS-VIH-2024-1031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C83"/>
        <w:sz w:val="16"/>
      </w:rPr>
      <w:t>VIH  |  OUTSIDE COUNSEL BILLING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D27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7C83"/>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5B6573"/>
      <w:sz w:val="16"/>
    </w:rPr>
  </w:style>
  <w:style w:type="paragraph" w:customStyle="1" w:styleId="TableText">
    <w:name w:val="Table Text"/>
    <w:basedOn w:val="Normal"/>
    <w:pPr>
      <w:spacing w:after="20" w:line="240" w:lineRule="auto"/>
    </w:pPr>
    <w:rPr>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Compliance Deviation Report — BS-VIH-2024-1031</dc:title>
  <dc:subject>Review of Blackwell Stanhope October 2024 invoice against VIH billing requirements</dc:subject>
  <dc:creator>VIH Office of the General Counsel</dc:creator>
  <cp:keywords>Confidential; invoice compliance; billing deviation</cp:keywords>
  <dc:description>generated by python-docx</dc:description>
  <cp:lastModifiedBy/>
  <cp:revision>1</cp:revision>
  <dcterms:created xsi:type="dcterms:W3CDTF">2013-12-23T23:15:00Z</dcterms:created>
  <dcterms:modified xsi:type="dcterms:W3CDTF">2013-12-23T23:15:00Z</dcterms:modified>
  <cp:category/>
</cp:coreProperties>
</file>