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INVOICE COMPLIANCE DEVIATION REPORT</w:t>
      </w:r>
    </w:p>
    <w:p>
      <w:pPr>
        <w:jc w:val="center"/>
      </w:pPr>
      <w:r>
        <w:rPr>
          <w:b/>
        </w:rPr>
        <w:t>Blackwell Stanhope LLP Invoice No. BS-VIH-2024-1031 (October 1–31, 2024)</w:t>
        <w:br/>
        <w:t>Clearwater Technologies, Inc. v. Saxonbrook Industrial Holdings, Inc., No. 1:23-cv-00847 (N.D. Ill.)</w:t>
      </w:r>
    </w:p>
    <w:tbl>
      <w:tblPr>
        <w:tblStyle w:val="TableGrid"/>
        <w:tblW w:type="auto" w:w="0"/>
        <w:tblLook w:firstColumn="1" w:firstRow="1" w:lastColumn="0" w:lastRow="0" w:noHBand="0" w:noVBand="1" w:val="04A0"/>
      </w:tblPr>
      <w:tblGrid>
        <w:gridCol w:w="6912"/>
        <w:gridCol w:w="6912"/>
      </w:tblGrid>
      <w:tr>
        <w:tc>
          <w:tcPr>
            <w:tcW w:type="dxa" w:w="2880"/>
            <w:shd w:val="clear" w:color="auto" w:fill="1F3A5F"/>
          </w:tcPr>
          <w:p>
            <w:r/>
            <w:r>
              <w:rPr>
                <w:b/>
                <w:color w:val="FFFFFF"/>
                <w:sz w:val="18"/>
              </w:rPr>
              <w:t>Field</w:t>
            </w:r>
          </w:p>
        </w:tc>
        <w:tc>
          <w:tcPr>
            <w:tcW w:type="dxa" w:w="10656"/>
            <w:shd w:val="clear" w:color="auto" w:fill="1F3A5F"/>
          </w:tcPr>
          <w:p>
            <w:r/>
            <w:r>
              <w:rPr>
                <w:b/>
                <w:color w:val="FFFFFF"/>
                <w:sz w:val="18"/>
              </w:rPr>
              <w:t>Detail</w:t>
            </w:r>
          </w:p>
        </w:tc>
      </w:tr>
      <w:tr>
        <w:tc>
          <w:tcPr>
            <w:tcW w:type="dxa" w:w="2880"/>
          </w:tcPr>
          <w:p>
            <w:r/>
            <w:r>
              <w:rPr>
                <w:sz w:val="18"/>
              </w:rPr>
              <w:t>Prepared for</w:t>
            </w:r>
          </w:p>
        </w:tc>
        <w:tc>
          <w:tcPr>
            <w:tcW w:type="dxa" w:w="10656"/>
          </w:tcPr>
          <w:p>
            <w:r/>
            <w:r>
              <w:rPr>
                <w:sz w:val="18"/>
              </w:rPr>
              <w:t>Daniel Okafor, Associate General Counsel (Designated Contact); cc: Margaret Chen-Watkins, General Counsel</w:t>
            </w:r>
          </w:p>
        </w:tc>
      </w:tr>
      <w:tr>
        <w:tc>
          <w:tcPr>
            <w:tcW w:type="dxa" w:w="2880"/>
          </w:tcPr>
          <w:p>
            <w:r/>
            <w:r>
              <w:rPr>
                <w:sz w:val="18"/>
              </w:rPr>
              <w:t>Invoice reviewed</w:t>
            </w:r>
          </w:p>
        </w:tc>
        <w:tc>
          <w:tcPr>
            <w:tcW w:type="dxa" w:w="10656"/>
          </w:tcPr>
          <w:p>
            <w:r/>
            <w:r>
              <w:rPr>
                <w:sz w:val="18"/>
              </w:rPr>
              <w:t>BS-VIH-2024-1031, dated November 4, 2024; transmitted by S. Messina email of November 4, 2024</w:t>
            </w:r>
          </w:p>
        </w:tc>
      </w:tr>
      <w:tr>
        <w:tc>
          <w:tcPr>
            <w:tcW w:type="dxa" w:w="2880"/>
          </w:tcPr>
          <w:p>
            <w:r/>
            <w:r>
              <w:rPr>
                <w:sz w:val="18"/>
              </w:rPr>
              <w:t>Invoice total as stated</w:t>
            </w:r>
          </w:p>
        </w:tc>
        <w:tc>
          <w:tcPr>
            <w:tcW w:type="dxa" w:w="10656"/>
          </w:tcPr>
          <w:p>
            <w:r/>
            <w:r>
              <w:rPr>
                <w:sz w:val="18"/>
              </w:rPr>
              <w:t>$487,329.14 (Fees $242,687.00; Expenses $244,642.14)</w:t>
            </w:r>
          </w:p>
        </w:tc>
      </w:tr>
      <w:tr>
        <w:tc>
          <w:tcPr>
            <w:tcW w:type="dxa" w:w="2880"/>
          </w:tcPr>
          <w:p>
            <w:r/>
            <w:r>
              <w:rPr>
                <w:sz w:val="18"/>
              </w:rPr>
              <w:t>Governing standards</w:t>
            </w:r>
          </w:p>
        </w:tc>
        <w:tc>
          <w:tcPr>
            <w:tcW w:type="dxa" w:w="10656"/>
          </w:tcPr>
          <w:p>
            <w:r/>
            <w:r>
              <w:rPr>
                <w:sz w:val="18"/>
              </w:rPr>
              <w:t>VIH Outside Counsel Billing Guidelines v4.2 (eff. 1/1/2024; accepted by firm 1/18/2024); Engagement Letter and Exhibits A–B; VIH Prior Approval Log (current as of 11/1/2024)</w:t>
            </w:r>
          </w:p>
        </w:tc>
      </w:tr>
      <w:tr>
        <w:tc>
          <w:tcPr>
            <w:tcW w:type="dxa" w:w="2880"/>
          </w:tcPr>
          <w:p>
            <w:r/>
            <w:r>
              <w:rPr>
                <w:sz w:val="18"/>
              </w:rPr>
              <w:t>Overall conclusion</w:t>
            </w:r>
          </w:p>
        </w:tc>
        <w:tc>
          <w:tcPr>
            <w:tcW w:type="dxa" w:w="10656"/>
          </w:tcPr>
          <w:p>
            <w:r/>
            <w:r>
              <w:rPr>
                <w:sz w:val="18"/>
              </w:rPr>
              <w:t>NON-COMPLIANT. Return the invoice for correction under §8.1 and §11.2(f). The payment clock under §8.1 does not start until a compliant invoice is received.</w:t>
            </w:r>
          </w:p>
        </w:tc>
      </w:tr>
    </w:tbl>
    <w:p/>
    <w:p>
      <w:pPr>
        <w:pStyle w:val="Heading1"/>
      </w:pPr>
      <w:r>
        <w:t>1. Executive Summary</w:t>
      </w:r>
    </w:p>
    <w:p>
      <w:r>
        <w:rPr>
          <w:b w:val="0"/>
          <w:i w:val="0"/>
        </w:rPr>
        <w:t>We checked every one of the 139 fee entries and 22 expense lines in the invoice against the Billing Guidelines, the Engagement Letter, the Exhibit A rate schedule, the Exhibit B expert approvals, the Prior Approval Log and the transmittal email. The invoice has serious problems at three levels:</w:t>
      </w:r>
    </w:p>
    <w:p>
      <w:pPr>
        <w:pStyle w:val="ListBullet"/>
      </w:pPr>
      <w:r>
        <w:rPr>
          <w:b/>
        </w:rPr>
        <w:t>Internal arithmetic does not reconcile.</w:t>
      </w:r>
      <w:r>
        <w:t xml:space="preserve"> The fee line items add up to $269,554.00 (743.8 hours). The invoice states fees of $242,687.00 (671.8 hours). The expense lines add up to $244,652.14, not the stated $244,642.14. Together the line items total $514,206.14, which is $26,877.00 more than the stated invoice total. Seven of the eight timekeeper subtotals are understated. Because the invoice does not reconcile, it cannot be processed as submitted.</w:t>
      </w:r>
    </w:p>
    <w:p>
      <w:pPr>
        <w:pStyle w:val="ListBullet"/>
      </w:pPr>
      <w:r>
        <w:rPr>
          <w:b/>
        </w:rPr>
        <w:t>Charges billed without the required approval, or that can never be billed.</w:t>
      </w:r>
      <w:r>
        <w:t xml:space="preserve"> Several charges required prior approval and have none: an unapproved summer associate; contract-attorney time billed after the approval expired; San Francisco travel outside the Litigation Forum; a $48,250 e-discovery vendor; local counsel; and firm overhead charges that the Guidelines prohibit outright.</w:t>
      </w:r>
    </w:p>
    <w:p>
      <w:pPr>
        <w:pStyle w:val="ListBullet"/>
      </w:pPr>
      <w:r>
        <w:rPr>
          <w:b/>
        </w:rPr>
        <w:t>Invoice-level and format failures.</w:t>
      </w:r>
      <w:r>
        <w:t xml:space="preserve"> The invoice exceeds $350,000 but no written explanation was provided (§10.1). Cumulative 2024 spend has passed the 75% budget threshold ($2,100,000) with no notification. Every entry uses UTBMS task codes (L510–L550) that are not on the approved list in Appendix A. 138 of 139 narratives are shorter than the 30-word minimum.</w:t>
      </w:r>
    </w:p>
    <w:p>
      <w:r>
        <w:rPr>
          <w:b/>
          <w:i w:val="0"/>
        </w:rPr>
        <w:t>Recommended financial disposition (calculated from the line-item detail, which is the only itemised basis available):</w:t>
      </w:r>
    </w:p>
    <w:tbl>
      <w:tblPr>
        <w:tblStyle w:val="TableGrid"/>
        <w:tblW w:type="auto" w:w="0"/>
        <w:tblLook w:firstColumn="1" w:firstRow="1" w:lastColumn="0" w:lastRow="0" w:noHBand="0" w:noVBand="1" w:val="04A0"/>
      </w:tblPr>
      <w:tblGrid>
        <w:gridCol w:w="3456"/>
        <w:gridCol w:w="3456"/>
        <w:gridCol w:w="3456"/>
        <w:gridCol w:w="3456"/>
      </w:tblGrid>
      <w:tr>
        <w:tc>
          <w:tcPr>
            <w:tcW w:type="dxa" w:w="6336"/>
            <w:shd w:val="clear" w:color="auto" w:fill="1F3A5F"/>
          </w:tcPr>
          <w:p>
            <w:r/>
            <w:r>
              <w:rPr>
                <w:b/>
                <w:color w:val="FFFFFF"/>
                <w:sz w:val="18"/>
              </w:rPr>
              <w:t>Component</w:t>
            </w:r>
          </w:p>
        </w:tc>
        <w:tc>
          <w:tcPr>
            <w:tcW w:type="dxa" w:w="2304"/>
            <w:shd w:val="clear" w:color="auto" w:fill="1F3A5F"/>
          </w:tcPr>
          <w:p>
            <w:r/>
            <w:r>
              <w:rPr>
                <w:b/>
                <w:color w:val="FFFFFF"/>
                <w:sz w:val="18"/>
              </w:rPr>
              <w:t>Fees</w:t>
            </w:r>
          </w:p>
        </w:tc>
        <w:tc>
          <w:tcPr>
            <w:tcW w:type="dxa" w:w="2304"/>
            <w:shd w:val="clear" w:color="auto" w:fill="1F3A5F"/>
          </w:tcPr>
          <w:p>
            <w:r/>
            <w:r>
              <w:rPr>
                <w:b/>
                <w:color w:val="FFFFFF"/>
                <w:sz w:val="18"/>
              </w:rPr>
              <w:t>Expenses</w:t>
            </w:r>
          </w:p>
        </w:tc>
        <w:tc>
          <w:tcPr>
            <w:tcW w:type="dxa" w:w="2592"/>
            <w:shd w:val="clear" w:color="auto" w:fill="1F3A5F"/>
          </w:tcPr>
          <w:p>
            <w:r/>
            <w:r>
              <w:rPr>
                <w:b/>
                <w:color w:val="FFFFFF"/>
                <w:sz w:val="18"/>
              </w:rPr>
              <w:t>Total</w:t>
            </w:r>
          </w:p>
        </w:tc>
      </w:tr>
      <w:tr>
        <w:tc>
          <w:tcPr>
            <w:tcW w:type="dxa" w:w="6336"/>
          </w:tcPr>
          <w:p>
            <w:r/>
            <w:r>
              <w:rPr>
                <w:sz w:val="18"/>
              </w:rPr>
              <w:t>Line-item detail as billed</w:t>
            </w:r>
          </w:p>
        </w:tc>
        <w:tc>
          <w:tcPr>
            <w:tcW w:type="dxa" w:w="2304"/>
          </w:tcPr>
          <w:p>
            <w:r/>
            <w:r>
              <w:rPr>
                <w:sz w:val="18"/>
              </w:rPr>
              <w:t>$269,554.00</w:t>
            </w:r>
          </w:p>
        </w:tc>
        <w:tc>
          <w:tcPr>
            <w:tcW w:type="dxa" w:w="2304"/>
          </w:tcPr>
          <w:p>
            <w:r/>
            <w:r>
              <w:rPr>
                <w:sz w:val="18"/>
              </w:rPr>
              <w:t>$244,652.14</w:t>
            </w:r>
          </w:p>
        </w:tc>
        <w:tc>
          <w:tcPr>
            <w:tcW w:type="dxa" w:w="2592"/>
          </w:tcPr>
          <w:p>
            <w:r/>
            <w:r>
              <w:rPr>
                <w:sz w:val="18"/>
              </w:rPr>
              <w:t>$514,206.14</w:t>
            </w:r>
          </w:p>
        </w:tc>
      </w:tr>
      <w:tr>
        <w:tc>
          <w:tcPr>
            <w:tcW w:type="dxa" w:w="6336"/>
          </w:tcPr>
          <w:p>
            <w:r/>
            <w:r>
              <w:rPr>
                <w:sz w:val="18"/>
              </w:rPr>
              <w:t>Recommended disallowance / reduction</w:t>
            </w:r>
          </w:p>
        </w:tc>
        <w:tc>
          <w:tcPr>
            <w:tcW w:type="dxa" w:w="2304"/>
          </w:tcPr>
          <w:p>
            <w:r/>
            <w:r>
              <w:rPr>
                <w:sz w:val="18"/>
              </w:rPr>
              <w:t>($83,431.45)</w:t>
            </w:r>
          </w:p>
        </w:tc>
        <w:tc>
          <w:tcPr>
            <w:tcW w:type="dxa" w:w="2304"/>
          </w:tcPr>
          <w:p>
            <w:r/>
            <w:r>
              <w:rPr>
                <w:sz w:val="18"/>
              </w:rPr>
              <w:t>($73,221.34)</w:t>
            </w:r>
          </w:p>
        </w:tc>
        <w:tc>
          <w:tcPr>
            <w:tcW w:type="dxa" w:w="2592"/>
          </w:tcPr>
          <w:p>
            <w:r/>
            <w:r>
              <w:rPr>
                <w:sz w:val="18"/>
              </w:rPr>
              <w:t>($156,652.79)</w:t>
            </w:r>
          </w:p>
        </w:tc>
      </w:tr>
      <w:tr>
        <w:tc>
          <w:tcPr>
            <w:tcW w:type="dxa" w:w="6336"/>
          </w:tcPr>
          <w:p>
            <w:r/>
            <w:r>
              <w:rPr>
                <w:sz w:val="18"/>
              </w:rPr>
              <w:t>Withheld pending documentation</w:t>
            </w:r>
          </w:p>
        </w:tc>
        <w:tc>
          <w:tcPr>
            <w:tcW w:type="dxa" w:w="2304"/>
          </w:tcPr>
          <w:p>
            <w:r/>
            <w:r>
              <w:rPr>
                <w:sz w:val="18"/>
              </w:rPr>
              <w:t>—</w:t>
            </w:r>
          </w:p>
        </w:tc>
        <w:tc>
          <w:tcPr>
            <w:tcW w:type="dxa" w:w="2304"/>
          </w:tcPr>
          <w:p>
            <w:r/>
            <w:r>
              <w:rPr>
                <w:sz w:val="18"/>
              </w:rPr>
              <w:t>($150,612.04)</w:t>
            </w:r>
          </w:p>
        </w:tc>
        <w:tc>
          <w:tcPr>
            <w:tcW w:type="dxa" w:w="2592"/>
          </w:tcPr>
          <w:p>
            <w:r/>
            <w:r>
              <w:rPr>
                <w:sz w:val="18"/>
              </w:rPr>
              <w:t>($150,612.04)</w:t>
            </w:r>
          </w:p>
        </w:tc>
      </w:tr>
      <w:tr>
        <w:tc>
          <w:tcPr>
            <w:tcW w:type="dxa" w:w="6336"/>
          </w:tcPr>
          <w:p>
            <w:r/>
            <w:r>
              <w:rPr>
                <w:sz w:val="18"/>
              </w:rPr>
              <w:t>Currently supportable (payable as undisputed once corrected invoice received)</w:t>
            </w:r>
          </w:p>
        </w:tc>
        <w:tc>
          <w:tcPr>
            <w:tcW w:type="dxa" w:w="2304"/>
          </w:tcPr>
          <w:p>
            <w:r/>
            <w:r>
              <w:rPr>
                <w:sz w:val="18"/>
              </w:rPr>
              <w:t>$186,122.55</w:t>
            </w:r>
          </w:p>
        </w:tc>
        <w:tc>
          <w:tcPr>
            <w:tcW w:type="dxa" w:w="2304"/>
          </w:tcPr>
          <w:p>
            <w:r/>
            <w:r>
              <w:rPr>
                <w:sz w:val="18"/>
              </w:rPr>
              <w:t>$20,818.76</w:t>
            </w:r>
          </w:p>
        </w:tc>
        <w:tc>
          <w:tcPr>
            <w:tcW w:type="dxa" w:w="2592"/>
          </w:tcPr>
          <w:p>
            <w:r/>
            <w:r>
              <w:rPr>
                <w:sz w:val="18"/>
              </w:rPr>
              <w:t>$206,941.31</w:t>
            </w:r>
          </w:p>
        </w:tc>
      </w:tr>
      <w:tr>
        <w:tc>
          <w:tcPr>
            <w:tcW w:type="dxa" w:w="6336"/>
          </w:tcPr>
          <w:p>
            <w:r/>
            <w:r>
              <w:rPr>
                <w:sz w:val="18"/>
              </w:rPr>
              <w:t>Maximum potentially payable if all withheld items are substantiated</w:t>
            </w:r>
          </w:p>
        </w:tc>
        <w:tc>
          <w:tcPr>
            <w:tcW w:type="dxa" w:w="2304"/>
          </w:tcPr>
          <w:p>
            <w:r/>
            <w:r>
              <w:rPr>
                <w:sz w:val="18"/>
              </w:rPr>
              <w:t>$186,122.55</w:t>
            </w:r>
          </w:p>
        </w:tc>
        <w:tc>
          <w:tcPr>
            <w:tcW w:type="dxa" w:w="2304"/>
          </w:tcPr>
          <w:p>
            <w:r/>
            <w:r>
              <w:rPr>
                <w:sz w:val="18"/>
              </w:rPr>
              <w:t>$171,430.80</w:t>
            </w:r>
          </w:p>
        </w:tc>
        <w:tc>
          <w:tcPr>
            <w:tcW w:type="dxa" w:w="2592"/>
          </w:tcPr>
          <w:p>
            <w:r/>
            <w:r>
              <w:rPr>
                <w:sz w:val="18"/>
              </w:rPr>
              <w:t>$357,553.35</w:t>
            </w:r>
          </w:p>
        </w:tc>
      </w:tr>
    </w:tbl>
    <w:p/>
    <w:p>
      <w:r>
        <w:rPr>
          <w:b w:val="0"/>
          <w:i/>
        </w:rPr>
        <w:t>Payment should never exceed the stated invoice total of $487,329.14, even though the line items add up to more. The firm must say which figure is correct. It must also recalculate the 2% "technology surcharge," which it computed on the understated fee figure; that surcharge is disallowed in any event. Separately, §7.3 says an invoice containing disbursement markups "will be returned for correction." The photocopy rate and the surcharges trigger that provision.</w:t>
      </w:r>
    </w:p>
    <w:p>
      <w:r>
        <w:rPr>
          <w:b w:val="0"/>
          <w:i/>
        </w:rPr>
        <w:t>Discretionary items, which are not included in the figures above: another $14,875.00 of fees shows signs of duplicative or excessive staffing (§4.3(f), §5.2). These entries are listed in Section 5 for the Designated Contact to decide on.</w:t>
      </w:r>
    </w:p>
    <w:p>
      <w:pPr>
        <w:pStyle w:val="Heading1"/>
      </w:pPr>
      <w:r>
        <w:t>2. Scope, Sources and Method</w:t>
      </w:r>
    </w:p>
    <w:tbl>
      <w:tblPr>
        <w:tblStyle w:val="TableGrid"/>
        <w:tblW w:type="auto" w:w="0"/>
        <w:tblLook w:firstColumn="1" w:firstRow="1" w:lastColumn="0" w:lastRow="0" w:noHBand="0" w:noVBand="1" w:val="04A0"/>
      </w:tblPr>
      <w:tblGrid>
        <w:gridCol w:w="6912"/>
        <w:gridCol w:w="6912"/>
      </w:tblGrid>
      <w:tr>
        <w:tc>
          <w:tcPr>
            <w:tcW w:type="dxa" w:w="5760"/>
            <w:shd w:val="clear" w:color="auto" w:fill="1F3A5F"/>
          </w:tcPr>
          <w:p>
            <w:r/>
            <w:r>
              <w:rPr>
                <w:b/>
                <w:color w:val="FFFFFF"/>
                <w:sz w:val="18"/>
              </w:rPr>
              <w:t>Document</w:t>
            </w:r>
          </w:p>
        </w:tc>
        <w:tc>
          <w:tcPr>
            <w:tcW w:type="dxa" w:w="7776"/>
            <w:shd w:val="clear" w:color="auto" w:fill="1F3A5F"/>
          </w:tcPr>
          <w:p>
            <w:r/>
            <w:r>
              <w:rPr>
                <w:b/>
                <w:color w:val="FFFFFF"/>
                <w:sz w:val="18"/>
              </w:rPr>
              <w:t>Use in review</w:t>
            </w:r>
          </w:p>
        </w:tc>
      </w:tr>
      <w:tr>
        <w:tc>
          <w:tcPr>
            <w:tcW w:type="dxa" w:w="5760"/>
          </w:tcPr>
          <w:p>
            <w:r/>
            <w:r>
              <w:rPr>
                <w:sz w:val="18"/>
              </w:rPr>
              <w:t>VIH Outside Counsel Billing Guidelines v4.2</w:t>
            </w:r>
          </w:p>
        </w:tc>
        <w:tc>
          <w:tcPr>
            <w:tcW w:type="dxa" w:w="7776"/>
          </w:tcPr>
          <w:p>
            <w:r/>
            <w:r>
              <w:rPr>
                <w:sz w:val="18"/>
              </w:rPr>
              <w:t>Primary standard (controls over engagement letter per §1.2 and Engagement Letter §4)</w:t>
            </w:r>
          </w:p>
        </w:tc>
      </w:tr>
      <w:tr>
        <w:tc>
          <w:tcPr>
            <w:tcW w:type="dxa" w:w="5760"/>
          </w:tcPr>
          <w:p>
            <w:r/>
            <w:r>
              <w:rPr>
                <w:sz w:val="18"/>
              </w:rPr>
              <w:t>Engagement Letter (Mar. 15, 2023) incl. Exhibit A (2024 rates) and Exhibit B (experts)</w:t>
            </w:r>
          </w:p>
        </w:tc>
        <w:tc>
          <w:tcPr>
            <w:tcW w:type="dxa" w:w="7776"/>
          </w:tcPr>
          <w:p>
            <w:r/>
            <w:r>
              <w:rPr>
                <w:sz w:val="18"/>
              </w:rPr>
              <w:t>Approved timekeepers, rates, budget ($2.8M), 75%/$350K triggers, prior-approval list</w:t>
            </w:r>
          </w:p>
        </w:tc>
      </w:tr>
      <w:tr>
        <w:tc>
          <w:tcPr>
            <w:tcW w:type="dxa" w:w="5760"/>
          </w:tcPr>
          <w:p>
            <w:r/>
            <w:r>
              <w:rPr>
                <w:sz w:val="18"/>
              </w:rPr>
              <w:t>VIH Prior Approval Log (as of Nov. 1, 2024)</w:t>
            </w:r>
          </w:p>
        </w:tc>
        <w:tc>
          <w:tcPr>
            <w:tcW w:type="dxa" w:w="7776"/>
          </w:tcPr>
          <w:p>
            <w:r/>
            <w:r>
              <w:rPr>
                <w:sz w:val="18"/>
              </w:rPr>
              <w:t>Official record of approvals PA-001 to PA-006; confirms "No additional approval requests are currently pending"</w:t>
            </w:r>
          </w:p>
        </w:tc>
      </w:tr>
      <w:tr>
        <w:tc>
          <w:tcPr>
            <w:tcW w:type="dxa" w:w="5760"/>
          </w:tcPr>
          <w:p>
            <w:r/>
            <w:r>
              <w:rPr>
                <w:sz w:val="18"/>
              </w:rPr>
              <w:t>Invoice workbook (Summary, Fees Detail, Expenses, Timekeeper Summary, Matter Status, LEDES Export, Rate Schedule, YTD)</w:t>
            </w:r>
          </w:p>
        </w:tc>
        <w:tc>
          <w:tcPr>
            <w:tcW w:type="dxa" w:w="7776"/>
          </w:tcPr>
          <w:p>
            <w:r/>
            <w:r>
              <w:rPr>
                <w:sz w:val="18"/>
              </w:rPr>
              <w:t>Line-by-line testing; arithmetic recomputation; LEDES field checks</w:t>
            </w:r>
          </w:p>
        </w:tc>
      </w:tr>
      <w:tr>
        <w:tc>
          <w:tcPr>
            <w:tcW w:type="dxa" w:w="5760"/>
          </w:tcPr>
          <w:p>
            <w:r/>
            <w:r>
              <w:rPr>
                <w:sz w:val="18"/>
              </w:rPr>
              <w:t>Transmittal email (S. Messina, Nov. 4, 2024)</w:t>
            </w:r>
          </w:p>
        </w:tc>
        <w:tc>
          <w:tcPr>
            <w:tcW w:type="dxa" w:w="7776"/>
          </w:tcPr>
          <w:p>
            <w:r/>
            <w:r>
              <w:rPr>
                <w:sz w:val="18"/>
              </w:rPr>
              <w:t>Status summary, representations, required §10.1 disclosures</w:t>
            </w:r>
          </w:p>
        </w:tc>
      </w:tr>
    </w:tbl>
    <w:p/>
    <w:p>
      <w:r>
        <w:rPr>
          <w:b w:val="0"/>
          <w:i w:val="0"/>
        </w:rPr>
        <w:t>Method: (1) We recalculated every fee line (hours × rate) and every subtotal. (2) We matched each timekeeper and rate to Exhibit A and the approval log. (3) We tested every entry for task codes, block billing, the 30-word minimum, prohibited categories and staffing caps. (4) We tested every expense for rate caps, the prohibited-expense list, prior approval and documentation. (5) We checked invoice-level requirements under §8 and §10. We applied the adjustments in a fixed order so that nothing is reduced twice: first whole-entry disallowances, then caps, then the 30% block-billing reduction on the entries that remain.</w:t>
      </w:r>
    </w:p>
    <w:p>
      <w:pPr>
        <w:pStyle w:val="Heading1"/>
      </w:pPr>
      <w:r>
        <w:t>3. Deviation Register (Summary)</w:t>
      </w:r>
    </w:p>
    <w:tbl>
      <w:tblPr>
        <w:tblStyle w:val="TableGrid"/>
        <w:tblW w:type="auto" w:w="0"/>
        <w:tblLook w:firstColumn="1" w:firstRow="1" w:lastColumn="0" w:lastRow="0" w:noHBand="0" w:noVBand="1" w:val="04A0"/>
      </w:tblPr>
      <w:tblGrid>
        <w:gridCol w:w="1975"/>
        <w:gridCol w:w="1975"/>
        <w:gridCol w:w="1975"/>
        <w:gridCol w:w="1975"/>
        <w:gridCol w:w="1975"/>
        <w:gridCol w:w="1975"/>
        <w:gridCol w:w="1975"/>
      </w:tblGrid>
      <w:tr>
        <w:tc>
          <w:tcPr>
            <w:tcW w:type="dxa" w:w="648"/>
            <w:shd w:val="clear" w:color="auto" w:fill="1F3A5F"/>
          </w:tcPr>
          <w:p>
            <w:r/>
            <w:r>
              <w:rPr>
                <w:b/>
                <w:color w:val="FFFFFF"/>
                <w:sz w:val="18"/>
              </w:rPr>
              <w:t>ID</w:t>
            </w:r>
          </w:p>
        </w:tc>
        <w:tc>
          <w:tcPr>
            <w:tcW w:type="dxa" w:w="1008"/>
            <w:shd w:val="clear" w:color="auto" w:fill="1F3A5F"/>
          </w:tcPr>
          <w:p>
            <w:r/>
            <w:r>
              <w:rPr>
                <w:b/>
                <w:color w:val="FFFFFF"/>
                <w:sz w:val="18"/>
              </w:rPr>
              <w:t>Severity</w:t>
            </w:r>
          </w:p>
        </w:tc>
        <w:tc>
          <w:tcPr>
            <w:tcW w:type="dxa" w:w="1584"/>
            <w:shd w:val="clear" w:color="auto" w:fill="1F3A5F"/>
          </w:tcPr>
          <w:p>
            <w:r/>
            <w:r>
              <w:rPr>
                <w:b/>
                <w:color w:val="FFFFFF"/>
                <w:sz w:val="18"/>
              </w:rPr>
              <w:t>Category</w:t>
            </w:r>
          </w:p>
        </w:tc>
        <w:tc>
          <w:tcPr>
            <w:tcW w:type="dxa" w:w="4752"/>
            <w:shd w:val="clear" w:color="auto" w:fill="1F3A5F"/>
          </w:tcPr>
          <w:p>
            <w:r/>
            <w:r>
              <w:rPr>
                <w:b/>
                <w:color w:val="FFFFFF"/>
                <w:sz w:val="18"/>
              </w:rPr>
              <w:t>Deviation</w:t>
            </w:r>
          </w:p>
        </w:tc>
        <w:tc>
          <w:tcPr>
            <w:tcW w:type="dxa" w:w="2160"/>
            <w:shd w:val="clear" w:color="auto" w:fill="1F3A5F"/>
          </w:tcPr>
          <w:p>
            <w:r/>
            <w:r>
              <w:rPr>
                <w:b/>
                <w:color w:val="FFFFFF"/>
                <w:sz w:val="18"/>
              </w:rPr>
              <w:t>Amount</w:t>
            </w:r>
          </w:p>
        </w:tc>
        <w:tc>
          <w:tcPr>
            <w:tcW w:type="dxa" w:w="1728"/>
            <w:shd w:val="clear" w:color="auto" w:fill="1F3A5F"/>
          </w:tcPr>
          <w:p>
            <w:r/>
            <w:r>
              <w:rPr>
                <w:b/>
                <w:color w:val="FFFFFF"/>
                <w:sz w:val="18"/>
              </w:rPr>
              <w:t>Authority</w:t>
            </w:r>
          </w:p>
        </w:tc>
        <w:tc>
          <w:tcPr>
            <w:tcW w:type="dxa" w:w="1656"/>
            <w:shd w:val="clear" w:color="auto" w:fill="1F3A5F"/>
          </w:tcPr>
          <w:p>
            <w:r/>
            <w:r>
              <w:rPr>
                <w:b/>
                <w:color w:val="FFFFFF"/>
                <w:sz w:val="18"/>
              </w:rPr>
              <w:t>Action</w:t>
            </w:r>
          </w:p>
        </w:tc>
      </w:tr>
      <w:tr>
        <w:tc>
          <w:tcPr>
            <w:tcW w:type="dxa" w:w="648"/>
          </w:tcPr>
          <w:p>
            <w:r/>
            <w:r>
              <w:rPr>
                <w:sz w:val="18"/>
              </w:rPr>
              <w:t>D-1</w:t>
            </w:r>
          </w:p>
        </w:tc>
        <w:tc>
          <w:tcPr>
            <w:tcW w:type="dxa" w:w="1008"/>
          </w:tcPr>
          <w:p>
            <w:r/>
            <w:r>
              <w:rPr>
                <w:sz w:val="18"/>
              </w:rPr>
              <w:t>Critical</w:t>
            </w:r>
          </w:p>
        </w:tc>
        <w:tc>
          <w:tcPr>
            <w:tcW w:type="dxa" w:w="1584"/>
          </w:tcPr>
          <w:p>
            <w:r/>
            <w:r>
              <w:rPr>
                <w:sz w:val="18"/>
              </w:rPr>
              <w:t>Arithmetic</w:t>
            </w:r>
          </w:p>
        </w:tc>
        <w:tc>
          <w:tcPr>
            <w:tcW w:type="dxa" w:w="4752"/>
          </w:tcPr>
          <w:p>
            <w:r/>
            <w:r>
              <w:rPr>
                <w:sz w:val="18"/>
              </w:rPr>
              <w:t>Fee subtotals/total and expense total do not reconcile to line items</w:t>
            </w:r>
          </w:p>
        </w:tc>
        <w:tc>
          <w:tcPr>
            <w:tcW w:type="dxa" w:w="2160"/>
          </w:tcPr>
          <w:p>
            <w:r/>
            <w:r>
              <w:rPr>
                <w:sz w:val="18"/>
              </w:rPr>
              <w:t>Line items $514,206.14 vs. stated $487,329.14</w:t>
            </w:r>
          </w:p>
        </w:tc>
        <w:tc>
          <w:tcPr>
            <w:tcW w:type="dxa" w:w="1728"/>
          </w:tcPr>
          <w:p>
            <w:r/>
            <w:r>
              <w:rPr>
                <w:sz w:val="18"/>
              </w:rPr>
              <w:t>§8.1(d),(f); App. B</w:t>
            </w:r>
          </w:p>
        </w:tc>
        <w:tc>
          <w:tcPr>
            <w:tcW w:type="dxa" w:w="1656"/>
          </w:tcPr>
          <w:p>
            <w:r/>
            <w:r>
              <w:rPr>
                <w:sz w:val="18"/>
              </w:rPr>
              <w:t>Return for correction</w:t>
            </w:r>
          </w:p>
        </w:tc>
      </w:tr>
      <w:tr>
        <w:tc>
          <w:tcPr>
            <w:tcW w:type="dxa" w:w="648"/>
          </w:tcPr>
          <w:p>
            <w:r/>
            <w:r>
              <w:rPr>
                <w:sz w:val="18"/>
              </w:rPr>
              <w:t>D-2</w:t>
            </w:r>
          </w:p>
        </w:tc>
        <w:tc>
          <w:tcPr>
            <w:tcW w:type="dxa" w:w="1008"/>
          </w:tcPr>
          <w:p>
            <w:r/>
            <w:r>
              <w:rPr>
                <w:sz w:val="18"/>
              </w:rPr>
              <w:t>Critical</w:t>
            </w:r>
          </w:p>
        </w:tc>
        <w:tc>
          <w:tcPr>
            <w:tcW w:type="dxa" w:w="1584"/>
          </w:tcPr>
          <w:p>
            <w:r/>
            <w:r>
              <w:rPr>
                <w:sz w:val="18"/>
              </w:rPr>
              <w:t>Unapproved timekeeper</w:t>
            </w:r>
          </w:p>
        </w:tc>
        <w:tc>
          <w:tcPr>
            <w:tcW w:type="dxa" w:w="4752"/>
          </w:tcPr>
          <w:p>
            <w:r/>
            <w:r>
              <w:rPr>
                <w:sz w:val="18"/>
              </w:rPr>
              <w:t>Summer associate Timothy Kwan — 8 entries, 34.5 hrs</w:t>
            </w:r>
          </w:p>
        </w:tc>
        <w:tc>
          <w:tcPr>
            <w:tcW w:type="dxa" w:w="2160"/>
          </w:tcPr>
          <w:p>
            <w:r/>
            <w:r>
              <w:rPr>
                <w:sz w:val="18"/>
              </w:rPr>
              <w:t>($10,177.50)</w:t>
            </w:r>
          </w:p>
        </w:tc>
        <w:tc>
          <w:tcPr>
            <w:tcW w:type="dxa" w:w="1728"/>
          </w:tcPr>
          <w:p>
            <w:r/>
            <w:r>
              <w:rPr>
                <w:sz w:val="18"/>
              </w:rPr>
              <w:t>§3.1; EL §2; Ex. A n.4</w:t>
            </w:r>
          </w:p>
        </w:tc>
        <w:tc>
          <w:tcPr>
            <w:tcW w:type="dxa" w:w="1656"/>
          </w:tcPr>
          <w:p>
            <w:r/>
            <w:r>
              <w:rPr>
                <w:sz w:val="18"/>
              </w:rPr>
              <w:t>Disallow in full</w:t>
            </w:r>
          </w:p>
        </w:tc>
      </w:tr>
      <w:tr>
        <w:tc>
          <w:tcPr>
            <w:tcW w:type="dxa" w:w="648"/>
          </w:tcPr>
          <w:p>
            <w:r/>
            <w:r>
              <w:rPr>
                <w:sz w:val="18"/>
              </w:rPr>
              <w:t>D-3</w:t>
            </w:r>
          </w:p>
        </w:tc>
        <w:tc>
          <w:tcPr>
            <w:tcW w:type="dxa" w:w="1008"/>
          </w:tcPr>
          <w:p>
            <w:r/>
            <w:r>
              <w:rPr>
                <w:sz w:val="18"/>
              </w:rPr>
              <w:t>Critical</w:t>
            </w:r>
          </w:p>
        </w:tc>
        <w:tc>
          <w:tcPr>
            <w:tcW w:type="dxa" w:w="1584"/>
          </w:tcPr>
          <w:p>
            <w:r/>
            <w:r>
              <w:rPr>
                <w:sz w:val="18"/>
              </w:rPr>
              <w:t>Expired approval</w:t>
            </w:r>
          </w:p>
        </w:tc>
        <w:tc>
          <w:tcPr>
            <w:tcW w:type="dxa" w:w="4752"/>
          </w:tcPr>
          <w:p>
            <w:r/>
            <w:r>
              <w:rPr>
                <w:sz w:val="18"/>
              </w:rPr>
              <w:t>Contract attorney Elaine Cho — 21 entries, 214.0 hrs after 9/30/2024 expiry</w:t>
            </w:r>
          </w:p>
        </w:tc>
        <w:tc>
          <w:tcPr>
            <w:tcW w:type="dxa" w:w="2160"/>
          </w:tcPr>
          <w:p>
            <w:r/>
            <w:r>
              <w:rPr>
                <w:sz w:val="18"/>
              </w:rPr>
              <w:t>($41,730.00)</w:t>
            </w:r>
          </w:p>
        </w:tc>
        <w:tc>
          <w:tcPr>
            <w:tcW w:type="dxa" w:w="1728"/>
          </w:tcPr>
          <w:p>
            <w:r/>
            <w:r>
              <w:rPr>
                <w:sz w:val="18"/>
              </w:rPr>
              <w:t>§3.1; §9.1(6); PA-005</w:t>
            </w:r>
          </w:p>
        </w:tc>
        <w:tc>
          <w:tcPr>
            <w:tcW w:type="dxa" w:w="1656"/>
          </w:tcPr>
          <w:p>
            <w:r/>
            <w:r>
              <w:rPr>
                <w:sz w:val="18"/>
              </w:rPr>
              <w:t>Disallow in full</w:t>
            </w:r>
          </w:p>
        </w:tc>
      </w:tr>
      <w:tr>
        <w:tc>
          <w:tcPr>
            <w:tcW w:type="dxa" w:w="648"/>
          </w:tcPr>
          <w:p>
            <w:r/>
            <w:r>
              <w:rPr>
                <w:sz w:val="18"/>
              </w:rPr>
              <w:t>D-4</w:t>
            </w:r>
          </w:p>
        </w:tc>
        <w:tc>
          <w:tcPr>
            <w:tcW w:type="dxa" w:w="1008"/>
          </w:tcPr>
          <w:p>
            <w:r/>
            <w:r>
              <w:rPr>
                <w:sz w:val="18"/>
              </w:rPr>
              <w:t>High</w:t>
            </w:r>
          </w:p>
        </w:tc>
        <w:tc>
          <w:tcPr>
            <w:tcW w:type="dxa" w:w="1584"/>
          </w:tcPr>
          <w:p>
            <w:r/>
            <w:r>
              <w:rPr>
                <w:sz w:val="18"/>
              </w:rPr>
              <w:t>Deposition staffing</w:t>
            </w:r>
          </w:p>
        </w:tc>
        <w:tc>
          <w:tcPr>
            <w:tcW w:type="dxa" w:w="4752"/>
          </w:tcPr>
          <w:p>
            <w:r/>
            <w:r>
              <w:rPr>
                <w:sz w:val="18"/>
              </w:rPr>
              <w:t>3rd/4th attorneys at Torres (10/15) and Nakamura (10/24) depositions</w:t>
            </w:r>
          </w:p>
        </w:tc>
        <w:tc>
          <w:tcPr>
            <w:tcW w:type="dxa" w:w="2160"/>
          </w:tcPr>
          <w:p>
            <w:r/>
            <w:r>
              <w:rPr>
                <w:sz w:val="18"/>
              </w:rPr>
              <w:t>($5,660.00)</w:t>
            </w:r>
          </w:p>
        </w:tc>
        <w:tc>
          <w:tcPr>
            <w:tcW w:type="dxa" w:w="1728"/>
          </w:tcPr>
          <w:p>
            <w:r/>
            <w:r>
              <w:rPr>
                <w:sz w:val="18"/>
              </w:rPr>
              <w:t>§5.1</w:t>
            </w:r>
          </w:p>
        </w:tc>
        <w:tc>
          <w:tcPr>
            <w:tcW w:type="dxa" w:w="1656"/>
          </w:tcPr>
          <w:p>
            <w:r/>
            <w:r>
              <w:rPr>
                <w:sz w:val="18"/>
              </w:rPr>
              <w:t>Disallow</w:t>
            </w:r>
          </w:p>
        </w:tc>
      </w:tr>
      <w:tr>
        <w:tc>
          <w:tcPr>
            <w:tcW w:type="dxa" w:w="648"/>
          </w:tcPr>
          <w:p>
            <w:r/>
            <w:r>
              <w:rPr>
                <w:sz w:val="18"/>
              </w:rPr>
              <w:t>D-5</w:t>
            </w:r>
          </w:p>
        </w:tc>
        <w:tc>
          <w:tcPr>
            <w:tcW w:type="dxa" w:w="1008"/>
          </w:tcPr>
          <w:p>
            <w:r/>
            <w:r>
              <w:rPr>
                <w:sz w:val="18"/>
              </w:rPr>
              <w:t>High</w:t>
            </w:r>
          </w:p>
        </w:tc>
        <w:tc>
          <w:tcPr>
            <w:tcW w:type="dxa" w:w="1584"/>
          </w:tcPr>
          <w:p>
            <w:r/>
            <w:r>
              <w:rPr>
                <w:sz w:val="18"/>
              </w:rPr>
              <w:t>Internal conference</w:t>
            </w:r>
          </w:p>
        </w:tc>
        <w:tc>
          <w:tcPr>
            <w:tcW w:type="dxa" w:w="4752"/>
          </w:tcPr>
          <w:p>
            <w:r/>
            <w:r>
              <w:rPr>
                <w:sz w:val="18"/>
              </w:rPr>
              <w:t>10/28 conference: 5 attorneys, 19.0 attorney-hrs (cap 4 attendees / 4 attorney-hrs)</w:t>
            </w:r>
          </w:p>
        </w:tc>
        <w:tc>
          <w:tcPr>
            <w:tcW w:type="dxa" w:w="2160"/>
          </w:tcPr>
          <w:p>
            <w:r/>
            <w:r>
              <w:rPr>
                <w:sz w:val="18"/>
              </w:rPr>
              <w:t>($6,216.00) plus Kwan in D-2</w:t>
            </w:r>
          </w:p>
        </w:tc>
        <w:tc>
          <w:tcPr>
            <w:tcW w:type="dxa" w:w="1728"/>
          </w:tcPr>
          <w:p>
            <w:r/>
            <w:r>
              <w:rPr>
                <w:sz w:val="18"/>
              </w:rPr>
              <w:t>§5.1</w:t>
            </w:r>
          </w:p>
        </w:tc>
        <w:tc>
          <w:tcPr>
            <w:tcW w:type="dxa" w:w="1656"/>
          </w:tcPr>
          <w:p>
            <w:r/>
            <w:r>
              <w:rPr>
                <w:sz w:val="18"/>
              </w:rPr>
              <w:t>Reduce to cap</w:t>
            </w:r>
          </w:p>
        </w:tc>
      </w:tr>
      <w:tr>
        <w:tc>
          <w:tcPr>
            <w:tcW w:type="dxa" w:w="648"/>
          </w:tcPr>
          <w:p>
            <w:r/>
            <w:r>
              <w:rPr>
                <w:sz w:val="18"/>
              </w:rPr>
              <w:t>D-6</w:t>
            </w:r>
          </w:p>
        </w:tc>
        <w:tc>
          <w:tcPr>
            <w:tcW w:type="dxa" w:w="1008"/>
          </w:tcPr>
          <w:p>
            <w:r/>
            <w:r>
              <w:rPr>
                <w:sz w:val="18"/>
              </w:rPr>
              <w:t>High</w:t>
            </w:r>
          </w:p>
        </w:tc>
        <w:tc>
          <w:tcPr>
            <w:tcW w:type="dxa" w:w="1584"/>
          </w:tcPr>
          <w:p>
            <w:r/>
            <w:r>
              <w:rPr>
                <w:sz w:val="18"/>
              </w:rPr>
              <w:t>Unapproved travel</w:t>
            </w:r>
          </w:p>
        </w:tc>
        <w:tc>
          <w:tcPr>
            <w:tcW w:type="dxa" w:w="4752"/>
          </w:tcPr>
          <w:p>
            <w:r/>
            <w:r>
              <w:rPr>
                <w:sz w:val="18"/>
              </w:rPr>
              <w:t>San Francisco travel (outside Litigation Forum) — travel time billed at 100% rate</w:t>
            </w:r>
          </w:p>
        </w:tc>
        <w:tc>
          <w:tcPr>
            <w:tcW w:type="dxa" w:w="2160"/>
          </w:tcPr>
          <w:p>
            <w:r/>
            <w:r>
              <w:rPr>
                <w:sz w:val="18"/>
              </w:rPr>
              <w:t>($6,174.00)</w:t>
            </w:r>
          </w:p>
        </w:tc>
        <w:tc>
          <w:tcPr>
            <w:tcW w:type="dxa" w:w="1728"/>
          </w:tcPr>
          <w:p>
            <w:r/>
            <w:r>
              <w:rPr>
                <w:sz w:val="18"/>
              </w:rPr>
              <w:t>§9.1(3); §6.1</w:t>
            </w:r>
          </w:p>
        </w:tc>
        <w:tc>
          <w:tcPr>
            <w:tcW w:type="dxa" w:w="1656"/>
          </w:tcPr>
          <w:p>
            <w:r/>
            <w:r>
              <w:rPr>
                <w:sz w:val="18"/>
              </w:rPr>
              <w:t>Disallow (alt.: 50%)</w:t>
            </w:r>
          </w:p>
        </w:tc>
      </w:tr>
      <w:tr>
        <w:tc>
          <w:tcPr>
            <w:tcW w:type="dxa" w:w="648"/>
          </w:tcPr>
          <w:p>
            <w:r/>
            <w:r>
              <w:rPr>
                <w:sz w:val="18"/>
              </w:rPr>
              <w:t>D-7</w:t>
            </w:r>
          </w:p>
        </w:tc>
        <w:tc>
          <w:tcPr>
            <w:tcW w:type="dxa" w:w="1008"/>
          </w:tcPr>
          <w:p>
            <w:r/>
            <w:r>
              <w:rPr>
                <w:sz w:val="18"/>
              </w:rPr>
              <w:t>High</w:t>
            </w:r>
          </w:p>
        </w:tc>
        <w:tc>
          <w:tcPr>
            <w:tcW w:type="dxa" w:w="1584"/>
          </w:tcPr>
          <w:p>
            <w:r/>
            <w:r>
              <w:rPr>
                <w:sz w:val="18"/>
              </w:rPr>
              <w:t>Travel expenses</w:t>
            </w:r>
          </w:p>
        </w:tc>
        <w:tc>
          <w:tcPr>
            <w:tcW w:type="dxa" w:w="4752"/>
          </w:tcPr>
          <w:p>
            <w:r/>
            <w:r>
              <w:rPr>
                <w:sz w:val="18"/>
              </w:rPr>
              <w:t>Airfare, hotel $489/night, meals over cap, black car</w:t>
            </w:r>
          </w:p>
        </w:tc>
        <w:tc>
          <w:tcPr>
            <w:tcW w:type="dxa" w:w="2160"/>
          </w:tcPr>
          <w:p>
            <w:r/>
            <w:r>
              <w:rPr>
                <w:sz w:val="18"/>
              </w:rPr>
              <w:t>($7,234.00)</w:t>
            </w:r>
          </w:p>
        </w:tc>
        <w:tc>
          <w:tcPr>
            <w:tcW w:type="dxa" w:w="1728"/>
          </w:tcPr>
          <w:p>
            <w:r/>
            <w:r>
              <w:rPr>
                <w:sz w:val="18"/>
              </w:rPr>
              <w:t>§9.1(3); §6.1</w:t>
            </w:r>
          </w:p>
        </w:tc>
        <w:tc>
          <w:tcPr>
            <w:tcW w:type="dxa" w:w="1656"/>
          </w:tcPr>
          <w:p>
            <w:r/>
            <w:r>
              <w:rPr>
                <w:sz w:val="18"/>
              </w:rPr>
              <w:t>Disallow (alt. schedule §4.4)</w:t>
            </w:r>
          </w:p>
        </w:tc>
      </w:tr>
      <w:tr>
        <w:tc>
          <w:tcPr>
            <w:tcW w:type="dxa" w:w="648"/>
          </w:tcPr>
          <w:p>
            <w:r/>
            <w:r>
              <w:rPr>
                <w:sz w:val="18"/>
              </w:rPr>
              <w:t>D-8</w:t>
            </w:r>
          </w:p>
        </w:tc>
        <w:tc>
          <w:tcPr>
            <w:tcW w:type="dxa" w:w="1008"/>
          </w:tcPr>
          <w:p>
            <w:r/>
            <w:r>
              <w:rPr>
                <w:sz w:val="18"/>
              </w:rPr>
              <w:t>Medium</w:t>
            </w:r>
          </w:p>
        </w:tc>
        <w:tc>
          <w:tcPr>
            <w:tcW w:type="dxa" w:w="1584"/>
          </w:tcPr>
          <w:p>
            <w:r/>
            <w:r>
              <w:rPr>
                <w:sz w:val="18"/>
              </w:rPr>
              <w:t>Prohibited time</w:t>
            </w:r>
          </w:p>
        </w:tc>
        <w:tc>
          <w:tcPr>
            <w:tcW w:type="dxa" w:w="4752"/>
          </w:tcPr>
          <w:p>
            <w:r/>
            <w:r>
              <w:rPr>
                <w:sz w:val="18"/>
              </w:rPr>
              <w:t>Billing/invoice preparation and file organization (entries 125, 133, 139)</w:t>
            </w:r>
          </w:p>
        </w:tc>
        <w:tc>
          <w:tcPr>
            <w:tcW w:type="dxa" w:w="2160"/>
          </w:tcPr>
          <w:p>
            <w:r/>
            <w:r>
              <w:rPr>
                <w:sz w:val="18"/>
              </w:rPr>
              <w:t>($2,715.50)</w:t>
            </w:r>
          </w:p>
        </w:tc>
        <w:tc>
          <w:tcPr>
            <w:tcW w:type="dxa" w:w="1728"/>
          </w:tcPr>
          <w:p>
            <w:r/>
            <w:r>
              <w:rPr>
                <w:sz w:val="18"/>
              </w:rPr>
              <w:t>§4.3(a),(b)</w:t>
            </w:r>
          </w:p>
        </w:tc>
        <w:tc>
          <w:tcPr>
            <w:tcW w:type="dxa" w:w="1656"/>
          </w:tcPr>
          <w:p>
            <w:r/>
            <w:r>
              <w:rPr>
                <w:sz w:val="18"/>
              </w:rPr>
              <w:t>Disallow</w:t>
            </w:r>
          </w:p>
        </w:tc>
      </w:tr>
      <w:tr>
        <w:tc>
          <w:tcPr>
            <w:tcW w:type="dxa" w:w="648"/>
          </w:tcPr>
          <w:p>
            <w:r/>
            <w:r>
              <w:rPr>
                <w:sz w:val="18"/>
              </w:rPr>
              <w:t>D-9</w:t>
            </w:r>
          </w:p>
        </w:tc>
        <w:tc>
          <w:tcPr>
            <w:tcW w:type="dxa" w:w="1008"/>
          </w:tcPr>
          <w:p>
            <w:r/>
            <w:r>
              <w:rPr>
                <w:sz w:val="18"/>
              </w:rPr>
              <w:t>Medium</w:t>
            </w:r>
          </w:p>
        </w:tc>
        <w:tc>
          <w:tcPr>
            <w:tcW w:type="dxa" w:w="1584"/>
          </w:tcPr>
          <w:p>
            <w:r/>
            <w:r>
              <w:rPr>
                <w:sz w:val="18"/>
              </w:rPr>
              <w:t>Block billing</w:t>
            </w:r>
          </w:p>
        </w:tc>
        <w:tc>
          <w:tcPr>
            <w:tcW w:type="dxa" w:w="4752"/>
          </w:tcPr>
          <w:p>
            <w:r/>
            <w:r>
              <w:rPr>
                <w:sz w:val="18"/>
              </w:rPr>
              <w:t>10 entries combining distinct tasks — 30% reduction</w:t>
            </w:r>
          </w:p>
        </w:tc>
        <w:tc>
          <w:tcPr>
            <w:tcW w:type="dxa" w:w="2160"/>
          </w:tcPr>
          <w:p>
            <w:r/>
            <w:r>
              <w:rPr>
                <w:sz w:val="18"/>
              </w:rPr>
              <w:t>($10,758.45)</w:t>
            </w:r>
          </w:p>
        </w:tc>
        <w:tc>
          <w:tcPr>
            <w:tcW w:type="dxa" w:w="1728"/>
          </w:tcPr>
          <w:p>
            <w:r/>
            <w:r>
              <w:rPr>
                <w:sz w:val="18"/>
              </w:rPr>
              <w:t>§4.2</w:t>
            </w:r>
          </w:p>
        </w:tc>
        <w:tc>
          <w:tcPr>
            <w:tcW w:type="dxa" w:w="1656"/>
          </w:tcPr>
          <w:p>
            <w:r/>
            <w:r>
              <w:rPr>
                <w:sz w:val="18"/>
              </w:rPr>
              <w:t>Reduce 30%</w:t>
            </w:r>
          </w:p>
        </w:tc>
      </w:tr>
      <w:tr>
        <w:tc>
          <w:tcPr>
            <w:tcW w:type="dxa" w:w="648"/>
          </w:tcPr>
          <w:p>
            <w:r/>
            <w:r>
              <w:rPr>
                <w:sz w:val="18"/>
              </w:rPr>
              <w:t>D-10</w:t>
            </w:r>
          </w:p>
        </w:tc>
        <w:tc>
          <w:tcPr>
            <w:tcW w:type="dxa" w:w="1008"/>
          </w:tcPr>
          <w:p>
            <w:r/>
            <w:r>
              <w:rPr>
                <w:sz w:val="18"/>
              </w:rPr>
              <w:t>High</w:t>
            </w:r>
          </w:p>
        </w:tc>
        <w:tc>
          <w:tcPr>
            <w:tcW w:type="dxa" w:w="1584"/>
          </w:tcPr>
          <w:p>
            <w:r/>
            <w:r>
              <w:rPr>
                <w:sz w:val="18"/>
              </w:rPr>
              <w:t>Unapproved vendor</w:t>
            </w:r>
          </w:p>
        </w:tc>
        <w:tc>
          <w:tcPr>
            <w:tcW w:type="dxa" w:w="4752"/>
          </w:tcPr>
          <w:p>
            <w:r/>
            <w:r>
              <w:rPr>
                <w:sz w:val="18"/>
              </w:rPr>
              <w:t>Forrest Data Solutions $48,250 — no approval; &gt;$10,000</w:t>
            </w:r>
          </w:p>
        </w:tc>
        <w:tc>
          <w:tcPr>
            <w:tcW w:type="dxa" w:w="2160"/>
          </w:tcPr>
          <w:p>
            <w:r/>
            <w:r>
              <w:rPr>
                <w:sz w:val="18"/>
              </w:rPr>
              <w:t>($48,250.00)</w:t>
            </w:r>
          </w:p>
        </w:tc>
        <w:tc>
          <w:tcPr>
            <w:tcW w:type="dxa" w:w="1728"/>
          </w:tcPr>
          <w:p>
            <w:r/>
            <w:r>
              <w:rPr>
                <w:sz w:val="18"/>
              </w:rPr>
              <w:t>§9.1(2),(7); §7.1(c)</w:t>
            </w:r>
          </w:p>
        </w:tc>
        <w:tc>
          <w:tcPr>
            <w:tcW w:type="dxa" w:w="1656"/>
          </w:tcPr>
          <w:p>
            <w:r/>
            <w:r>
              <w:rPr>
                <w:sz w:val="18"/>
              </w:rPr>
              <w:t>Disallow</w:t>
            </w:r>
          </w:p>
        </w:tc>
      </w:tr>
      <w:tr>
        <w:tc>
          <w:tcPr>
            <w:tcW w:type="dxa" w:w="648"/>
          </w:tcPr>
          <w:p>
            <w:r/>
            <w:r>
              <w:rPr>
                <w:sz w:val="18"/>
              </w:rPr>
              <w:t>D-11</w:t>
            </w:r>
          </w:p>
        </w:tc>
        <w:tc>
          <w:tcPr>
            <w:tcW w:type="dxa" w:w="1008"/>
          </w:tcPr>
          <w:p>
            <w:r/>
            <w:r>
              <w:rPr>
                <w:sz w:val="18"/>
              </w:rPr>
              <w:t>High</w:t>
            </w:r>
          </w:p>
        </w:tc>
        <w:tc>
          <w:tcPr>
            <w:tcW w:type="dxa" w:w="1584"/>
          </w:tcPr>
          <w:p>
            <w:r/>
            <w:r>
              <w:rPr>
                <w:sz w:val="18"/>
              </w:rPr>
              <w:t>Unapproved local counsel</w:t>
            </w:r>
          </w:p>
        </w:tc>
        <w:tc>
          <w:tcPr>
            <w:tcW w:type="dxa" w:w="4752"/>
          </w:tcPr>
          <w:p>
            <w:r/>
            <w:r>
              <w:rPr>
                <w:sz w:val="18"/>
              </w:rPr>
              <w:t>Brixton &amp; Associates retainer</w:t>
            </w:r>
          </w:p>
        </w:tc>
        <w:tc>
          <w:tcPr>
            <w:tcW w:type="dxa" w:w="2160"/>
          </w:tcPr>
          <w:p>
            <w:r/>
            <w:r>
              <w:rPr>
                <w:sz w:val="18"/>
              </w:rPr>
              <w:t>($1,500.00)</w:t>
            </w:r>
          </w:p>
        </w:tc>
        <w:tc>
          <w:tcPr>
            <w:tcW w:type="dxa" w:w="1728"/>
          </w:tcPr>
          <w:p>
            <w:r/>
            <w:r>
              <w:rPr>
                <w:sz w:val="18"/>
              </w:rPr>
              <w:t>§9.1(5); EL §8(5)</w:t>
            </w:r>
          </w:p>
        </w:tc>
        <w:tc>
          <w:tcPr>
            <w:tcW w:type="dxa" w:w="1656"/>
          </w:tcPr>
          <w:p>
            <w:r/>
            <w:r>
              <w:rPr>
                <w:sz w:val="18"/>
              </w:rPr>
              <w:t>Disallow</w:t>
            </w:r>
          </w:p>
        </w:tc>
      </w:tr>
      <w:tr>
        <w:tc>
          <w:tcPr>
            <w:tcW w:type="dxa" w:w="648"/>
          </w:tcPr>
          <w:p>
            <w:r/>
            <w:r>
              <w:rPr>
                <w:sz w:val="18"/>
              </w:rPr>
              <w:t>D-12</w:t>
            </w:r>
          </w:p>
        </w:tc>
        <w:tc>
          <w:tcPr>
            <w:tcW w:type="dxa" w:w="1008"/>
          </w:tcPr>
          <w:p>
            <w:r/>
            <w:r>
              <w:rPr>
                <w:sz w:val="18"/>
              </w:rPr>
              <w:t>High</w:t>
            </w:r>
          </w:p>
        </w:tc>
        <w:tc>
          <w:tcPr>
            <w:tcW w:type="dxa" w:w="1584"/>
          </w:tcPr>
          <w:p>
            <w:r/>
            <w:r>
              <w:rPr>
                <w:sz w:val="18"/>
              </w:rPr>
              <w:t>Prohibited overhead</w:t>
            </w:r>
          </w:p>
        </w:tc>
        <w:tc>
          <w:tcPr>
            <w:tcW w:type="dxa" w:w="4752"/>
          </w:tcPr>
          <w:p>
            <w:r/>
            <w:r>
              <w:rPr>
                <w:sz w:val="18"/>
              </w:rPr>
              <w:t>Technology surcharge (2%) and after-hours word processing</w:t>
            </w:r>
          </w:p>
        </w:tc>
        <w:tc>
          <w:tcPr>
            <w:tcW w:type="dxa" w:w="2160"/>
          </w:tcPr>
          <w:p>
            <w:r/>
            <w:r>
              <w:rPr>
                <w:sz w:val="18"/>
              </w:rPr>
              <w:t>($7,198.74)</w:t>
            </w:r>
          </w:p>
        </w:tc>
        <w:tc>
          <w:tcPr>
            <w:tcW w:type="dxa" w:w="1728"/>
          </w:tcPr>
          <w:p>
            <w:r/>
            <w:r>
              <w:rPr>
                <w:sz w:val="18"/>
              </w:rPr>
              <w:t>§7.1(a),(b),(d); §7.3</w:t>
            </w:r>
          </w:p>
        </w:tc>
        <w:tc>
          <w:tcPr>
            <w:tcW w:type="dxa" w:w="1656"/>
          </w:tcPr>
          <w:p>
            <w:r/>
            <w:r>
              <w:rPr>
                <w:sz w:val="18"/>
              </w:rPr>
              <w:t>Disallow</w:t>
            </w:r>
          </w:p>
        </w:tc>
      </w:tr>
      <w:tr>
        <w:tc>
          <w:tcPr>
            <w:tcW w:type="dxa" w:w="648"/>
          </w:tcPr>
          <w:p>
            <w:r/>
            <w:r>
              <w:rPr>
                <w:sz w:val="18"/>
              </w:rPr>
              <w:t>D-13</w:t>
            </w:r>
          </w:p>
        </w:tc>
        <w:tc>
          <w:tcPr>
            <w:tcW w:type="dxa" w:w="1008"/>
          </w:tcPr>
          <w:p>
            <w:r/>
            <w:r>
              <w:rPr>
                <w:sz w:val="18"/>
              </w:rPr>
              <w:t>Medium</w:t>
            </w:r>
          </w:p>
        </w:tc>
        <w:tc>
          <w:tcPr>
            <w:tcW w:type="dxa" w:w="1584"/>
          </w:tcPr>
          <w:p>
            <w:r/>
            <w:r>
              <w:rPr>
                <w:sz w:val="18"/>
              </w:rPr>
              <w:t>Rate cap</w:t>
            </w:r>
          </w:p>
        </w:tc>
        <w:tc>
          <w:tcPr>
            <w:tcW w:type="dxa" w:w="4752"/>
          </w:tcPr>
          <w:p>
            <w:r/>
            <w:r>
              <w:rPr>
                <w:sz w:val="18"/>
              </w:rPr>
              <w:t>Photocopying at $0.25/page vs $0.15 cap (48,200 pp.)</w:t>
            </w:r>
          </w:p>
        </w:tc>
        <w:tc>
          <w:tcPr>
            <w:tcW w:type="dxa" w:w="2160"/>
          </w:tcPr>
          <w:p>
            <w:r/>
            <w:r>
              <w:rPr>
                <w:sz w:val="18"/>
              </w:rPr>
              <w:t>($4,820.00)</w:t>
            </w:r>
          </w:p>
        </w:tc>
        <w:tc>
          <w:tcPr>
            <w:tcW w:type="dxa" w:w="1728"/>
          </w:tcPr>
          <w:p>
            <w:r/>
            <w:r>
              <w:rPr>
                <w:sz w:val="18"/>
              </w:rPr>
              <w:t>§7.1; §7.3; EL §5</w:t>
            </w:r>
          </w:p>
        </w:tc>
        <w:tc>
          <w:tcPr>
            <w:tcW w:type="dxa" w:w="1656"/>
          </w:tcPr>
          <w:p>
            <w:r/>
            <w:r>
              <w:rPr>
                <w:sz w:val="18"/>
              </w:rPr>
              <w:t>Reduce</w:t>
            </w:r>
          </w:p>
        </w:tc>
      </w:tr>
      <w:tr>
        <w:tc>
          <w:tcPr>
            <w:tcW w:type="dxa" w:w="648"/>
          </w:tcPr>
          <w:p>
            <w:r/>
            <w:r>
              <w:rPr>
                <w:sz w:val="18"/>
              </w:rPr>
              <w:t>D-14</w:t>
            </w:r>
          </w:p>
        </w:tc>
        <w:tc>
          <w:tcPr>
            <w:tcW w:type="dxa" w:w="1008"/>
          </w:tcPr>
          <w:p>
            <w:r/>
            <w:r>
              <w:rPr>
                <w:sz w:val="18"/>
              </w:rPr>
              <w:t>Medium</w:t>
            </w:r>
          </w:p>
        </w:tc>
        <w:tc>
          <w:tcPr>
            <w:tcW w:type="dxa" w:w="1584"/>
          </w:tcPr>
          <w:p>
            <w:r/>
            <w:r>
              <w:rPr>
                <w:sz w:val="18"/>
              </w:rPr>
              <w:t>Monthly cap</w:t>
            </w:r>
          </w:p>
        </w:tc>
        <w:tc>
          <w:tcPr>
            <w:tcW w:type="dxa" w:w="4752"/>
          </w:tcPr>
          <w:p>
            <w:r/>
            <w:r>
              <w:rPr>
                <w:sz w:val="18"/>
              </w:rPr>
              <w:t>Westlaw $4,218.60 vs $3,500 monthly cap</w:t>
            </w:r>
          </w:p>
        </w:tc>
        <w:tc>
          <w:tcPr>
            <w:tcW w:type="dxa" w:w="2160"/>
          </w:tcPr>
          <w:p>
            <w:r/>
            <w:r>
              <w:rPr>
                <w:sz w:val="18"/>
              </w:rPr>
              <w:t>($718.60)</w:t>
            </w:r>
          </w:p>
        </w:tc>
        <w:tc>
          <w:tcPr>
            <w:tcW w:type="dxa" w:w="1728"/>
          </w:tcPr>
          <w:p>
            <w:r/>
            <w:r>
              <w:rPr>
                <w:sz w:val="18"/>
              </w:rPr>
              <w:t>§7.1</w:t>
            </w:r>
          </w:p>
        </w:tc>
        <w:tc>
          <w:tcPr>
            <w:tcW w:type="dxa" w:w="1656"/>
          </w:tcPr>
          <w:p>
            <w:r/>
            <w:r>
              <w:rPr>
                <w:sz w:val="18"/>
              </w:rPr>
              <w:t>Reduce</w:t>
            </w:r>
          </w:p>
        </w:tc>
      </w:tr>
      <w:tr>
        <w:tc>
          <w:tcPr>
            <w:tcW w:type="dxa" w:w="648"/>
          </w:tcPr>
          <w:p>
            <w:r/>
            <w:r>
              <w:rPr>
                <w:sz w:val="18"/>
              </w:rPr>
              <w:t>D-15</w:t>
            </w:r>
          </w:p>
        </w:tc>
        <w:tc>
          <w:tcPr>
            <w:tcW w:type="dxa" w:w="1008"/>
          </w:tcPr>
          <w:p>
            <w:r/>
            <w:r>
              <w:rPr>
                <w:sz w:val="18"/>
              </w:rPr>
              <w:t>Medium</w:t>
            </w:r>
          </w:p>
        </w:tc>
        <w:tc>
          <w:tcPr>
            <w:tcW w:type="dxa" w:w="1584"/>
          </w:tcPr>
          <w:p>
            <w:r/>
            <w:r>
              <w:rPr>
                <w:sz w:val="18"/>
              </w:rPr>
              <w:t>Approval scope / hosting</w:t>
            </w:r>
          </w:p>
        </w:tc>
        <w:tc>
          <w:tcPr>
            <w:tcW w:type="dxa" w:w="4752"/>
          </w:tcPr>
          <w:p>
            <w:r/>
            <w:r>
              <w:rPr>
                <w:sz w:val="18"/>
              </w:rPr>
              <w:t>Relativity hosting $18,500 — vendor unidentified; exceeds PA-004 estimate</w:t>
            </w:r>
          </w:p>
        </w:tc>
        <w:tc>
          <w:tcPr>
            <w:tcW w:type="dxa" w:w="2160"/>
          </w:tcPr>
          <w:p>
            <w:r/>
            <w:r>
              <w:rPr>
                <w:sz w:val="18"/>
              </w:rPr>
              <w:t>($3,500.00) + $15,000 withheld</w:t>
            </w:r>
          </w:p>
        </w:tc>
        <w:tc>
          <w:tcPr>
            <w:tcW w:type="dxa" w:w="1728"/>
          </w:tcPr>
          <w:p>
            <w:r/>
            <w:r>
              <w:rPr>
                <w:sz w:val="18"/>
              </w:rPr>
              <w:t>§7.1(c); §9.1; PA-004</w:t>
            </w:r>
          </w:p>
        </w:tc>
        <w:tc>
          <w:tcPr>
            <w:tcW w:type="dxa" w:w="1656"/>
          </w:tcPr>
          <w:p>
            <w:r/>
            <w:r>
              <w:rPr>
                <w:sz w:val="18"/>
              </w:rPr>
              <w:t>Reduce / withhold</w:t>
            </w:r>
          </w:p>
        </w:tc>
      </w:tr>
      <w:tr>
        <w:tc>
          <w:tcPr>
            <w:tcW w:type="dxa" w:w="648"/>
          </w:tcPr>
          <w:p>
            <w:r/>
            <w:r>
              <w:rPr>
                <w:sz w:val="18"/>
              </w:rPr>
              <w:t>D-16</w:t>
            </w:r>
          </w:p>
        </w:tc>
        <w:tc>
          <w:tcPr>
            <w:tcW w:type="dxa" w:w="1008"/>
          </w:tcPr>
          <w:p>
            <w:r/>
            <w:r>
              <w:rPr>
                <w:sz w:val="18"/>
              </w:rPr>
              <w:t>Medium</w:t>
            </w:r>
          </w:p>
        </w:tc>
        <w:tc>
          <w:tcPr>
            <w:tcW w:type="dxa" w:w="1584"/>
          </w:tcPr>
          <w:p>
            <w:r/>
            <w:r>
              <w:rPr>
                <w:sz w:val="18"/>
              </w:rPr>
              <w:t>Documentation</w:t>
            </w:r>
          </w:p>
        </w:tc>
        <w:tc>
          <w:tcPr>
            <w:tcW w:type="dxa" w:w="4752"/>
          </w:tcPr>
          <w:p>
            <w:r/>
            <w:r>
              <w:rPr>
                <w:sz w:val="18"/>
              </w:rPr>
              <w:t>Expert fees (Voss, Huang) without expert invoices; courier charges unitemized</w:t>
            </w:r>
          </w:p>
        </w:tc>
        <w:tc>
          <w:tcPr>
            <w:tcW w:type="dxa" w:w="2160"/>
          </w:tcPr>
          <w:p>
            <w:r/>
            <w:r>
              <w:rPr>
                <w:sz w:val="18"/>
              </w:rPr>
              <w:t>$130,372.04 withheld</w:t>
            </w:r>
          </w:p>
        </w:tc>
        <w:tc>
          <w:tcPr>
            <w:tcW w:type="dxa" w:w="1728"/>
          </w:tcPr>
          <w:p>
            <w:r/>
            <w:r>
              <w:rPr>
                <w:sz w:val="18"/>
              </w:rPr>
              <w:t>§7.1; §7.2; Ex. B</w:t>
            </w:r>
          </w:p>
        </w:tc>
        <w:tc>
          <w:tcPr>
            <w:tcW w:type="dxa" w:w="1656"/>
          </w:tcPr>
          <w:p>
            <w:r/>
            <w:r>
              <w:rPr>
                <w:sz w:val="18"/>
              </w:rPr>
              <w:t>Withhold</w:t>
            </w:r>
          </w:p>
        </w:tc>
      </w:tr>
      <w:tr>
        <w:tc>
          <w:tcPr>
            <w:tcW w:type="dxa" w:w="648"/>
          </w:tcPr>
          <w:p>
            <w:r/>
            <w:r>
              <w:rPr>
                <w:sz w:val="18"/>
              </w:rPr>
              <w:t>D-17</w:t>
            </w:r>
          </w:p>
        </w:tc>
        <w:tc>
          <w:tcPr>
            <w:tcW w:type="dxa" w:w="1008"/>
          </w:tcPr>
          <w:p>
            <w:r/>
            <w:r>
              <w:rPr>
                <w:sz w:val="18"/>
              </w:rPr>
              <w:t>Medium</w:t>
            </w:r>
          </w:p>
        </w:tc>
        <w:tc>
          <w:tcPr>
            <w:tcW w:type="dxa" w:w="1584"/>
          </w:tcPr>
          <w:p>
            <w:r/>
            <w:r>
              <w:rPr>
                <w:sz w:val="18"/>
              </w:rPr>
              <w:t>Approval scope</w:t>
            </w:r>
          </w:p>
        </w:tc>
        <w:tc>
          <w:tcPr>
            <w:tcW w:type="dxa" w:w="4752"/>
          </w:tcPr>
          <w:p>
            <w:r/>
            <w:r>
              <w:rPr>
                <w:sz w:val="18"/>
              </w:rPr>
              <w:t>Torres transcript $5,240 (&gt; $5,000; expedited; post-fact-discovery)</w:t>
            </w:r>
          </w:p>
        </w:tc>
        <w:tc>
          <w:tcPr>
            <w:tcW w:type="dxa" w:w="2160"/>
          </w:tcPr>
          <w:p>
            <w:r/>
            <w:r>
              <w:rPr>
                <w:sz w:val="18"/>
              </w:rPr>
              <w:t>$5,240.00 withheld</w:t>
            </w:r>
          </w:p>
        </w:tc>
        <w:tc>
          <w:tcPr>
            <w:tcW w:type="dxa" w:w="1728"/>
          </w:tcPr>
          <w:p>
            <w:r/>
            <w:r>
              <w:rPr>
                <w:sz w:val="18"/>
              </w:rPr>
              <w:t>§7.1; PA-003</w:t>
            </w:r>
          </w:p>
        </w:tc>
        <w:tc>
          <w:tcPr>
            <w:tcW w:type="dxa" w:w="1656"/>
          </w:tcPr>
          <w:p>
            <w:r/>
            <w:r>
              <w:rPr>
                <w:sz w:val="18"/>
              </w:rPr>
              <w:t>Withhold</w:t>
            </w:r>
          </w:p>
        </w:tc>
      </w:tr>
      <w:tr>
        <w:tc>
          <w:tcPr>
            <w:tcW w:type="dxa" w:w="648"/>
          </w:tcPr>
          <w:p>
            <w:r/>
            <w:r>
              <w:rPr>
                <w:sz w:val="18"/>
              </w:rPr>
              <w:t>D-18</w:t>
            </w:r>
          </w:p>
        </w:tc>
        <w:tc>
          <w:tcPr>
            <w:tcW w:type="dxa" w:w="1008"/>
          </w:tcPr>
          <w:p>
            <w:r/>
            <w:r>
              <w:rPr>
                <w:sz w:val="18"/>
              </w:rPr>
              <w:t>High</w:t>
            </w:r>
          </w:p>
        </w:tc>
        <w:tc>
          <w:tcPr>
            <w:tcW w:type="dxa" w:w="1584"/>
          </w:tcPr>
          <w:p>
            <w:r/>
            <w:r>
              <w:rPr>
                <w:sz w:val="18"/>
              </w:rPr>
              <w:t>Budget notice</w:t>
            </w:r>
          </w:p>
        </w:tc>
        <w:tc>
          <w:tcPr>
            <w:tcW w:type="dxa" w:w="4752"/>
          </w:tcPr>
          <w:p>
            <w:r/>
            <w:r>
              <w:rPr>
                <w:sz w:val="18"/>
              </w:rPr>
              <w:t>75% threshold crossed ($2.23M+) with no written notification</w:t>
            </w:r>
          </w:p>
        </w:tc>
        <w:tc>
          <w:tcPr>
            <w:tcW w:type="dxa" w:w="2160"/>
          </w:tcPr>
          <w:p>
            <w:r/>
            <w:r>
              <w:rPr>
                <w:sz w:val="18"/>
              </w:rPr>
              <w:t>—</w:t>
            </w:r>
          </w:p>
        </w:tc>
        <w:tc>
          <w:tcPr>
            <w:tcW w:type="dxa" w:w="1728"/>
          </w:tcPr>
          <w:p>
            <w:r/>
            <w:r>
              <w:rPr>
                <w:sz w:val="18"/>
              </w:rPr>
              <w:t>§10.1; EL §7</w:t>
            </w:r>
          </w:p>
        </w:tc>
        <w:tc>
          <w:tcPr>
            <w:tcW w:type="dxa" w:w="1656"/>
          </w:tcPr>
          <w:p>
            <w:r/>
            <w:r>
              <w:rPr>
                <w:sz w:val="18"/>
              </w:rPr>
              <w:t>Require notice &amp; revised budget</w:t>
            </w:r>
          </w:p>
        </w:tc>
      </w:tr>
      <w:tr>
        <w:tc>
          <w:tcPr>
            <w:tcW w:type="dxa" w:w="648"/>
          </w:tcPr>
          <w:p>
            <w:r/>
            <w:r>
              <w:rPr>
                <w:sz w:val="18"/>
              </w:rPr>
              <w:t>D-19</w:t>
            </w:r>
          </w:p>
        </w:tc>
        <w:tc>
          <w:tcPr>
            <w:tcW w:type="dxa" w:w="1008"/>
          </w:tcPr>
          <w:p>
            <w:r/>
            <w:r>
              <w:rPr>
                <w:sz w:val="18"/>
              </w:rPr>
              <w:t>High</w:t>
            </w:r>
          </w:p>
        </w:tc>
        <w:tc>
          <w:tcPr>
            <w:tcW w:type="dxa" w:w="1584"/>
          </w:tcPr>
          <w:p>
            <w:r/>
            <w:r>
              <w:rPr>
                <w:sz w:val="18"/>
              </w:rPr>
              <w:t>Monthly threshold</w:t>
            </w:r>
          </w:p>
        </w:tc>
        <w:tc>
          <w:tcPr>
            <w:tcW w:type="dxa" w:w="4752"/>
          </w:tcPr>
          <w:p>
            <w:r/>
            <w:r>
              <w:rPr>
                <w:sz w:val="18"/>
              </w:rPr>
              <w:t>Invoice &gt; $350,000 without written explanation</w:t>
            </w:r>
          </w:p>
        </w:tc>
        <w:tc>
          <w:tcPr>
            <w:tcW w:type="dxa" w:w="2160"/>
          </w:tcPr>
          <w:p>
            <w:r/>
            <w:r>
              <w:rPr>
                <w:sz w:val="18"/>
              </w:rPr>
              <w:t>—</w:t>
            </w:r>
          </w:p>
        </w:tc>
        <w:tc>
          <w:tcPr>
            <w:tcW w:type="dxa" w:w="1728"/>
          </w:tcPr>
          <w:p>
            <w:r/>
            <w:r>
              <w:rPr>
                <w:sz w:val="18"/>
              </w:rPr>
              <w:t>§10.1; EL §7</w:t>
            </w:r>
          </w:p>
        </w:tc>
        <w:tc>
          <w:tcPr>
            <w:tcW w:type="dxa" w:w="1656"/>
          </w:tcPr>
          <w:p>
            <w:r/>
            <w:r>
              <w:rPr>
                <w:sz w:val="18"/>
              </w:rPr>
              <w:t>Require explanation</w:t>
            </w:r>
          </w:p>
        </w:tc>
      </w:tr>
      <w:tr>
        <w:tc>
          <w:tcPr>
            <w:tcW w:type="dxa" w:w="648"/>
          </w:tcPr>
          <w:p>
            <w:r/>
            <w:r>
              <w:rPr>
                <w:sz w:val="18"/>
              </w:rPr>
              <w:t>D-20</w:t>
            </w:r>
          </w:p>
        </w:tc>
        <w:tc>
          <w:tcPr>
            <w:tcW w:type="dxa" w:w="1008"/>
          </w:tcPr>
          <w:p>
            <w:r/>
            <w:r>
              <w:rPr>
                <w:sz w:val="18"/>
              </w:rPr>
              <w:t>High</w:t>
            </w:r>
          </w:p>
        </w:tc>
        <w:tc>
          <w:tcPr>
            <w:tcW w:type="dxa" w:w="1584"/>
          </w:tcPr>
          <w:p>
            <w:r/>
            <w:r>
              <w:rPr>
                <w:sz w:val="18"/>
              </w:rPr>
              <w:t>LEDES/UTBMS</w:t>
            </w:r>
          </w:p>
        </w:tc>
        <w:tc>
          <w:tcPr>
            <w:tcW w:type="dxa" w:w="4752"/>
          </w:tcPr>
          <w:p>
            <w:r/>
            <w:r>
              <w:rPr>
                <w:sz w:val="18"/>
              </w:rPr>
              <w:t>All 139 entries use L510–L550 codes not in Appendix A; activity/expense codes misapplied; LEDES narratives truncated; no TIMEKEEPER_NAME field</w:t>
            </w:r>
          </w:p>
        </w:tc>
        <w:tc>
          <w:tcPr>
            <w:tcW w:type="dxa" w:w="2160"/>
          </w:tcPr>
          <w:p>
            <w:r/>
            <w:r>
              <w:rPr>
                <w:sz w:val="18"/>
              </w:rPr>
              <w:t>—</w:t>
            </w:r>
          </w:p>
        </w:tc>
        <w:tc>
          <w:tcPr>
            <w:tcW w:type="dxa" w:w="1728"/>
          </w:tcPr>
          <w:p>
            <w:r/>
            <w:r>
              <w:rPr>
                <w:sz w:val="18"/>
              </w:rPr>
              <w:t>§4.4; §8.1; App. A–B</w:t>
            </w:r>
          </w:p>
        </w:tc>
        <w:tc>
          <w:tcPr>
            <w:tcW w:type="dxa" w:w="1656"/>
          </w:tcPr>
          <w:p>
            <w:r/>
            <w:r>
              <w:rPr>
                <w:sz w:val="18"/>
              </w:rPr>
              <w:t>Return for correction</w:t>
            </w:r>
          </w:p>
        </w:tc>
      </w:tr>
      <w:tr>
        <w:tc>
          <w:tcPr>
            <w:tcW w:type="dxa" w:w="648"/>
          </w:tcPr>
          <w:p>
            <w:r/>
            <w:r>
              <w:rPr>
                <w:sz w:val="18"/>
              </w:rPr>
              <w:t>D-21</w:t>
            </w:r>
          </w:p>
        </w:tc>
        <w:tc>
          <w:tcPr>
            <w:tcW w:type="dxa" w:w="1008"/>
          </w:tcPr>
          <w:p>
            <w:r/>
            <w:r>
              <w:rPr>
                <w:sz w:val="18"/>
              </w:rPr>
              <w:t>Medium</w:t>
            </w:r>
          </w:p>
        </w:tc>
        <w:tc>
          <w:tcPr>
            <w:tcW w:type="dxa" w:w="1584"/>
          </w:tcPr>
          <w:p>
            <w:r/>
            <w:r>
              <w:rPr>
                <w:sz w:val="18"/>
              </w:rPr>
              <w:t>Narrative detail</w:t>
            </w:r>
          </w:p>
        </w:tc>
        <w:tc>
          <w:tcPr>
            <w:tcW w:type="dxa" w:w="4752"/>
          </w:tcPr>
          <w:p>
            <w:r/>
            <w:r>
              <w:rPr>
                <w:sz w:val="18"/>
              </w:rPr>
              <w:t>138 of 139 narratives under 30 words (LEDES version: 139 of 139)</w:t>
            </w:r>
          </w:p>
        </w:tc>
        <w:tc>
          <w:tcPr>
            <w:tcW w:type="dxa" w:w="2160"/>
          </w:tcPr>
          <w:p>
            <w:r/>
            <w:r>
              <w:rPr>
                <w:sz w:val="18"/>
              </w:rPr>
              <w:t>—</w:t>
            </w:r>
          </w:p>
        </w:tc>
        <w:tc>
          <w:tcPr>
            <w:tcW w:type="dxa" w:w="1728"/>
          </w:tcPr>
          <w:p>
            <w:r/>
            <w:r>
              <w:rPr>
                <w:sz w:val="18"/>
              </w:rPr>
              <w:t>§4.1</w:t>
            </w:r>
          </w:p>
        </w:tc>
        <w:tc>
          <w:tcPr>
            <w:tcW w:type="dxa" w:w="1656"/>
          </w:tcPr>
          <w:p>
            <w:r/>
            <w:r>
              <w:rPr>
                <w:sz w:val="18"/>
              </w:rPr>
              <w:t>Resubmit with detail</w:t>
            </w:r>
          </w:p>
        </w:tc>
      </w:tr>
      <w:tr>
        <w:tc>
          <w:tcPr>
            <w:tcW w:type="dxa" w:w="648"/>
          </w:tcPr>
          <w:p>
            <w:r/>
            <w:r>
              <w:rPr>
                <w:sz w:val="18"/>
              </w:rPr>
              <w:t>D-22</w:t>
            </w:r>
          </w:p>
        </w:tc>
        <w:tc>
          <w:tcPr>
            <w:tcW w:type="dxa" w:w="1008"/>
          </w:tcPr>
          <w:p>
            <w:r/>
            <w:r>
              <w:rPr>
                <w:sz w:val="18"/>
              </w:rPr>
              <w:t>Low–Med</w:t>
            </w:r>
          </w:p>
        </w:tc>
        <w:tc>
          <w:tcPr>
            <w:tcW w:type="dxa" w:w="1584"/>
          </w:tcPr>
          <w:p>
            <w:r/>
            <w:r>
              <w:rPr>
                <w:sz w:val="18"/>
              </w:rPr>
              <w:t>Transmittal/status accuracy</w:t>
            </w:r>
          </w:p>
        </w:tc>
        <w:tc>
          <w:tcPr>
            <w:tcW w:type="dxa" w:w="4752"/>
          </w:tcPr>
          <w:p>
            <w:r/>
            <w:r>
              <w:rPr>
                <w:sz w:val="18"/>
              </w:rPr>
              <w:t>Email omits two depositions and all non-compliant items; filing status inconsistent with time entries</w:t>
            </w:r>
          </w:p>
        </w:tc>
        <w:tc>
          <w:tcPr>
            <w:tcW w:type="dxa" w:w="2160"/>
          </w:tcPr>
          <w:p>
            <w:r/>
            <w:r>
              <w:rPr>
                <w:sz w:val="18"/>
              </w:rPr>
              <w:t>—</w:t>
            </w:r>
          </w:p>
        </w:tc>
        <w:tc>
          <w:tcPr>
            <w:tcW w:type="dxa" w:w="1728"/>
          </w:tcPr>
          <w:p>
            <w:r/>
            <w:r>
              <w:rPr>
                <w:sz w:val="18"/>
              </w:rPr>
              <w:t>§8.1(g); §1.2</w:t>
            </w:r>
          </w:p>
        </w:tc>
        <w:tc>
          <w:tcPr>
            <w:tcW w:type="dxa" w:w="1656"/>
          </w:tcPr>
          <w:p>
            <w:r/>
            <w:r>
              <w:rPr>
                <w:sz w:val="18"/>
              </w:rPr>
              <w:t>Clarify</w:t>
            </w:r>
          </w:p>
        </w:tc>
      </w:tr>
    </w:tbl>
    <w:p/>
    <w:p>
      <w:pPr>
        <w:pStyle w:val="Heading1"/>
      </w:pPr>
      <w:r>
        <w:t>4. Detailed Findings</w:t>
      </w:r>
    </w:p>
    <w:p>
      <w:pPr>
        <w:pStyle w:val="Heading2"/>
      </w:pPr>
      <w:r>
        <w:t>4.1 Invoice arithmetic and integrity (D-1)</w:t>
      </w:r>
    </w:p>
    <w:tbl>
      <w:tblPr>
        <w:tblStyle w:val="TableGrid"/>
        <w:tblW w:type="auto" w:w="0"/>
        <w:tblLook w:firstColumn="1" w:firstRow="1" w:lastColumn="0" w:lastRow="0" w:noHBand="0" w:noVBand="1" w:val="04A0"/>
      </w:tblPr>
      <w:tblGrid>
        <w:gridCol w:w="2304"/>
        <w:gridCol w:w="2304"/>
        <w:gridCol w:w="2304"/>
        <w:gridCol w:w="2304"/>
        <w:gridCol w:w="2304"/>
        <w:gridCol w:w="2304"/>
      </w:tblGrid>
      <w:tr>
        <w:tc>
          <w:tcPr>
            <w:tcW w:type="dxa" w:w="3168"/>
            <w:shd w:val="clear" w:color="auto" w:fill="1F3A5F"/>
          </w:tcPr>
          <w:p>
            <w:r/>
            <w:r>
              <w:rPr>
                <w:b/>
                <w:color w:val="FFFFFF"/>
                <w:sz w:val="18"/>
              </w:rPr>
              <w:t>Timekeeper</w:t>
            </w:r>
          </w:p>
        </w:tc>
        <w:tc>
          <w:tcPr>
            <w:tcW w:type="dxa" w:w="1440"/>
            <w:shd w:val="clear" w:color="auto" w:fill="1F3A5F"/>
          </w:tcPr>
          <w:p>
            <w:r/>
            <w:r>
              <w:rPr>
                <w:b/>
                <w:color w:val="FFFFFF"/>
                <w:sz w:val="18"/>
              </w:rPr>
              <w:t>Stated hrs</w:t>
            </w:r>
          </w:p>
        </w:tc>
        <w:tc>
          <w:tcPr>
            <w:tcW w:type="dxa" w:w="2016"/>
            <w:shd w:val="clear" w:color="auto" w:fill="1F3A5F"/>
          </w:tcPr>
          <w:p>
            <w:r/>
            <w:r>
              <w:rPr>
                <w:b/>
                <w:color w:val="FFFFFF"/>
                <w:sz w:val="18"/>
              </w:rPr>
              <w:t>Stated fees</w:t>
            </w:r>
          </w:p>
        </w:tc>
        <w:tc>
          <w:tcPr>
            <w:tcW w:type="dxa" w:w="1728"/>
            <w:shd w:val="clear" w:color="auto" w:fill="1F3A5F"/>
          </w:tcPr>
          <w:p>
            <w:r/>
            <w:r>
              <w:rPr>
                <w:b/>
                <w:color w:val="FFFFFF"/>
                <w:sz w:val="18"/>
              </w:rPr>
              <w:t>Line-item hrs</w:t>
            </w:r>
          </w:p>
        </w:tc>
        <w:tc>
          <w:tcPr>
            <w:tcW w:type="dxa" w:w="2016"/>
            <w:shd w:val="clear" w:color="auto" w:fill="1F3A5F"/>
          </w:tcPr>
          <w:p>
            <w:r/>
            <w:r>
              <w:rPr>
                <w:b/>
                <w:color w:val="FFFFFF"/>
                <w:sz w:val="18"/>
              </w:rPr>
              <w:t>Line-item fees</w:t>
            </w:r>
          </w:p>
        </w:tc>
        <w:tc>
          <w:tcPr>
            <w:tcW w:type="dxa" w:w="1872"/>
            <w:shd w:val="clear" w:color="auto" w:fill="1F3A5F"/>
          </w:tcPr>
          <w:p>
            <w:r/>
            <w:r>
              <w:rPr>
                <w:b/>
                <w:color w:val="FFFFFF"/>
                <w:sz w:val="18"/>
              </w:rPr>
              <w:t>Variance</w:t>
            </w:r>
          </w:p>
        </w:tc>
      </w:tr>
      <w:tr>
        <w:tc>
          <w:tcPr>
            <w:tcW w:type="dxa" w:w="3168"/>
          </w:tcPr>
          <w:p>
            <w:r/>
            <w:r>
              <w:rPr>
                <w:sz w:val="18"/>
              </w:rPr>
              <w:t>Sandra Messina</w:t>
            </w:r>
          </w:p>
        </w:tc>
        <w:tc>
          <w:tcPr>
            <w:tcW w:type="dxa" w:w="1440"/>
          </w:tcPr>
          <w:p>
            <w:r/>
            <w:r>
              <w:rPr>
                <w:sz w:val="18"/>
              </w:rPr>
              <w:t>47.3</w:t>
            </w:r>
          </w:p>
        </w:tc>
        <w:tc>
          <w:tcPr>
            <w:tcW w:type="dxa" w:w="2016"/>
          </w:tcPr>
          <w:p>
            <w:r/>
            <w:r>
              <w:rPr>
                <w:sz w:val="18"/>
              </w:rPr>
              <w:t>$42,333.50</w:t>
            </w:r>
          </w:p>
        </w:tc>
        <w:tc>
          <w:tcPr>
            <w:tcW w:type="dxa" w:w="1728"/>
          </w:tcPr>
          <w:p>
            <w:r/>
            <w:r>
              <w:rPr>
                <w:sz w:val="18"/>
              </w:rPr>
              <w:t>51.6</w:t>
            </w:r>
          </w:p>
        </w:tc>
        <w:tc>
          <w:tcPr>
            <w:tcW w:type="dxa" w:w="2016"/>
          </w:tcPr>
          <w:p>
            <w:r/>
            <w:r>
              <w:rPr>
                <w:sz w:val="18"/>
              </w:rPr>
              <w:t>$46,182.00</w:t>
            </w:r>
          </w:p>
        </w:tc>
        <w:tc>
          <w:tcPr>
            <w:tcW w:type="dxa" w:w="1872"/>
          </w:tcPr>
          <w:p>
            <w:r/>
            <w:r>
              <w:rPr>
                <w:sz w:val="18"/>
              </w:rPr>
              <w:t>$3,848.50</w:t>
            </w:r>
          </w:p>
        </w:tc>
      </w:tr>
      <w:tr>
        <w:tc>
          <w:tcPr>
            <w:tcW w:type="dxa" w:w="3168"/>
          </w:tcPr>
          <w:p>
            <w:r/>
            <w:r>
              <w:rPr>
                <w:sz w:val="18"/>
              </w:rPr>
              <w:t>Jonathan Pryor-Hall</w:t>
            </w:r>
          </w:p>
        </w:tc>
        <w:tc>
          <w:tcPr>
            <w:tcW w:type="dxa" w:w="1440"/>
          </w:tcPr>
          <w:p>
            <w:r/>
            <w:r>
              <w:rPr>
                <w:sz w:val="18"/>
              </w:rPr>
              <w:t>112.6</w:t>
            </w:r>
          </w:p>
        </w:tc>
        <w:tc>
          <w:tcPr>
            <w:tcW w:type="dxa" w:w="2016"/>
          </w:tcPr>
          <w:p>
            <w:r/>
            <w:r>
              <w:rPr>
                <w:sz w:val="18"/>
              </w:rPr>
              <w:t>$64,745.00</w:t>
            </w:r>
          </w:p>
        </w:tc>
        <w:tc>
          <w:tcPr>
            <w:tcW w:type="dxa" w:w="1728"/>
          </w:tcPr>
          <w:p>
            <w:r/>
            <w:r>
              <w:rPr>
                <w:sz w:val="18"/>
              </w:rPr>
              <w:t>125.1</w:t>
            </w:r>
          </w:p>
        </w:tc>
        <w:tc>
          <w:tcPr>
            <w:tcW w:type="dxa" w:w="2016"/>
          </w:tcPr>
          <w:p>
            <w:r/>
            <w:r>
              <w:rPr>
                <w:sz w:val="18"/>
              </w:rPr>
              <w:t>$71,932.50</w:t>
            </w:r>
          </w:p>
        </w:tc>
        <w:tc>
          <w:tcPr>
            <w:tcW w:type="dxa" w:w="1872"/>
          </w:tcPr>
          <w:p>
            <w:r/>
            <w:r>
              <w:rPr>
                <w:sz w:val="18"/>
              </w:rPr>
              <w:t>$7,187.50</w:t>
            </w:r>
          </w:p>
        </w:tc>
      </w:tr>
      <w:tr>
        <w:tc>
          <w:tcPr>
            <w:tcW w:type="dxa" w:w="3168"/>
          </w:tcPr>
          <w:p>
            <w:r/>
            <w:r>
              <w:rPr>
                <w:sz w:val="18"/>
              </w:rPr>
              <w:t>Rebecca Tanaka</w:t>
            </w:r>
          </w:p>
        </w:tc>
        <w:tc>
          <w:tcPr>
            <w:tcW w:type="dxa" w:w="1440"/>
          </w:tcPr>
          <w:p>
            <w:r/>
            <w:r>
              <w:rPr>
                <w:sz w:val="18"/>
              </w:rPr>
              <w:t>96.4</w:t>
            </w:r>
          </w:p>
        </w:tc>
        <w:tc>
          <w:tcPr>
            <w:tcW w:type="dxa" w:w="2016"/>
          </w:tcPr>
          <w:p>
            <w:r/>
            <w:r>
              <w:rPr>
                <w:sz w:val="18"/>
              </w:rPr>
              <w:t>$40,970.00</w:t>
            </w:r>
          </w:p>
        </w:tc>
        <w:tc>
          <w:tcPr>
            <w:tcW w:type="dxa" w:w="1728"/>
          </w:tcPr>
          <w:p>
            <w:r/>
            <w:r>
              <w:rPr>
                <w:sz w:val="18"/>
              </w:rPr>
              <w:t>117.3</w:t>
            </w:r>
          </w:p>
        </w:tc>
        <w:tc>
          <w:tcPr>
            <w:tcW w:type="dxa" w:w="2016"/>
          </w:tcPr>
          <w:p>
            <w:r/>
            <w:r>
              <w:rPr>
                <w:sz w:val="18"/>
              </w:rPr>
              <w:t>$49,852.50</w:t>
            </w:r>
          </w:p>
        </w:tc>
        <w:tc>
          <w:tcPr>
            <w:tcW w:type="dxa" w:w="1872"/>
          </w:tcPr>
          <w:p>
            <w:r/>
            <w:r>
              <w:rPr>
                <w:sz w:val="18"/>
              </w:rPr>
              <w:t>$8,882.50</w:t>
            </w:r>
          </w:p>
        </w:tc>
      </w:tr>
      <w:tr>
        <w:tc>
          <w:tcPr>
            <w:tcW w:type="dxa" w:w="3168"/>
          </w:tcPr>
          <w:p>
            <w:r/>
            <w:r>
              <w:rPr>
                <w:sz w:val="18"/>
              </w:rPr>
              <w:t>Marcus DeVries</w:t>
            </w:r>
          </w:p>
        </w:tc>
        <w:tc>
          <w:tcPr>
            <w:tcW w:type="dxa" w:w="1440"/>
          </w:tcPr>
          <w:p>
            <w:r/>
            <w:r>
              <w:rPr>
                <w:sz w:val="18"/>
              </w:rPr>
              <w:t>78.2</w:t>
            </w:r>
          </w:p>
        </w:tc>
        <w:tc>
          <w:tcPr>
            <w:tcW w:type="dxa" w:w="2016"/>
          </w:tcPr>
          <w:p>
            <w:r/>
            <w:r>
              <w:rPr>
                <w:sz w:val="18"/>
              </w:rPr>
              <w:t>$25,415.00</w:t>
            </w:r>
          </w:p>
        </w:tc>
        <w:tc>
          <w:tcPr>
            <w:tcW w:type="dxa" w:w="1728"/>
          </w:tcPr>
          <w:p>
            <w:r/>
            <w:r>
              <w:rPr>
                <w:sz w:val="18"/>
              </w:rPr>
              <w:t>80.2</w:t>
            </w:r>
          </w:p>
        </w:tc>
        <w:tc>
          <w:tcPr>
            <w:tcW w:type="dxa" w:w="2016"/>
          </w:tcPr>
          <w:p>
            <w:r/>
            <w:r>
              <w:rPr>
                <w:sz w:val="18"/>
              </w:rPr>
              <w:t>$26,065.00</w:t>
            </w:r>
          </w:p>
        </w:tc>
        <w:tc>
          <w:tcPr>
            <w:tcW w:type="dxa" w:w="1872"/>
          </w:tcPr>
          <w:p>
            <w:r/>
            <w:r>
              <w:rPr>
                <w:sz w:val="18"/>
              </w:rPr>
              <w:t>$650.00</w:t>
            </w:r>
          </w:p>
        </w:tc>
      </w:tr>
      <w:tr>
        <w:tc>
          <w:tcPr>
            <w:tcW w:type="dxa" w:w="3168"/>
          </w:tcPr>
          <w:p>
            <w:r/>
            <w:r>
              <w:rPr>
                <w:sz w:val="18"/>
              </w:rPr>
              <w:t>Timothy Kwan</w:t>
            </w:r>
          </w:p>
        </w:tc>
        <w:tc>
          <w:tcPr>
            <w:tcW w:type="dxa" w:w="1440"/>
          </w:tcPr>
          <w:p>
            <w:r/>
            <w:r>
              <w:rPr>
                <w:sz w:val="18"/>
              </w:rPr>
              <w:t>34.5</w:t>
            </w:r>
          </w:p>
        </w:tc>
        <w:tc>
          <w:tcPr>
            <w:tcW w:type="dxa" w:w="2016"/>
          </w:tcPr>
          <w:p>
            <w:r/>
            <w:r>
              <w:rPr>
                <w:sz w:val="18"/>
              </w:rPr>
              <w:t>$10,177.50</w:t>
            </w:r>
          </w:p>
        </w:tc>
        <w:tc>
          <w:tcPr>
            <w:tcW w:type="dxa" w:w="1728"/>
          </w:tcPr>
          <w:p>
            <w:r/>
            <w:r>
              <w:rPr>
                <w:sz w:val="18"/>
              </w:rPr>
              <w:t>34.5</w:t>
            </w:r>
          </w:p>
        </w:tc>
        <w:tc>
          <w:tcPr>
            <w:tcW w:type="dxa" w:w="2016"/>
          </w:tcPr>
          <w:p>
            <w:r/>
            <w:r>
              <w:rPr>
                <w:sz w:val="18"/>
              </w:rPr>
              <w:t>$10,177.50</w:t>
            </w:r>
          </w:p>
        </w:tc>
        <w:tc>
          <w:tcPr>
            <w:tcW w:type="dxa" w:w="1872"/>
          </w:tcPr>
          <w:p>
            <w:r/>
            <w:r>
              <w:rPr>
                <w:sz w:val="18"/>
              </w:rPr>
              <w:t>$0.00</w:t>
            </w:r>
          </w:p>
        </w:tc>
      </w:tr>
      <w:tr>
        <w:tc>
          <w:tcPr>
            <w:tcW w:type="dxa" w:w="3168"/>
          </w:tcPr>
          <w:p>
            <w:r/>
            <w:r>
              <w:rPr>
                <w:sz w:val="18"/>
              </w:rPr>
              <w:t>Elaine Cho</w:t>
            </w:r>
          </w:p>
        </w:tc>
        <w:tc>
          <w:tcPr>
            <w:tcW w:type="dxa" w:w="1440"/>
          </w:tcPr>
          <w:p>
            <w:r/>
            <w:r>
              <w:rPr>
                <w:sz w:val="18"/>
              </w:rPr>
              <w:t>186.0</w:t>
            </w:r>
          </w:p>
        </w:tc>
        <w:tc>
          <w:tcPr>
            <w:tcW w:type="dxa" w:w="2016"/>
          </w:tcPr>
          <w:p>
            <w:r/>
            <w:r>
              <w:rPr>
                <w:sz w:val="18"/>
              </w:rPr>
              <w:t>$36,270.00</w:t>
            </w:r>
          </w:p>
        </w:tc>
        <w:tc>
          <w:tcPr>
            <w:tcW w:type="dxa" w:w="1728"/>
          </w:tcPr>
          <w:p>
            <w:r/>
            <w:r>
              <w:rPr>
                <w:sz w:val="18"/>
              </w:rPr>
              <w:t>214.0</w:t>
            </w:r>
          </w:p>
        </w:tc>
        <w:tc>
          <w:tcPr>
            <w:tcW w:type="dxa" w:w="2016"/>
          </w:tcPr>
          <w:p>
            <w:r/>
            <w:r>
              <w:rPr>
                <w:sz w:val="18"/>
              </w:rPr>
              <w:t>$41,730.00</w:t>
            </w:r>
          </w:p>
        </w:tc>
        <w:tc>
          <w:tcPr>
            <w:tcW w:type="dxa" w:w="1872"/>
          </w:tcPr>
          <w:p>
            <w:r/>
            <w:r>
              <w:rPr>
                <w:sz w:val="18"/>
              </w:rPr>
              <w:t>$5,460.00</w:t>
            </w:r>
          </w:p>
        </w:tc>
      </w:tr>
      <w:tr>
        <w:tc>
          <w:tcPr>
            <w:tcW w:type="dxa" w:w="3168"/>
          </w:tcPr>
          <w:p>
            <w:r/>
            <w:r>
              <w:rPr>
                <w:sz w:val="18"/>
              </w:rPr>
              <w:t>Nathaniel Briggs</w:t>
            </w:r>
          </w:p>
        </w:tc>
        <w:tc>
          <w:tcPr>
            <w:tcW w:type="dxa" w:w="1440"/>
          </w:tcPr>
          <w:p>
            <w:r/>
            <w:r>
              <w:rPr>
                <w:sz w:val="18"/>
              </w:rPr>
              <w:t>64.8</w:t>
            </w:r>
          </w:p>
        </w:tc>
        <w:tc>
          <w:tcPr>
            <w:tcW w:type="dxa" w:w="2016"/>
          </w:tcPr>
          <w:p>
            <w:r/>
            <w:r>
              <w:rPr>
                <w:sz w:val="18"/>
              </w:rPr>
              <w:t>$12,636.00</w:t>
            </w:r>
          </w:p>
        </w:tc>
        <w:tc>
          <w:tcPr>
            <w:tcW w:type="dxa" w:w="1728"/>
          </w:tcPr>
          <w:p>
            <w:r/>
            <w:r>
              <w:rPr>
                <w:sz w:val="18"/>
              </w:rPr>
              <w:t>67.6</w:t>
            </w:r>
          </w:p>
        </w:tc>
        <w:tc>
          <w:tcPr>
            <w:tcW w:type="dxa" w:w="2016"/>
          </w:tcPr>
          <w:p>
            <w:r/>
            <w:r>
              <w:rPr>
                <w:sz w:val="18"/>
              </w:rPr>
              <w:t>$13,182.00</w:t>
            </w:r>
          </w:p>
        </w:tc>
        <w:tc>
          <w:tcPr>
            <w:tcW w:type="dxa" w:w="1872"/>
          </w:tcPr>
          <w:p>
            <w:r/>
            <w:r>
              <w:rPr>
                <w:sz w:val="18"/>
              </w:rPr>
              <w:t>$546.00</w:t>
            </w:r>
          </w:p>
        </w:tc>
      </w:tr>
      <w:tr>
        <w:tc>
          <w:tcPr>
            <w:tcW w:type="dxa" w:w="3168"/>
          </w:tcPr>
          <w:p>
            <w:r/>
            <w:r>
              <w:rPr>
                <w:sz w:val="18"/>
              </w:rPr>
              <w:t>Alicia Rosenberg</w:t>
            </w:r>
          </w:p>
        </w:tc>
        <w:tc>
          <w:tcPr>
            <w:tcW w:type="dxa" w:w="1440"/>
          </w:tcPr>
          <w:p>
            <w:r/>
            <w:r>
              <w:rPr>
                <w:sz w:val="18"/>
              </w:rPr>
              <w:t>52.0</w:t>
            </w:r>
          </w:p>
        </w:tc>
        <w:tc>
          <w:tcPr>
            <w:tcW w:type="dxa" w:w="2016"/>
          </w:tcPr>
          <w:p>
            <w:r/>
            <w:r>
              <w:rPr>
                <w:sz w:val="18"/>
              </w:rPr>
              <w:t>$10,140.00</w:t>
            </w:r>
          </w:p>
        </w:tc>
        <w:tc>
          <w:tcPr>
            <w:tcW w:type="dxa" w:w="1728"/>
          </w:tcPr>
          <w:p>
            <w:r/>
            <w:r>
              <w:rPr>
                <w:sz w:val="18"/>
              </w:rPr>
              <w:t>53.5</w:t>
            </w:r>
          </w:p>
        </w:tc>
        <w:tc>
          <w:tcPr>
            <w:tcW w:type="dxa" w:w="2016"/>
          </w:tcPr>
          <w:p>
            <w:r/>
            <w:r>
              <w:rPr>
                <w:sz w:val="18"/>
              </w:rPr>
              <w:t>$10,432.50</w:t>
            </w:r>
          </w:p>
        </w:tc>
        <w:tc>
          <w:tcPr>
            <w:tcW w:type="dxa" w:w="1872"/>
          </w:tcPr>
          <w:p>
            <w:r/>
            <w:r>
              <w:rPr>
                <w:sz w:val="18"/>
              </w:rPr>
              <w:t>$292.50</w:t>
            </w:r>
          </w:p>
        </w:tc>
      </w:tr>
      <w:tr>
        <w:tc>
          <w:tcPr>
            <w:tcW w:type="dxa" w:w="3168"/>
          </w:tcPr>
          <w:p>
            <w:r/>
            <w:r>
              <w:rPr>
                <w:b/>
                <w:sz w:val="18"/>
              </w:rPr>
              <w:t>TOTAL</w:t>
            </w:r>
          </w:p>
        </w:tc>
        <w:tc>
          <w:tcPr>
            <w:tcW w:type="dxa" w:w="1440"/>
          </w:tcPr>
          <w:p>
            <w:r/>
            <w:r>
              <w:rPr>
                <w:b/>
                <w:sz w:val="18"/>
              </w:rPr>
              <w:t>671.8</w:t>
            </w:r>
          </w:p>
        </w:tc>
        <w:tc>
          <w:tcPr>
            <w:tcW w:type="dxa" w:w="2016"/>
          </w:tcPr>
          <w:p>
            <w:r/>
            <w:r>
              <w:rPr>
                <w:b/>
                <w:sz w:val="18"/>
              </w:rPr>
              <w:t>$242,687.00</w:t>
            </w:r>
          </w:p>
        </w:tc>
        <w:tc>
          <w:tcPr>
            <w:tcW w:type="dxa" w:w="1728"/>
          </w:tcPr>
          <w:p>
            <w:r/>
            <w:r>
              <w:rPr>
                <w:b/>
                <w:sz w:val="18"/>
              </w:rPr>
              <w:t>743.8</w:t>
            </w:r>
          </w:p>
        </w:tc>
        <w:tc>
          <w:tcPr>
            <w:tcW w:type="dxa" w:w="2016"/>
          </w:tcPr>
          <w:p>
            <w:r/>
            <w:r>
              <w:rPr>
                <w:b/>
                <w:sz w:val="18"/>
              </w:rPr>
              <w:t>$269,554.00</w:t>
            </w:r>
          </w:p>
        </w:tc>
        <w:tc>
          <w:tcPr>
            <w:tcW w:type="dxa" w:w="1872"/>
          </w:tcPr>
          <w:p>
            <w:r/>
            <w:r>
              <w:rPr>
                <w:b/>
                <w:sz w:val="18"/>
              </w:rPr>
              <w:t>$26,867.00</w:t>
            </w:r>
          </w:p>
        </w:tc>
      </w:tr>
    </w:tbl>
    <w:p/>
    <w:p>
      <w:pPr>
        <w:pStyle w:val="ListBullet"/>
      </w:pPr>
      <w:r>
        <w:rPr>
          <w:b/>
        </w:rPr>
        <w:t>Individual lines are correct.</w:t>
      </w:r>
      <w:r>
        <w:t xml:space="preserve"> Every line is correct on its own (hours × rate = amount, with no variance). The mistakes are all in the subtotals. Only Timothy Kwan's subtotal matches his entries.</w:t>
      </w:r>
    </w:p>
    <w:p>
      <w:pPr>
        <w:pStyle w:val="ListBullet"/>
      </w:pPr>
      <w:r>
        <w:rPr>
          <w:b/>
        </w:rPr>
        <w:t>Expenses.</w:t>
      </w:r>
      <w:r>
        <w:t xml:space="preserve"> The 22 expense lines add up to $244,652.14, compared with the stated $244,642.14 (a difference of $10.00).</w:t>
      </w:r>
    </w:p>
    <w:p>
      <w:pPr>
        <w:pStyle w:val="ListBullet"/>
      </w:pPr>
      <w:r>
        <w:rPr>
          <w:b/>
        </w:rPr>
        <w:t>LEDES.</w:t>
      </w:r>
      <w:r>
        <w:t xml:space="preserve"> The LEDES export carries an INVOICE_TOTAL of $487,329.14, but its LINE_ITEM_TOTAL fields add up to $514,206.14. A LEDES file in that state will fail validation in an e-billing system.</w:t>
      </w:r>
    </w:p>
    <w:p>
      <w:pPr>
        <w:pStyle w:val="ListBullet"/>
      </w:pPr>
      <w:r>
        <w:rPr>
          <w:b/>
        </w:rPr>
        <w:t>Knock-on effect.</w:t>
      </w:r>
      <w:r>
        <w:t xml:space="preserve"> The YTD Summary adds the understated October figure, so it reports cumulative spend of $2,230,941.14 (79.7%). On the line-item figures, cumulative spend is $2,257,818.14 (80.6%).</w:t>
      </w:r>
    </w:p>
    <w:p>
      <w:pPr>
        <w:pStyle w:val="ListBullet"/>
      </w:pPr>
      <w:r>
        <w:rPr>
          <w:b/>
        </w:rPr>
        <w:t>Payment terms.</w:t>
      </w:r>
      <w:r>
        <w:t xml:space="preserve"> The Summary sheet shows a payment due date of December 5, 2024 on "Net 30" terms. Under §8.1 and Engagement Letter §6, the 30 days run only from receipt of a compliant invoice, so no due date applies yet.</w:t>
      </w:r>
    </w:p>
    <w:p>
      <w:pPr>
        <w:pStyle w:val="Heading2"/>
      </w:pPr>
      <w:r>
        <w:t>4.2 Timekeeper approval (D-2, D-3)</w:t>
      </w:r>
    </w:p>
    <w:p>
      <w:r>
        <w:rPr>
          <w:b/>
          <w:i w:val="0"/>
        </w:rPr>
        <w:t>D-2 — Timothy Kwan (Summer Associate, TK006, $295/hr).</w:t>
      </w:r>
    </w:p>
    <w:p>
      <w:r>
        <w:rPr>
          <w:b w:val="0"/>
          <w:i w:val="0"/>
        </w:rPr>
        <w:t>Kwan is not on Exhibit A or in the Prior Approval Log. §3.1 says summer associates "are not billable to VIH matters without prior written approval," and that time from non-approved timekeepers "will be disallowed in their entirety without exception." Engagement Letter §2 and Exhibit A note 4 say the same. The invoice's own Rate Schedule tab lists him as "N/A — Law Student" with an effective date of 10/01/2024, but no approval exists and the log confirms that no request is pending. Entries 58, 70, 78, 84, 97, 109, 116 and 130 (34.5 hrs) → disallow $10,177.50. His research also overlaps with work billed by M. DeVries (e.g., entries 4 and 10 against 58 and 70 on trade-secret identification standards), which is duplicative under §4.3(f) in any case.</w:t>
      </w:r>
    </w:p>
    <w:p>
      <w:r>
        <w:rPr>
          <w:b/>
          <w:i w:val="0"/>
        </w:rPr>
        <w:t>D-3 — Elaine Cho (Contract Attorney, EC005, $195/hr).</w:t>
      </w:r>
    </w:p>
    <w:p>
      <w:r>
        <w:rPr>
          <w:b w:val="0"/>
          <w:i w:val="0"/>
        </w:rPr>
        <w:t>Approval PA-005 and Exhibit A cover July 22 to September 30, 2024 only. The log quotes the approval directly: "This approval expires on September 30, 2024. Any extension … requires a new written approval request." No renewal was requested. Under §9.1(6), failure to renew "will result in disallowance of all time billed after the expiration date." All 21 October entries (214.0 hrs) → disallow $41,730.00. The invoice subtotal shows only 186.0 hrs / $36,270.00, which understates her time. The invoice Rate Schedule gives an effective date of 07/22/2024 but omits the expiry date. Cho also billed 9.0–9.5 hours every working day, and PA-005 estimated 400–500 hours in total. VIH should ask for her cumulative July–September hours to confirm the estimate was not already exceeded.</w:t>
      </w:r>
    </w:p>
    <w:p>
      <w:pPr>
        <w:pStyle w:val="Heading2"/>
      </w:pPr>
      <w:r>
        <w:t>4.3 Staffing restrictions (D-4, D-5)</w:t>
      </w:r>
    </w:p>
    <w:p>
      <w:r>
        <w:rPr>
          <w:b/>
          <w:i w:val="0"/>
        </w:rPr>
        <w:t>D-4 — Depositions (maximum two attorneys, §5.1).</w:t>
      </w:r>
    </w:p>
    <w:tbl>
      <w:tblPr>
        <w:tblStyle w:val="TableGrid"/>
        <w:tblW w:type="auto" w:w="0"/>
        <w:tblLook w:firstColumn="1" w:firstRow="1" w:lastColumn="0" w:lastRow="0" w:noHBand="0" w:noVBand="1" w:val="04A0"/>
      </w:tblPr>
      <w:tblGrid>
        <w:gridCol w:w="2765"/>
        <w:gridCol w:w="2765"/>
        <w:gridCol w:w="2765"/>
        <w:gridCol w:w="2765"/>
        <w:gridCol w:w="2765"/>
      </w:tblGrid>
      <w:tr>
        <w:tc>
          <w:tcPr>
            <w:tcW w:type="dxa" w:w="2304"/>
            <w:shd w:val="clear" w:color="auto" w:fill="1F3A5F"/>
          </w:tcPr>
          <w:p>
            <w:r/>
            <w:r>
              <w:rPr>
                <w:b/>
                <w:color w:val="FFFFFF"/>
                <w:sz w:val="18"/>
              </w:rPr>
              <w:t>Deposition</w:t>
            </w:r>
          </w:p>
        </w:tc>
        <w:tc>
          <w:tcPr>
            <w:tcW w:type="dxa" w:w="4896"/>
            <w:shd w:val="clear" w:color="auto" w:fill="1F3A5F"/>
          </w:tcPr>
          <w:p>
            <w:r/>
            <w:r>
              <w:rPr>
                <w:b/>
                <w:color w:val="FFFFFF"/>
                <w:sz w:val="18"/>
              </w:rPr>
              <w:t>Attorneys billing attendance</w:t>
            </w:r>
          </w:p>
        </w:tc>
        <w:tc>
          <w:tcPr>
            <w:tcW w:type="dxa" w:w="2016"/>
            <w:shd w:val="clear" w:color="auto" w:fill="1F3A5F"/>
          </w:tcPr>
          <w:p>
            <w:r/>
            <w:r>
              <w:rPr>
                <w:b/>
                <w:color w:val="FFFFFF"/>
                <w:sz w:val="18"/>
              </w:rPr>
              <w:t>Allowed</w:t>
            </w:r>
          </w:p>
        </w:tc>
        <w:tc>
          <w:tcPr>
            <w:tcW w:type="dxa" w:w="2592"/>
            <w:shd w:val="clear" w:color="auto" w:fill="1F3A5F"/>
          </w:tcPr>
          <w:p>
            <w:r/>
            <w:r>
              <w:rPr>
                <w:b/>
                <w:color w:val="FFFFFF"/>
                <w:sz w:val="18"/>
              </w:rPr>
              <w:t>Disallowed entries</w:t>
            </w:r>
          </w:p>
        </w:tc>
        <w:tc>
          <w:tcPr>
            <w:tcW w:type="dxa" w:w="1728"/>
            <w:shd w:val="clear" w:color="auto" w:fill="1F3A5F"/>
          </w:tcPr>
          <w:p>
            <w:r/>
            <w:r>
              <w:rPr>
                <w:b/>
                <w:color w:val="FFFFFF"/>
                <w:sz w:val="18"/>
              </w:rPr>
              <w:t>Amount</w:t>
            </w:r>
          </w:p>
        </w:tc>
      </w:tr>
      <w:tr>
        <w:tc>
          <w:tcPr>
            <w:tcW w:type="dxa" w:w="2304"/>
          </w:tcPr>
          <w:p>
            <w:r/>
            <w:r>
              <w:rPr>
                <w:sz w:val="18"/>
              </w:rPr>
              <w:t>Michael Torres (10/15)</w:t>
            </w:r>
          </w:p>
        </w:tc>
        <w:tc>
          <w:tcPr>
            <w:tcW w:type="dxa" w:w="4896"/>
          </w:tcPr>
          <w:p>
            <w:r/>
            <w:r>
              <w:rPr>
                <w:sz w:val="18"/>
              </w:rPr>
              <w:t>Messina (61), Pryor-Hall (62), Tanaka (63), DeVries — "monitor remotely" (64)</w:t>
            </w:r>
          </w:p>
        </w:tc>
        <w:tc>
          <w:tcPr>
            <w:tcW w:type="dxa" w:w="2016"/>
          </w:tcPr>
          <w:p>
            <w:r/>
            <w:r>
              <w:rPr>
                <w:sz w:val="18"/>
              </w:rPr>
              <w:t>Messina, Pryor-Hall</w:t>
            </w:r>
          </w:p>
        </w:tc>
        <w:tc>
          <w:tcPr>
            <w:tcW w:type="dxa" w:w="2592"/>
          </w:tcPr>
          <w:p>
            <w:r/>
            <w:r>
              <w:rPr>
                <w:sz w:val="18"/>
              </w:rPr>
              <w:t>63 Tanaka 7.2h; 64 DeVries 4.0h</w:t>
            </w:r>
          </w:p>
        </w:tc>
        <w:tc>
          <w:tcPr>
            <w:tcW w:type="dxa" w:w="1728"/>
          </w:tcPr>
          <w:p>
            <w:r/>
            <w:r>
              <w:rPr>
                <w:sz w:val="18"/>
              </w:rPr>
              <w:t>$4,360.00</w:t>
            </w:r>
          </w:p>
        </w:tc>
      </w:tr>
      <w:tr>
        <w:tc>
          <w:tcPr>
            <w:tcW w:type="dxa" w:w="2304"/>
          </w:tcPr>
          <w:p>
            <w:r/>
            <w:r>
              <w:rPr>
                <w:sz w:val="18"/>
              </w:rPr>
              <w:t>Sarah Lindgren (10/18)</w:t>
            </w:r>
          </w:p>
        </w:tc>
        <w:tc>
          <w:tcPr>
            <w:tcW w:type="dxa" w:w="4896"/>
          </w:tcPr>
          <w:p>
            <w:r/>
            <w:r>
              <w:rPr>
                <w:sz w:val="18"/>
              </w:rPr>
              <w:t>Pryor-Hall (76), Tanaka (77)</w:t>
            </w:r>
          </w:p>
        </w:tc>
        <w:tc>
          <w:tcPr>
            <w:tcW w:type="dxa" w:w="2016"/>
          </w:tcPr>
          <w:p>
            <w:r/>
            <w:r>
              <w:rPr>
                <w:sz w:val="18"/>
              </w:rPr>
              <w:t>Both</w:t>
            </w:r>
          </w:p>
        </w:tc>
        <w:tc>
          <w:tcPr>
            <w:tcW w:type="dxa" w:w="2592"/>
          </w:tcPr>
          <w:p>
            <w:r/>
            <w:r>
              <w:rPr>
                <w:sz w:val="18"/>
              </w:rPr>
              <w:t>—</w:t>
            </w:r>
          </w:p>
        </w:tc>
        <w:tc>
          <w:tcPr>
            <w:tcW w:type="dxa" w:w="1728"/>
          </w:tcPr>
          <w:p>
            <w:r/>
            <w:r>
              <w:rPr>
                <w:sz w:val="18"/>
              </w:rPr>
              <w:t>$0.00</w:t>
            </w:r>
          </w:p>
        </w:tc>
      </w:tr>
      <w:tr>
        <w:tc>
          <w:tcPr>
            <w:tcW w:type="dxa" w:w="2304"/>
          </w:tcPr>
          <w:p>
            <w:r/>
            <w:r>
              <w:rPr>
                <w:sz w:val="18"/>
              </w:rPr>
              <w:t>David Nakamura (10/24)</w:t>
            </w:r>
          </w:p>
        </w:tc>
        <w:tc>
          <w:tcPr>
            <w:tcW w:type="dxa" w:w="4896"/>
          </w:tcPr>
          <w:p>
            <w:r/>
            <w:r>
              <w:rPr>
                <w:sz w:val="18"/>
              </w:rPr>
              <w:t>Pryor-Hall (100), Tanaka (101), DeVries — "monitor" (102)</w:t>
            </w:r>
          </w:p>
        </w:tc>
        <w:tc>
          <w:tcPr>
            <w:tcW w:type="dxa" w:w="2016"/>
          </w:tcPr>
          <w:p>
            <w:r/>
            <w:r>
              <w:rPr>
                <w:sz w:val="18"/>
              </w:rPr>
              <w:t>Pryor-Hall, Tanaka</w:t>
            </w:r>
          </w:p>
        </w:tc>
        <w:tc>
          <w:tcPr>
            <w:tcW w:type="dxa" w:w="2592"/>
          </w:tcPr>
          <w:p>
            <w:r/>
            <w:r>
              <w:rPr>
                <w:sz w:val="18"/>
              </w:rPr>
              <w:t>102 DeVries 4.0h</w:t>
            </w:r>
          </w:p>
        </w:tc>
        <w:tc>
          <w:tcPr>
            <w:tcW w:type="dxa" w:w="1728"/>
          </w:tcPr>
          <w:p>
            <w:r/>
            <w:r>
              <w:rPr>
                <w:sz w:val="18"/>
              </w:rPr>
              <w:t>$1,300.00</w:t>
            </w:r>
          </w:p>
        </w:tc>
      </w:tr>
      <w:tr>
        <w:tc>
          <w:tcPr>
            <w:tcW w:type="dxa" w:w="2304"/>
          </w:tcPr>
          <w:p>
            <w:r/>
            <w:r>
              <w:rPr>
                <w:b/>
                <w:sz w:val="18"/>
              </w:rPr>
              <w:t>Total</w:t>
            </w:r>
          </w:p>
        </w:tc>
        <w:tc>
          <w:tcPr>
            <w:tcW w:type="dxa" w:w="4896"/>
          </w:tcPr>
          <w:p>
            <w:r/>
            <w:r>
              <w:rPr>
                <w:b/>
                <w:sz w:val="18"/>
              </w:rPr>
            </w:r>
          </w:p>
        </w:tc>
        <w:tc>
          <w:tcPr>
            <w:tcW w:type="dxa" w:w="2016"/>
          </w:tcPr>
          <w:p>
            <w:r/>
            <w:r>
              <w:rPr>
                <w:b/>
                <w:sz w:val="18"/>
              </w:rPr>
            </w:r>
          </w:p>
        </w:tc>
        <w:tc>
          <w:tcPr>
            <w:tcW w:type="dxa" w:w="2592"/>
          </w:tcPr>
          <w:p>
            <w:r/>
            <w:r>
              <w:rPr>
                <w:b/>
                <w:sz w:val="18"/>
              </w:rPr>
            </w:r>
          </w:p>
        </w:tc>
        <w:tc>
          <w:tcPr>
            <w:tcW w:type="dxa" w:w="1728"/>
          </w:tcPr>
          <w:p>
            <w:r/>
            <w:r>
              <w:rPr>
                <w:b/>
                <w:sz w:val="18"/>
              </w:rPr>
              <w:t>$5,660.00</w:t>
            </w:r>
          </w:p>
        </w:tc>
      </w:tr>
    </w:tbl>
    <w:p/>
    <w:p>
      <w:r>
        <w:rPr>
          <w:b w:val="0"/>
          <w:i w:val="0"/>
        </w:rPr>
        <w:t>Remote monitoring counts as attendance: the attorney is present at the deposition and billing for it. No prior approval for extraordinary circumstances was sought. Paralegal attendance (entries 66, 80 and 104) is not subject to the attorney cap and is not adjusted here.</w:t>
      </w:r>
    </w:p>
    <w:p>
      <w:r>
        <w:rPr>
          <w:b/>
          <w:i w:val="0"/>
        </w:rPr>
        <w:t>D-5 — October 28 internal strategy conference.</w:t>
      </w:r>
    </w:p>
    <w:p>
      <w:r>
        <w:rPr>
          <w:b w:val="0"/>
          <w:i w:val="0"/>
        </w:rPr>
        <w:t>Five attorneys attended (Messina, Pryor-Hall, Tanaka, DeVries, Kwan), each billing 3.8 hours, for 19.0 attorney-hours in total. This breaks both independent limits in §5.1: the 4-attendee cap and the 4 attorney-hour cap. Kwan's entry (116) is already disallowed under D-2 and also as the fifth attendee. The remaining 15.2 hours ($8,436.00) are reduced to 4.0 attorney-hours, allocated pro rata by value, which allows $2,220.00 and reduces the charge by $6,216.00. The transmittal email presents this conference as routine and does not disclose that it exceeded the caps.</w:t>
      </w:r>
    </w:p>
    <w:p>
      <w:pPr>
        <w:pStyle w:val="Heading2"/>
      </w:pPr>
      <w:r>
        <w:t>4.4 Travel (D-6, D-7)</w:t>
      </w:r>
    </w:p>
    <w:p>
      <w:r>
        <w:rPr>
          <w:b w:val="0"/>
          <w:i w:val="0"/>
        </w:rPr>
        <w:t>San Francisco is outside the Litigation Forum, which §2 defines as Cook County and the five collar counties. §9.1(3) and Engagement Letter §8(3) therefore required prior written approval, with a request covering destination, purpose, duration and estimated costs. None appears in the log. PA-006 approved only "subpoena service, compliance negotiation, and related filing fees" for Nexon, capped at $5,000; it did not approve attorney travel. Primary recommendation: disallow the travel time ($6,174.00) and all travel expenses ($7,234.00) under §9.3(a). Retroactive approval is available only in "extraordinary circumstances" (§9.3(b)).</w:t>
      </w:r>
    </w:p>
    <w:p>
      <w:r>
        <w:rPr>
          <w:b/>
          <w:i w:val="0"/>
        </w:rPr>
        <w:t>Even if VIH were to grant retroactive approval, the following deviations would remain:</w:t>
      </w:r>
    </w:p>
    <w:tbl>
      <w:tblPr>
        <w:tblStyle w:val="TableGrid"/>
        <w:tblW w:type="auto" w:w="0"/>
        <w:tblLook w:firstColumn="1" w:firstRow="1" w:lastColumn="0" w:lastRow="0" w:noHBand="0" w:noVBand="1" w:val="04A0"/>
      </w:tblPr>
      <w:tblGrid>
        <w:gridCol w:w="2304"/>
        <w:gridCol w:w="2304"/>
        <w:gridCol w:w="2304"/>
        <w:gridCol w:w="2304"/>
        <w:gridCol w:w="2304"/>
        <w:gridCol w:w="2304"/>
      </w:tblGrid>
      <w:tr>
        <w:tc>
          <w:tcPr>
            <w:tcW w:type="dxa" w:w="1152"/>
            <w:shd w:val="clear" w:color="auto" w:fill="1F3A5F"/>
          </w:tcPr>
          <w:p>
            <w:r/>
            <w:r>
              <w:rPr>
                <w:b/>
                <w:color w:val="FFFFFF"/>
                <w:sz w:val="18"/>
              </w:rPr>
              <w:t>Line</w:t>
            </w:r>
          </w:p>
        </w:tc>
        <w:tc>
          <w:tcPr>
            <w:tcW w:type="dxa" w:w="3168"/>
            <w:shd w:val="clear" w:color="auto" w:fill="1F3A5F"/>
          </w:tcPr>
          <w:p>
            <w:r/>
            <w:r>
              <w:rPr>
                <w:b/>
                <w:color w:val="FFFFFF"/>
                <w:sz w:val="18"/>
              </w:rPr>
              <w:t>Item</w:t>
            </w:r>
          </w:p>
        </w:tc>
        <w:tc>
          <w:tcPr>
            <w:tcW w:type="dxa" w:w="1296"/>
            <w:shd w:val="clear" w:color="auto" w:fill="1F3A5F"/>
          </w:tcPr>
          <w:p>
            <w:r/>
            <w:r>
              <w:rPr>
                <w:b/>
                <w:color w:val="FFFFFF"/>
                <w:sz w:val="18"/>
              </w:rPr>
              <w:t>Billed</w:t>
            </w:r>
          </w:p>
        </w:tc>
        <w:tc>
          <w:tcPr>
            <w:tcW w:type="dxa" w:w="1296"/>
            <w:shd w:val="clear" w:color="auto" w:fill="1F3A5F"/>
          </w:tcPr>
          <w:p>
            <w:r/>
            <w:r>
              <w:rPr>
                <w:b/>
                <w:color w:val="FFFFFF"/>
                <w:sz w:val="18"/>
              </w:rPr>
              <w:t>Compliant</w:t>
            </w:r>
          </w:p>
        </w:tc>
        <w:tc>
          <w:tcPr>
            <w:tcW w:type="dxa" w:w="1296"/>
            <w:shd w:val="clear" w:color="auto" w:fill="1F3A5F"/>
          </w:tcPr>
          <w:p>
            <w:r/>
            <w:r>
              <w:rPr>
                <w:b/>
                <w:color w:val="FFFFFF"/>
                <w:sz w:val="18"/>
              </w:rPr>
              <w:t>Reduction</w:t>
            </w:r>
          </w:p>
        </w:tc>
        <w:tc>
          <w:tcPr>
            <w:tcW w:type="dxa" w:w="5328"/>
            <w:shd w:val="clear" w:color="auto" w:fill="1F3A5F"/>
          </w:tcPr>
          <w:p>
            <w:r/>
            <w:r>
              <w:rPr>
                <w:b/>
                <w:color w:val="FFFFFF"/>
                <w:sz w:val="18"/>
              </w:rPr>
              <w:t>Basis</w:t>
            </w:r>
          </w:p>
        </w:tc>
      </w:tr>
      <w:tr>
        <w:tc>
          <w:tcPr>
            <w:tcW w:type="dxa" w:w="1152"/>
          </w:tcPr>
          <w:p>
            <w:r/>
            <w:r>
              <w:rPr>
                <w:sz w:val="18"/>
              </w:rPr>
              <w:t>Fee 25</w:t>
            </w:r>
          </w:p>
        </w:tc>
        <w:tc>
          <w:tcPr>
            <w:tcW w:type="dxa" w:w="3168"/>
          </w:tcPr>
          <w:p>
            <w:r/>
            <w:r>
              <w:rPr>
                <w:sz w:val="18"/>
              </w:rPr>
              <w:t>Messina travel 4.2h @ $895 (full rate)</w:t>
            </w:r>
          </w:p>
        </w:tc>
        <w:tc>
          <w:tcPr>
            <w:tcW w:type="dxa" w:w="1296"/>
          </w:tcPr>
          <w:p>
            <w:r/>
            <w:r>
              <w:rPr>
                <w:sz w:val="18"/>
              </w:rPr>
              <w:t>$3,759.00</w:t>
            </w:r>
          </w:p>
        </w:tc>
        <w:tc>
          <w:tcPr>
            <w:tcW w:type="dxa" w:w="1296"/>
          </w:tcPr>
          <w:p>
            <w:r/>
            <w:r>
              <w:rPr>
                <w:sz w:val="18"/>
              </w:rPr>
              <w:t>$1,879.50</w:t>
            </w:r>
          </w:p>
        </w:tc>
        <w:tc>
          <w:tcPr>
            <w:tcW w:type="dxa" w:w="1296"/>
          </w:tcPr>
          <w:p>
            <w:r/>
            <w:r>
              <w:rPr>
                <w:sz w:val="18"/>
              </w:rPr>
              <w:t>$1,879.50</w:t>
            </w:r>
          </w:p>
        </w:tc>
        <w:tc>
          <w:tcPr>
            <w:tcW w:type="dxa" w:w="5328"/>
          </w:tcPr>
          <w:p>
            <w:r/>
            <w:r>
              <w:rPr>
                <w:sz w:val="18"/>
              </w:rPr>
              <w:t>§6.1 — 50% of rate</w:t>
            </w:r>
          </w:p>
        </w:tc>
      </w:tr>
      <w:tr>
        <w:tc>
          <w:tcPr>
            <w:tcW w:type="dxa" w:w="1152"/>
          </w:tcPr>
          <w:p>
            <w:r/>
            <w:r>
              <w:rPr>
                <w:sz w:val="18"/>
              </w:rPr>
              <w:t>Fee 26</w:t>
            </w:r>
          </w:p>
        </w:tc>
        <w:tc>
          <w:tcPr>
            <w:tcW w:type="dxa" w:w="3168"/>
          </w:tcPr>
          <w:p>
            <w:r/>
            <w:r>
              <w:rPr>
                <w:sz w:val="18"/>
              </w:rPr>
              <w:t>Pryor-Hall travel 4.2h @ $575 (full rate)</w:t>
            </w:r>
          </w:p>
        </w:tc>
        <w:tc>
          <w:tcPr>
            <w:tcW w:type="dxa" w:w="1296"/>
          </w:tcPr>
          <w:p>
            <w:r/>
            <w:r>
              <w:rPr>
                <w:sz w:val="18"/>
              </w:rPr>
              <w:t>$2,415.00</w:t>
            </w:r>
          </w:p>
        </w:tc>
        <w:tc>
          <w:tcPr>
            <w:tcW w:type="dxa" w:w="1296"/>
          </w:tcPr>
          <w:p>
            <w:r/>
            <w:r>
              <w:rPr>
                <w:sz w:val="18"/>
              </w:rPr>
              <w:t>$1,207.50</w:t>
            </w:r>
          </w:p>
        </w:tc>
        <w:tc>
          <w:tcPr>
            <w:tcW w:type="dxa" w:w="1296"/>
          </w:tcPr>
          <w:p>
            <w:r/>
            <w:r>
              <w:rPr>
                <w:sz w:val="18"/>
              </w:rPr>
              <w:t>$1,207.50</w:t>
            </w:r>
          </w:p>
        </w:tc>
        <w:tc>
          <w:tcPr>
            <w:tcW w:type="dxa" w:w="5328"/>
          </w:tcPr>
          <w:p>
            <w:r/>
            <w:r>
              <w:rPr>
                <w:sz w:val="18"/>
              </w:rPr>
              <w:t>§6.1 — 50% of rate</w:t>
            </w:r>
          </w:p>
        </w:tc>
      </w:tr>
      <w:tr>
        <w:tc>
          <w:tcPr>
            <w:tcW w:type="dxa" w:w="1152"/>
          </w:tcPr>
          <w:p>
            <w:r/>
            <w:r>
              <w:rPr>
                <w:sz w:val="18"/>
              </w:rPr>
              <w:t>E-008</w:t>
            </w:r>
          </w:p>
        </w:tc>
        <w:tc>
          <w:tcPr>
            <w:tcW w:type="dxa" w:w="3168"/>
          </w:tcPr>
          <w:p>
            <w:r/>
            <w:r>
              <w:rPr>
                <w:sz w:val="18"/>
              </w:rPr>
              <w:t>Messina business-class airfare ORD–SFO</w:t>
            </w:r>
          </w:p>
        </w:tc>
        <w:tc>
          <w:tcPr>
            <w:tcW w:type="dxa" w:w="1296"/>
          </w:tcPr>
          <w:p>
            <w:r/>
            <w:r>
              <w:rPr>
                <w:sz w:val="18"/>
              </w:rPr>
              <w:t>$2,847.00</w:t>
            </w:r>
          </w:p>
        </w:tc>
        <w:tc>
          <w:tcPr>
            <w:tcW w:type="dxa" w:w="1296"/>
          </w:tcPr>
          <w:p>
            <w:r/>
            <w:r>
              <w:rPr>
                <w:sz w:val="18"/>
              </w:rPr>
              <w:t>Verify</w:t>
            </w:r>
          </w:p>
        </w:tc>
        <w:tc>
          <w:tcPr>
            <w:tcW w:type="dxa" w:w="1296"/>
          </w:tcPr>
          <w:p>
            <w:r/>
            <w:r>
              <w:rPr>
                <w:sz w:val="18"/>
              </w:rPr>
              <w:t>Verify</w:t>
            </w:r>
          </w:p>
        </w:tc>
        <w:tc>
          <w:tcPr>
            <w:tcW w:type="dxa" w:w="5328"/>
          </w:tcPr>
          <w:p>
            <w:r/>
            <w:r>
              <w:rPr>
                <w:sz w:val="18"/>
              </w:rPr>
              <w:t>§6.1(a)–(b): business class is allowed only if the scheduled flight is 4+ hours. ORD–SFO is typically scheduled at about 4h15m–4h45m, so it may qualify. Ask for the itinerary; if under 4 hours, reduce to the economy fare (Pryor-Hall paid $412).</w:t>
            </w:r>
          </w:p>
        </w:tc>
      </w:tr>
      <w:tr>
        <w:tc>
          <w:tcPr>
            <w:tcW w:type="dxa" w:w="1152"/>
          </w:tcPr>
          <w:p>
            <w:r/>
            <w:r>
              <w:rPr>
                <w:sz w:val="18"/>
              </w:rPr>
              <w:t>E-009 / E-013</w:t>
            </w:r>
          </w:p>
        </w:tc>
        <w:tc>
          <w:tcPr>
            <w:tcW w:type="dxa" w:w="3168"/>
          </w:tcPr>
          <w:p>
            <w:r/>
            <w:r>
              <w:rPr>
                <w:sz w:val="18"/>
              </w:rPr>
              <w:t>Hotel $489/night × 3 × 2 travelers</w:t>
            </w:r>
          </w:p>
        </w:tc>
        <w:tc>
          <w:tcPr>
            <w:tcW w:type="dxa" w:w="1296"/>
          </w:tcPr>
          <w:p>
            <w:r/>
            <w:r>
              <w:rPr>
                <w:sz w:val="18"/>
              </w:rPr>
              <w:t>$2,934.00</w:t>
            </w:r>
          </w:p>
        </w:tc>
        <w:tc>
          <w:tcPr>
            <w:tcW w:type="dxa" w:w="1296"/>
          </w:tcPr>
          <w:p>
            <w:r/>
            <w:r>
              <w:rPr>
                <w:sz w:val="18"/>
              </w:rPr>
              <w:t>$1,950.00</w:t>
            </w:r>
          </w:p>
        </w:tc>
        <w:tc>
          <w:tcPr>
            <w:tcW w:type="dxa" w:w="1296"/>
          </w:tcPr>
          <w:p>
            <w:r/>
            <w:r>
              <w:rPr>
                <w:sz w:val="18"/>
              </w:rPr>
              <w:t>$984.00</w:t>
            </w:r>
          </w:p>
        </w:tc>
        <w:tc>
          <w:tcPr>
            <w:tcW w:type="dxa" w:w="5328"/>
          </w:tcPr>
          <w:p>
            <w:r/>
            <w:r>
              <w:rPr>
                <w:sz w:val="18"/>
              </w:rPr>
              <w:t>§6.1 — $325/night cap. A third night (10/9) is questionable because the inspection ended 10/9 and no return travel was billed</w:t>
            </w:r>
          </w:p>
        </w:tc>
      </w:tr>
      <w:tr>
        <w:tc>
          <w:tcPr>
            <w:tcW w:type="dxa" w:w="1152"/>
          </w:tcPr>
          <w:p>
            <w:r/>
            <w:r>
              <w:rPr>
                <w:sz w:val="18"/>
              </w:rPr>
              <w:t>E-010</w:t>
            </w:r>
          </w:p>
        </w:tc>
        <w:tc>
          <w:tcPr>
            <w:tcW w:type="dxa" w:w="3168"/>
          </w:tcPr>
          <w:p>
            <w:r/>
            <w:r>
              <w:rPr>
                <w:sz w:val="18"/>
              </w:rPr>
              <w:t>Messina meals $312.40 / 3 days</w:t>
            </w:r>
          </w:p>
        </w:tc>
        <w:tc>
          <w:tcPr>
            <w:tcW w:type="dxa" w:w="1296"/>
          </w:tcPr>
          <w:p>
            <w:r/>
            <w:r>
              <w:rPr>
                <w:sz w:val="18"/>
              </w:rPr>
              <w:t>$312.40</w:t>
            </w:r>
          </w:p>
        </w:tc>
        <w:tc>
          <w:tcPr>
            <w:tcW w:type="dxa" w:w="1296"/>
          </w:tcPr>
          <w:p>
            <w:r/>
            <w:r>
              <w:rPr>
                <w:sz w:val="18"/>
              </w:rPr>
              <w:t>$225.00</w:t>
            </w:r>
          </w:p>
        </w:tc>
        <w:tc>
          <w:tcPr>
            <w:tcW w:type="dxa" w:w="1296"/>
          </w:tcPr>
          <w:p>
            <w:r/>
            <w:r>
              <w:rPr>
                <w:sz w:val="18"/>
              </w:rPr>
              <w:t>$87.40</w:t>
            </w:r>
          </w:p>
        </w:tc>
        <w:tc>
          <w:tcPr>
            <w:tcW w:type="dxa" w:w="5328"/>
          </w:tcPr>
          <w:p>
            <w:r/>
            <w:r>
              <w:rPr>
                <w:sz w:val="18"/>
              </w:rPr>
              <w:t>§6.1 — $75/person/day; itemized receipts; no alcohol</w:t>
            </w:r>
          </w:p>
        </w:tc>
      </w:tr>
      <w:tr>
        <w:tc>
          <w:tcPr>
            <w:tcW w:type="dxa" w:w="1152"/>
          </w:tcPr>
          <w:p>
            <w:r/>
            <w:r>
              <w:rPr>
                <w:sz w:val="18"/>
              </w:rPr>
              <w:t>E-014</w:t>
            </w:r>
          </w:p>
        </w:tc>
        <w:tc>
          <w:tcPr>
            <w:tcW w:type="dxa" w:w="3168"/>
          </w:tcPr>
          <w:p>
            <w:r/>
            <w:r>
              <w:rPr>
                <w:sz w:val="18"/>
              </w:rPr>
              <w:t>Pryor-Hall meals $198.40</w:t>
            </w:r>
          </w:p>
        </w:tc>
        <w:tc>
          <w:tcPr>
            <w:tcW w:type="dxa" w:w="1296"/>
          </w:tcPr>
          <w:p>
            <w:r/>
            <w:r>
              <w:rPr>
                <w:sz w:val="18"/>
              </w:rPr>
              <w:t>$198.40</w:t>
            </w:r>
          </w:p>
        </w:tc>
        <w:tc>
          <w:tcPr>
            <w:tcW w:type="dxa" w:w="1296"/>
          </w:tcPr>
          <w:p>
            <w:r/>
            <w:r>
              <w:rPr>
                <w:sz w:val="18"/>
              </w:rPr>
              <w:t>$198.40</w:t>
            </w:r>
          </w:p>
        </w:tc>
        <w:tc>
          <w:tcPr>
            <w:tcW w:type="dxa" w:w="1296"/>
          </w:tcPr>
          <w:p>
            <w:r/>
            <w:r>
              <w:rPr>
                <w:sz w:val="18"/>
              </w:rPr>
              <w:t>$0.00</w:t>
            </w:r>
          </w:p>
        </w:tc>
        <w:tc>
          <w:tcPr>
            <w:tcW w:type="dxa" w:w="5328"/>
          </w:tcPr>
          <w:p>
            <w:r/>
            <w:r>
              <w:rPr>
                <w:sz w:val="18"/>
              </w:rPr>
              <w:t>Within cap; receipts required</w:t>
            </w:r>
          </w:p>
        </w:tc>
      </w:tr>
      <w:tr>
        <w:tc>
          <w:tcPr>
            <w:tcW w:type="dxa" w:w="1152"/>
          </w:tcPr>
          <w:p>
            <w:r/>
            <w:r>
              <w:rPr>
                <w:sz w:val="18"/>
              </w:rPr>
              <w:t>E-011</w:t>
            </w:r>
          </w:p>
        </w:tc>
        <w:tc>
          <w:tcPr>
            <w:tcW w:type="dxa" w:w="3168"/>
          </w:tcPr>
          <w:p>
            <w:r/>
            <w:r>
              <w:rPr>
                <w:sz w:val="18"/>
              </w:rPr>
              <w:t>Messina black car service</w:t>
            </w:r>
          </w:p>
        </w:tc>
        <w:tc>
          <w:tcPr>
            <w:tcW w:type="dxa" w:w="1296"/>
          </w:tcPr>
          <w:p>
            <w:r/>
            <w:r>
              <w:rPr>
                <w:sz w:val="18"/>
              </w:rPr>
              <w:t>$387.00</w:t>
            </w:r>
          </w:p>
        </w:tc>
        <w:tc>
          <w:tcPr>
            <w:tcW w:type="dxa" w:w="1296"/>
          </w:tcPr>
          <w:p>
            <w:r/>
            <w:r>
              <w:rPr>
                <w:sz w:val="18"/>
              </w:rPr>
              <w:t>$0.00</w:t>
            </w:r>
          </w:p>
        </w:tc>
        <w:tc>
          <w:tcPr>
            <w:tcW w:type="dxa" w:w="1296"/>
          </w:tcPr>
          <w:p>
            <w:r/>
            <w:r>
              <w:rPr>
                <w:sz w:val="18"/>
              </w:rPr>
              <w:t>$387.00</w:t>
            </w:r>
          </w:p>
        </w:tc>
        <w:tc>
          <w:tcPr>
            <w:tcW w:type="dxa" w:w="5328"/>
          </w:tcPr>
          <w:p>
            <w:r/>
            <w:r>
              <w:rPr>
                <w:sz w:val="18"/>
              </w:rPr>
              <w:t>§6.1 — never reimbursable</w:t>
            </w:r>
          </w:p>
        </w:tc>
      </w:tr>
      <w:tr>
        <w:tc>
          <w:tcPr>
            <w:tcW w:type="dxa" w:w="1152"/>
          </w:tcPr>
          <w:p>
            <w:r/>
            <w:r>
              <w:rPr>
                <w:sz w:val="18"/>
              </w:rPr>
              <w:t>E-015</w:t>
            </w:r>
          </w:p>
        </w:tc>
        <w:tc>
          <w:tcPr>
            <w:tcW w:type="dxa" w:w="3168"/>
          </w:tcPr>
          <w:p>
            <w:r/>
            <w:r>
              <w:rPr>
                <w:sz w:val="18"/>
              </w:rPr>
              <w:t>Pryor-Hall ride-share</w:t>
            </w:r>
          </w:p>
        </w:tc>
        <w:tc>
          <w:tcPr>
            <w:tcW w:type="dxa" w:w="1296"/>
          </w:tcPr>
          <w:p>
            <w:r/>
            <w:r>
              <w:rPr>
                <w:sz w:val="18"/>
              </w:rPr>
              <w:t>$143.20</w:t>
            </w:r>
          </w:p>
        </w:tc>
        <w:tc>
          <w:tcPr>
            <w:tcW w:type="dxa" w:w="1296"/>
          </w:tcPr>
          <w:p>
            <w:r/>
            <w:r>
              <w:rPr>
                <w:sz w:val="18"/>
              </w:rPr>
              <w:t>$143.20</w:t>
            </w:r>
          </w:p>
        </w:tc>
        <w:tc>
          <w:tcPr>
            <w:tcW w:type="dxa" w:w="1296"/>
          </w:tcPr>
          <w:p>
            <w:r/>
            <w:r>
              <w:rPr>
                <w:sz w:val="18"/>
              </w:rPr>
              <w:t>$0.00</w:t>
            </w:r>
          </w:p>
        </w:tc>
        <w:tc>
          <w:tcPr>
            <w:tcW w:type="dxa" w:w="5328"/>
          </w:tcPr>
          <w:p>
            <w:r/>
            <w:r>
              <w:rPr>
                <w:sz w:val="18"/>
              </w:rPr>
              <w:t>Permitted with receipts</w:t>
            </w:r>
          </w:p>
        </w:tc>
      </w:tr>
    </w:tbl>
    <w:p/>
    <w:p>
      <w:r>
        <w:rPr>
          <w:b w:val="0"/>
          <w:i w:val="0"/>
        </w:rPr>
        <w:t>Under this alternative, travel time would be reduced by $3,087.00 and expenses by $1,458.40, before any airfare adjustment. Having both the lead partner and the senior associate attend a document inspection should also be questioned (§5.2). See Section 5.</w:t>
      </w:r>
    </w:p>
    <w:p>
      <w:pPr>
        <w:pStyle w:val="Heading2"/>
      </w:pPr>
      <w:r>
        <w:t>4.5 Time-entry requirements (D-8, D-9, D-20, D-21)</w:t>
      </w:r>
    </w:p>
    <w:p>
      <w:r>
        <w:rPr>
          <w:b/>
          <w:i w:val="0"/>
        </w:rPr>
        <w:t>D-8 — Prohibited time (§4.3(a)–(b)).</w:t>
      </w:r>
    </w:p>
    <w:tbl>
      <w:tblPr>
        <w:tblStyle w:val="TableGrid"/>
        <w:tblW w:type="auto" w:w="0"/>
        <w:tblLook w:firstColumn="1" w:firstRow="1" w:lastColumn="0" w:lastRow="0" w:noHBand="0" w:noVBand="1" w:val="04A0"/>
      </w:tblPr>
      <w:tblGrid>
        <w:gridCol w:w="2765"/>
        <w:gridCol w:w="2765"/>
        <w:gridCol w:w="2765"/>
        <w:gridCol w:w="2765"/>
        <w:gridCol w:w="2765"/>
      </w:tblGrid>
      <w:tr>
        <w:tc>
          <w:tcPr>
            <w:tcW w:type="dxa" w:w="864"/>
            <w:shd w:val="clear" w:color="auto" w:fill="1F3A5F"/>
          </w:tcPr>
          <w:p>
            <w:r/>
            <w:r>
              <w:rPr>
                <w:b/>
                <w:color w:val="FFFFFF"/>
                <w:sz w:val="18"/>
              </w:rPr>
              <w:t>Entry</w:t>
            </w:r>
          </w:p>
        </w:tc>
        <w:tc>
          <w:tcPr>
            <w:tcW w:type="dxa" w:w="1728"/>
            <w:shd w:val="clear" w:color="auto" w:fill="1F3A5F"/>
          </w:tcPr>
          <w:p>
            <w:r/>
            <w:r>
              <w:rPr>
                <w:b/>
                <w:color w:val="FFFFFF"/>
                <w:sz w:val="18"/>
              </w:rPr>
              <w:t>Timekeeper</w:t>
            </w:r>
          </w:p>
        </w:tc>
        <w:tc>
          <w:tcPr>
            <w:tcW w:type="dxa" w:w="6336"/>
            <w:shd w:val="clear" w:color="auto" w:fill="1F3A5F"/>
          </w:tcPr>
          <w:p>
            <w:r/>
            <w:r>
              <w:rPr>
                <w:b/>
                <w:color w:val="FFFFFF"/>
                <w:sz w:val="18"/>
              </w:rPr>
              <w:t>Narrative (excerpt)</w:t>
            </w:r>
          </w:p>
        </w:tc>
        <w:tc>
          <w:tcPr>
            <w:tcW w:type="dxa" w:w="1440"/>
            <w:shd w:val="clear" w:color="auto" w:fill="1F3A5F"/>
          </w:tcPr>
          <w:p>
            <w:r/>
            <w:r>
              <w:rPr>
                <w:b/>
                <w:color w:val="FFFFFF"/>
                <w:sz w:val="18"/>
              </w:rPr>
              <w:t>Amount</w:t>
            </w:r>
          </w:p>
        </w:tc>
        <w:tc>
          <w:tcPr>
            <w:tcW w:type="dxa" w:w="3168"/>
            <w:shd w:val="clear" w:color="auto" w:fill="1F3A5F"/>
          </w:tcPr>
          <w:p>
            <w:r/>
            <w:r>
              <w:rPr>
                <w:b/>
                <w:color w:val="FFFFFF"/>
                <w:sz w:val="18"/>
              </w:rPr>
              <w:t>Reason</w:t>
            </w:r>
          </w:p>
        </w:tc>
      </w:tr>
      <w:tr>
        <w:tc>
          <w:tcPr>
            <w:tcW w:type="dxa" w:w="864"/>
          </w:tcPr>
          <w:p>
            <w:r/>
            <w:r>
              <w:rPr>
                <w:sz w:val="18"/>
              </w:rPr>
              <w:t>133</w:t>
            </w:r>
          </w:p>
        </w:tc>
        <w:tc>
          <w:tcPr>
            <w:tcW w:type="dxa" w:w="1728"/>
          </w:tcPr>
          <w:p>
            <w:r/>
            <w:r>
              <w:rPr>
                <w:sz w:val="18"/>
              </w:rPr>
              <w:t>Messina 1.4h</w:t>
            </w:r>
          </w:p>
        </w:tc>
        <w:tc>
          <w:tcPr>
            <w:tcW w:type="dxa" w:w="6336"/>
          </w:tcPr>
          <w:p>
            <w:r/>
            <w:r>
              <w:rPr>
                <w:sz w:val="18"/>
              </w:rPr>
              <w:t>Review monthly billing summary and matter status report; conference call with Howard Blackwell regarding matter budget status</w:t>
            </w:r>
          </w:p>
        </w:tc>
        <w:tc>
          <w:tcPr>
            <w:tcW w:type="dxa" w:w="1440"/>
          </w:tcPr>
          <w:p>
            <w:r/>
            <w:r>
              <w:rPr>
                <w:sz w:val="18"/>
              </w:rPr>
              <w:t>$1,253.00</w:t>
            </w:r>
          </w:p>
        </w:tc>
        <w:tc>
          <w:tcPr>
            <w:tcW w:type="dxa" w:w="3168"/>
          </w:tcPr>
          <w:p>
            <w:r/>
            <w:r>
              <w:rPr>
                <w:sz w:val="18"/>
              </w:rPr>
              <w:t>Invoice review and internal budget administration (§4.3(a),(b))</w:t>
            </w:r>
          </w:p>
        </w:tc>
      </w:tr>
      <w:tr>
        <w:tc>
          <w:tcPr>
            <w:tcW w:type="dxa" w:w="864"/>
          </w:tcPr>
          <w:p>
            <w:r/>
            <w:r>
              <w:rPr>
                <w:sz w:val="18"/>
              </w:rPr>
              <w:t>125</w:t>
            </w:r>
          </w:p>
        </w:tc>
        <w:tc>
          <w:tcPr>
            <w:tcW w:type="dxa" w:w="1728"/>
          </w:tcPr>
          <w:p>
            <w:r/>
            <w:r>
              <w:rPr>
                <w:sz w:val="18"/>
              </w:rPr>
              <w:t>Rosenberg 3.5h</w:t>
            </w:r>
          </w:p>
        </w:tc>
        <w:tc>
          <w:tcPr>
            <w:tcW w:type="dxa" w:w="6336"/>
          </w:tcPr>
          <w:p>
            <w:r/>
            <w:r>
              <w:rPr>
                <w:sz w:val="18"/>
              </w:rPr>
              <w:t>… prepare materials for month-end billing reconciliation</w:t>
            </w:r>
          </w:p>
        </w:tc>
        <w:tc>
          <w:tcPr>
            <w:tcW w:type="dxa" w:w="1440"/>
          </w:tcPr>
          <w:p>
            <w:r/>
            <w:r>
              <w:rPr>
                <w:sz w:val="18"/>
              </w:rPr>
              <w:t>$682.50</w:t>
            </w:r>
          </w:p>
        </w:tc>
        <w:tc>
          <w:tcPr>
            <w:tcW w:type="dxa" w:w="3168"/>
          </w:tcPr>
          <w:p>
            <w:r/>
            <w:r>
              <w:rPr>
                <w:sz w:val="18"/>
              </w:rPr>
              <w:t>Billing preparation; not separated from other work, so disallowed in full</w:t>
            </w:r>
          </w:p>
        </w:tc>
      </w:tr>
      <w:tr>
        <w:tc>
          <w:tcPr>
            <w:tcW w:type="dxa" w:w="864"/>
          </w:tcPr>
          <w:p>
            <w:r/>
            <w:r>
              <w:rPr>
                <w:sz w:val="18"/>
              </w:rPr>
              <w:t>139</w:t>
            </w:r>
          </w:p>
        </w:tc>
        <w:tc>
          <w:tcPr>
            <w:tcW w:type="dxa" w:w="1728"/>
          </w:tcPr>
          <w:p>
            <w:r/>
            <w:r>
              <w:rPr>
                <w:sz w:val="18"/>
              </w:rPr>
              <w:t>Rosenberg 4.0h</w:t>
            </w:r>
          </w:p>
        </w:tc>
        <w:tc>
          <w:tcPr>
            <w:tcW w:type="dxa" w:w="6336"/>
          </w:tcPr>
          <w:p>
            <w:r/>
            <w:r>
              <w:rPr>
                <w:sz w:val="18"/>
              </w:rPr>
              <w:t>… prepare month-end billing support documentation and file organization</w:t>
            </w:r>
          </w:p>
        </w:tc>
        <w:tc>
          <w:tcPr>
            <w:tcW w:type="dxa" w:w="1440"/>
          </w:tcPr>
          <w:p>
            <w:r/>
            <w:r>
              <w:rPr>
                <w:sz w:val="18"/>
              </w:rPr>
              <w:t>$780.00</w:t>
            </w:r>
          </w:p>
        </w:tc>
        <w:tc>
          <w:tcPr>
            <w:tcW w:type="dxa" w:w="3168"/>
          </w:tcPr>
          <w:p>
            <w:r/>
            <w:r>
              <w:rPr>
                <w:sz w:val="18"/>
              </w:rPr>
              <w:t>Billing preparation and file organization</w:t>
            </w:r>
          </w:p>
        </w:tc>
      </w:tr>
    </w:tbl>
    <w:p/>
    <w:p>
      <w:r>
        <w:rPr>
          <w:b/>
          <w:i w:val="0"/>
        </w:rPr>
        <w:t>D-9 — Block billing (§4.2; 30% reduction, $10,758.45).</w:t>
      </w:r>
    </w:p>
    <w:tbl>
      <w:tblPr>
        <w:tblStyle w:val="TableGrid"/>
        <w:tblW w:type="auto" w:w="0"/>
        <w:tblLook w:firstColumn="1" w:firstRow="1" w:lastColumn="0" w:lastRow="0" w:noHBand="0" w:noVBand="1" w:val="04A0"/>
      </w:tblPr>
      <w:tblGrid>
        <w:gridCol w:w="2304"/>
        <w:gridCol w:w="2304"/>
        <w:gridCol w:w="2304"/>
        <w:gridCol w:w="2304"/>
        <w:gridCol w:w="2304"/>
        <w:gridCol w:w="2304"/>
      </w:tblGrid>
      <w:tr>
        <w:tc>
          <w:tcPr>
            <w:tcW w:type="dxa" w:w="720"/>
            <w:shd w:val="clear" w:color="auto" w:fill="1F3A5F"/>
          </w:tcPr>
          <w:p>
            <w:r/>
            <w:r>
              <w:rPr>
                <w:b/>
                <w:color w:val="FFFFFF"/>
                <w:sz w:val="18"/>
              </w:rPr>
              <w:t>Entry</w:t>
            </w:r>
          </w:p>
        </w:tc>
        <w:tc>
          <w:tcPr>
            <w:tcW w:type="dxa" w:w="2016"/>
            <w:shd w:val="clear" w:color="auto" w:fill="1F3A5F"/>
          </w:tcPr>
          <w:p>
            <w:r/>
            <w:r>
              <w:rPr>
                <w:b/>
                <w:color w:val="FFFFFF"/>
                <w:sz w:val="18"/>
              </w:rPr>
              <w:t>Timekeeper</w:t>
            </w:r>
          </w:p>
        </w:tc>
        <w:tc>
          <w:tcPr>
            <w:tcW w:type="dxa" w:w="720"/>
            <w:shd w:val="clear" w:color="auto" w:fill="1F3A5F"/>
          </w:tcPr>
          <w:p>
            <w:r/>
            <w:r>
              <w:rPr>
                <w:b/>
                <w:color w:val="FFFFFF"/>
                <w:sz w:val="18"/>
              </w:rPr>
              <w:t>Hrs</w:t>
            </w:r>
          </w:p>
        </w:tc>
        <w:tc>
          <w:tcPr>
            <w:tcW w:type="dxa" w:w="6912"/>
            <w:shd w:val="clear" w:color="auto" w:fill="1F3A5F"/>
          </w:tcPr>
          <w:p>
            <w:r/>
            <w:r>
              <w:rPr>
                <w:b/>
                <w:color w:val="FFFFFF"/>
                <w:sz w:val="18"/>
              </w:rPr>
              <w:t>Narrative</w:t>
            </w:r>
          </w:p>
        </w:tc>
        <w:tc>
          <w:tcPr>
            <w:tcW w:type="dxa" w:w="1440"/>
            <w:shd w:val="clear" w:color="auto" w:fill="1F3A5F"/>
          </w:tcPr>
          <w:p>
            <w:r/>
            <w:r>
              <w:rPr>
                <w:b/>
                <w:color w:val="FFFFFF"/>
                <w:sz w:val="18"/>
              </w:rPr>
              <w:t>Billed</w:t>
            </w:r>
          </w:p>
        </w:tc>
        <w:tc>
          <w:tcPr>
            <w:tcW w:type="dxa" w:w="1584"/>
            <w:shd w:val="clear" w:color="auto" w:fill="1F3A5F"/>
          </w:tcPr>
          <w:p>
            <w:r/>
            <w:r>
              <w:rPr>
                <w:b/>
                <w:color w:val="FFFFFF"/>
                <w:sz w:val="18"/>
              </w:rPr>
              <w:t>30% reduction</w:t>
            </w:r>
          </w:p>
        </w:tc>
      </w:tr>
      <w:tr>
        <w:tc>
          <w:tcPr>
            <w:tcW w:type="dxa" w:w="720"/>
          </w:tcPr>
          <w:p>
            <w:r/>
            <w:r>
              <w:rPr>
                <w:sz w:val="18"/>
              </w:rPr>
              <w:t>8</w:t>
            </w:r>
          </w:p>
        </w:tc>
        <w:tc>
          <w:tcPr>
            <w:tcW w:type="dxa" w:w="2016"/>
          </w:tcPr>
          <w:p>
            <w:r/>
            <w:r>
              <w:rPr>
                <w:sz w:val="18"/>
              </w:rPr>
              <w:t>Jonathan Pryor-Hall</w:t>
            </w:r>
          </w:p>
        </w:tc>
        <w:tc>
          <w:tcPr>
            <w:tcW w:type="dxa" w:w="720"/>
          </w:tcPr>
          <w:p>
            <w:r/>
            <w:r>
              <w:rPr>
                <w:sz w:val="18"/>
              </w:rPr>
              <w:t>4.8</w:t>
            </w:r>
          </w:p>
        </w:tc>
        <w:tc>
          <w:tcPr>
            <w:tcW w:type="dxa" w:w="6912"/>
          </w:tcPr>
          <w:p>
            <w:r/>
            <w:r>
              <w:rPr>
                <w:sz w:val="18"/>
              </w:rPr>
              <w:t>Continue analysis of Clearwater supplemental privilege log; draft challenge letter to opposing counsel regarding entries 912, 978, 1,034, and 1,101 wh</w:t>
            </w:r>
          </w:p>
        </w:tc>
        <w:tc>
          <w:tcPr>
            <w:tcW w:type="dxa" w:w="1440"/>
          </w:tcPr>
          <w:p>
            <w:r/>
            <w:r>
              <w:rPr>
                <w:sz w:val="18"/>
              </w:rPr>
              <w:t>$2,760.00</w:t>
            </w:r>
          </w:p>
        </w:tc>
        <w:tc>
          <w:tcPr>
            <w:tcW w:type="dxa" w:w="1584"/>
          </w:tcPr>
          <w:p>
            <w:r/>
            <w:r>
              <w:rPr>
                <w:sz w:val="18"/>
              </w:rPr>
              <w:t>$828.00</w:t>
            </w:r>
          </w:p>
        </w:tc>
      </w:tr>
      <w:tr>
        <w:tc>
          <w:tcPr>
            <w:tcW w:type="dxa" w:w="720"/>
          </w:tcPr>
          <w:p>
            <w:r/>
            <w:r>
              <w:rPr>
                <w:sz w:val="18"/>
              </w:rPr>
              <w:t>14</w:t>
            </w:r>
          </w:p>
        </w:tc>
        <w:tc>
          <w:tcPr>
            <w:tcW w:type="dxa" w:w="2016"/>
          </w:tcPr>
          <w:p>
            <w:r/>
            <w:r>
              <w:rPr>
                <w:sz w:val="18"/>
              </w:rPr>
              <w:t>Sandra Messina</w:t>
            </w:r>
          </w:p>
        </w:tc>
        <w:tc>
          <w:tcPr>
            <w:tcW w:type="dxa" w:w="720"/>
          </w:tcPr>
          <w:p>
            <w:r/>
            <w:r>
              <w:rPr>
                <w:sz w:val="18"/>
              </w:rPr>
              <w:t>5.8</w:t>
            </w:r>
          </w:p>
        </w:tc>
        <w:tc>
          <w:tcPr>
            <w:tcW w:type="dxa" w:w="6912"/>
          </w:tcPr>
          <w:p>
            <w:r/>
            <w:r>
              <w:rPr>
                <w:sz w:val="18"/>
              </w:rPr>
              <w:t>Review and analyze expert report materials; conference with J. Pryce-Hall and R. Tanaka regarding expert discovery strategy and deposition preparation</w:t>
            </w:r>
          </w:p>
        </w:tc>
        <w:tc>
          <w:tcPr>
            <w:tcW w:type="dxa" w:w="1440"/>
          </w:tcPr>
          <w:p>
            <w:r/>
            <w:r>
              <w:rPr>
                <w:sz w:val="18"/>
              </w:rPr>
              <w:t>$5,191.00</w:t>
            </w:r>
          </w:p>
        </w:tc>
        <w:tc>
          <w:tcPr>
            <w:tcW w:type="dxa" w:w="1584"/>
          </w:tcPr>
          <w:p>
            <w:r/>
            <w:r>
              <w:rPr>
                <w:sz w:val="18"/>
              </w:rPr>
              <w:t>$1,557.30</w:t>
            </w:r>
          </w:p>
        </w:tc>
      </w:tr>
      <w:tr>
        <w:tc>
          <w:tcPr>
            <w:tcW w:type="dxa" w:w="720"/>
          </w:tcPr>
          <w:p>
            <w:r/>
            <w:r>
              <w:rPr>
                <w:sz w:val="18"/>
              </w:rPr>
              <w:t>44</w:t>
            </w:r>
          </w:p>
        </w:tc>
        <w:tc>
          <w:tcPr>
            <w:tcW w:type="dxa" w:w="2016"/>
          </w:tcPr>
          <w:p>
            <w:r/>
            <w:r>
              <w:rPr>
                <w:sz w:val="18"/>
              </w:rPr>
              <w:t>Jonathan Pryor-Hall</w:t>
            </w:r>
          </w:p>
        </w:tc>
        <w:tc>
          <w:tcPr>
            <w:tcW w:type="dxa" w:w="720"/>
          </w:tcPr>
          <w:p>
            <w:r/>
            <w:r>
              <w:rPr>
                <w:sz w:val="18"/>
              </w:rPr>
              <w:t>3.8</w:t>
            </w:r>
          </w:p>
        </w:tc>
        <w:tc>
          <w:tcPr>
            <w:tcW w:type="dxa" w:w="6912"/>
          </w:tcPr>
          <w:p>
            <w:r/>
            <w:r>
              <w:rPr>
                <w:sz w:val="18"/>
              </w:rPr>
              <w:t>Debrief with S. Messina on Nexon Semiconductor document inspection results; prepare summary memorandum of key findings and recommended follow-up actio</w:t>
            </w:r>
          </w:p>
        </w:tc>
        <w:tc>
          <w:tcPr>
            <w:tcW w:type="dxa" w:w="1440"/>
          </w:tcPr>
          <w:p>
            <w:r/>
            <w:r>
              <w:rPr>
                <w:sz w:val="18"/>
              </w:rPr>
              <w:t>$2,185.00</w:t>
            </w:r>
          </w:p>
        </w:tc>
        <w:tc>
          <w:tcPr>
            <w:tcW w:type="dxa" w:w="1584"/>
          </w:tcPr>
          <w:p>
            <w:r/>
            <w:r>
              <w:rPr>
                <w:sz w:val="18"/>
              </w:rPr>
              <w:t>$655.50</w:t>
            </w:r>
          </w:p>
        </w:tc>
      </w:tr>
      <w:tr>
        <w:tc>
          <w:tcPr>
            <w:tcW w:type="dxa" w:w="720"/>
          </w:tcPr>
          <w:p>
            <w:r/>
            <w:r>
              <w:rPr>
                <w:sz w:val="18"/>
              </w:rPr>
              <w:t>49</w:t>
            </w:r>
          </w:p>
        </w:tc>
        <w:tc>
          <w:tcPr>
            <w:tcW w:type="dxa" w:w="2016"/>
          </w:tcPr>
          <w:p>
            <w:r/>
            <w:r>
              <w:rPr>
                <w:sz w:val="18"/>
              </w:rPr>
              <w:t>Sandra Messina</w:t>
            </w:r>
          </w:p>
        </w:tc>
        <w:tc>
          <w:tcPr>
            <w:tcW w:type="dxa" w:w="720"/>
          </w:tcPr>
          <w:p>
            <w:r/>
            <w:r>
              <w:rPr>
                <w:sz w:val="18"/>
              </w:rPr>
              <w:t>2.0</w:t>
            </w:r>
          </w:p>
        </w:tc>
        <w:tc>
          <w:tcPr>
            <w:tcW w:type="dxa" w:w="6912"/>
          </w:tcPr>
          <w:p>
            <w:r/>
            <w:r>
              <w:rPr>
                <w:sz w:val="18"/>
              </w:rPr>
              <w:t>Conference with J. Pryce-Hall regarding final deposition strategy for Michael Torres; review revised deposition outline.</w:t>
            </w:r>
          </w:p>
        </w:tc>
        <w:tc>
          <w:tcPr>
            <w:tcW w:type="dxa" w:w="1440"/>
          </w:tcPr>
          <w:p>
            <w:r/>
            <w:r>
              <w:rPr>
                <w:sz w:val="18"/>
              </w:rPr>
              <w:t>$1,790.00</w:t>
            </w:r>
          </w:p>
        </w:tc>
        <w:tc>
          <w:tcPr>
            <w:tcW w:type="dxa" w:w="1584"/>
          </w:tcPr>
          <w:p>
            <w:r/>
            <w:r>
              <w:rPr>
                <w:sz w:val="18"/>
              </w:rPr>
              <w:t>$537.00</w:t>
            </w:r>
          </w:p>
        </w:tc>
      </w:tr>
      <w:tr>
        <w:tc>
          <w:tcPr>
            <w:tcW w:type="dxa" w:w="720"/>
          </w:tcPr>
          <w:p>
            <w:r/>
            <w:r>
              <w:rPr>
                <w:sz w:val="18"/>
              </w:rPr>
              <w:t>54</w:t>
            </w:r>
          </w:p>
        </w:tc>
        <w:tc>
          <w:tcPr>
            <w:tcW w:type="dxa" w:w="2016"/>
          </w:tcPr>
          <w:p>
            <w:r/>
            <w:r>
              <w:rPr>
                <w:sz w:val="18"/>
              </w:rPr>
              <w:t>Sandra Messina</w:t>
            </w:r>
          </w:p>
        </w:tc>
        <w:tc>
          <w:tcPr>
            <w:tcW w:type="dxa" w:w="720"/>
          </w:tcPr>
          <w:p>
            <w:r/>
            <w:r>
              <w:rPr>
                <w:sz w:val="18"/>
              </w:rPr>
              <w:t>2.8</w:t>
            </w:r>
          </w:p>
        </w:tc>
        <w:tc>
          <w:tcPr>
            <w:tcW w:type="dxa" w:w="6912"/>
          </w:tcPr>
          <w:p>
            <w:r/>
            <w:r>
              <w:rPr>
                <w:sz w:val="18"/>
              </w:rPr>
              <w:t>Final preparation for Michael Torres deposition; review key documents and deposition outline; conference call with client representative Daniel Okafor</w:t>
            </w:r>
          </w:p>
        </w:tc>
        <w:tc>
          <w:tcPr>
            <w:tcW w:type="dxa" w:w="1440"/>
          </w:tcPr>
          <w:p>
            <w:r/>
            <w:r>
              <w:rPr>
                <w:sz w:val="18"/>
              </w:rPr>
              <w:t>$2,506.00</w:t>
            </w:r>
          </w:p>
        </w:tc>
        <w:tc>
          <w:tcPr>
            <w:tcW w:type="dxa" w:w="1584"/>
          </w:tcPr>
          <w:p>
            <w:r/>
            <w:r>
              <w:rPr>
                <w:sz w:val="18"/>
              </w:rPr>
              <w:t>$751.80</w:t>
            </w:r>
          </w:p>
        </w:tc>
      </w:tr>
      <w:tr>
        <w:tc>
          <w:tcPr>
            <w:tcW w:type="dxa" w:w="720"/>
          </w:tcPr>
          <w:p>
            <w:r/>
            <w:r>
              <w:rPr>
                <w:sz w:val="18"/>
              </w:rPr>
              <w:t>61</w:t>
            </w:r>
          </w:p>
        </w:tc>
        <w:tc>
          <w:tcPr>
            <w:tcW w:type="dxa" w:w="2016"/>
          </w:tcPr>
          <w:p>
            <w:r/>
            <w:r>
              <w:rPr>
                <w:sz w:val="18"/>
              </w:rPr>
              <w:t>Sandra Messina</w:t>
            </w:r>
          </w:p>
        </w:tc>
        <w:tc>
          <w:tcPr>
            <w:tcW w:type="dxa" w:w="720"/>
          </w:tcPr>
          <w:p>
            <w:r/>
            <w:r>
              <w:rPr>
                <w:sz w:val="18"/>
              </w:rPr>
              <w:t>9.3</w:t>
            </w:r>
          </w:p>
        </w:tc>
        <w:tc>
          <w:tcPr>
            <w:tcW w:type="dxa" w:w="6912"/>
          </w:tcPr>
          <w:p>
            <w:r/>
            <w:r>
              <w:rPr>
                <w:sz w:val="18"/>
              </w:rPr>
              <w:t>Prepare for and attend deposition of Michael Torres (former Clearwater engineer); post-deposition debrief with team.</w:t>
            </w:r>
          </w:p>
        </w:tc>
        <w:tc>
          <w:tcPr>
            <w:tcW w:type="dxa" w:w="1440"/>
          </w:tcPr>
          <w:p>
            <w:r/>
            <w:r>
              <w:rPr>
                <w:sz w:val="18"/>
              </w:rPr>
              <w:t>$8,323.50</w:t>
            </w:r>
          </w:p>
        </w:tc>
        <w:tc>
          <w:tcPr>
            <w:tcW w:type="dxa" w:w="1584"/>
          </w:tcPr>
          <w:p>
            <w:r/>
            <w:r>
              <w:rPr>
                <w:sz w:val="18"/>
              </w:rPr>
              <w:t>$2,497.05</w:t>
            </w:r>
          </w:p>
        </w:tc>
      </w:tr>
      <w:tr>
        <w:tc>
          <w:tcPr>
            <w:tcW w:type="dxa" w:w="720"/>
          </w:tcPr>
          <w:p>
            <w:r/>
            <w:r>
              <w:rPr>
                <w:sz w:val="18"/>
              </w:rPr>
              <w:t>62</w:t>
            </w:r>
          </w:p>
        </w:tc>
        <w:tc>
          <w:tcPr>
            <w:tcW w:type="dxa" w:w="2016"/>
          </w:tcPr>
          <w:p>
            <w:r/>
            <w:r>
              <w:rPr>
                <w:sz w:val="18"/>
              </w:rPr>
              <w:t>Jonathan Pryor-Hall</w:t>
            </w:r>
          </w:p>
        </w:tc>
        <w:tc>
          <w:tcPr>
            <w:tcW w:type="dxa" w:w="720"/>
          </w:tcPr>
          <w:p>
            <w:r/>
            <w:r>
              <w:rPr>
                <w:sz w:val="18"/>
              </w:rPr>
              <w:t>8.7</w:t>
            </w:r>
          </w:p>
        </w:tc>
        <w:tc>
          <w:tcPr>
            <w:tcW w:type="dxa" w:w="6912"/>
          </w:tcPr>
          <w:p>
            <w:r/>
            <w:r>
              <w:rPr>
                <w:sz w:val="18"/>
              </w:rPr>
              <w:t>Prepare for and attend deposition of Michael Torres; coordinate exhibits and manage real-time document review during examination.</w:t>
            </w:r>
          </w:p>
        </w:tc>
        <w:tc>
          <w:tcPr>
            <w:tcW w:type="dxa" w:w="1440"/>
          </w:tcPr>
          <w:p>
            <w:r/>
            <w:r>
              <w:rPr>
                <w:sz w:val="18"/>
              </w:rPr>
              <w:t>$5,002.50</w:t>
            </w:r>
          </w:p>
        </w:tc>
        <w:tc>
          <w:tcPr>
            <w:tcW w:type="dxa" w:w="1584"/>
          </w:tcPr>
          <w:p>
            <w:r/>
            <w:r>
              <w:rPr>
                <w:sz w:val="18"/>
              </w:rPr>
              <w:t>$1,500.75</w:t>
            </w:r>
          </w:p>
        </w:tc>
      </w:tr>
      <w:tr>
        <w:tc>
          <w:tcPr>
            <w:tcW w:type="dxa" w:w="720"/>
          </w:tcPr>
          <w:p>
            <w:r/>
            <w:r>
              <w:rPr>
                <w:sz w:val="18"/>
              </w:rPr>
              <w:t>88</w:t>
            </w:r>
          </w:p>
        </w:tc>
        <w:tc>
          <w:tcPr>
            <w:tcW w:type="dxa" w:w="2016"/>
          </w:tcPr>
          <w:p>
            <w:r/>
            <w:r>
              <w:rPr>
                <w:sz w:val="18"/>
              </w:rPr>
              <w:t>Jonathan Pryor-Hall</w:t>
            </w:r>
          </w:p>
        </w:tc>
        <w:tc>
          <w:tcPr>
            <w:tcW w:type="dxa" w:w="720"/>
          </w:tcPr>
          <w:p>
            <w:r/>
            <w:r>
              <w:rPr>
                <w:sz w:val="18"/>
              </w:rPr>
              <w:t>7.4</w:t>
            </w:r>
          </w:p>
        </w:tc>
        <w:tc>
          <w:tcPr>
            <w:tcW w:type="dxa" w:w="6912"/>
          </w:tcPr>
          <w:p>
            <w:r/>
            <w:r>
              <w:rPr>
                <w:sz w:val="18"/>
              </w:rPr>
              <w:t>Draft motion for protective order regarding Clearwater's expert discovery requests; research applicable standards; draft supporting memorandum; compil</w:t>
            </w:r>
          </w:p>
        </w:tc>
        <w:tc>
          <w:tcPr>
            <w:tcW w:type="dxa" w:w="1440"/>
          </w:tcPr>
          <w:p>
            <w:r/>
            <w:r>
              <w:rPr>
                <w:sz w:val="18"/>
              </w:rPr>
              <w:t>$4,255.00</w:t>
            </w:r>
          </w:p>
        </w:tc>
        <w:tc>
          <w:tcPr>
            <w:tcW w:type="dxa" w:w="1584"/>
          </w:tcPr>
          <w:p>
            <w:r/>
            <w:r>
              <w:rPr>
                <w:sz w:val="18"/>
              </w:rPr>
              <w:t>$1,276.50</w:t>
            </w:r>
          </w:p>
        </w:tc>
      </w:tr>
      <w:tr>
        <w:tc>
          <w:tcPr>
            <w:tcW w:type="dxa" w:w="720"/>
          </w:tcPr>
          <w:p>
            <w:r/>
            <w:r>
              <w:rPr>
                <w:sz w:val="18"/>
              </w:rPr>
              <w:t>105</w:t>
            </w:r>
          </w:p>
        </w:tc>
        <w:tc>
          <w:tcPr>
            <w:tcW w:type="dxa" w:w="2016"/>
          </w:tcPr>
          <w:p>
            <w:r/>
            <w:r>
              <w:rPr>
                <w:sz w:val="18"/>
              </w:rPr>
              <w:t>Sandra Messina</w:t>
            </w:r>
          </w:p>
        </w:tc>
        <w:tc>
          <w:tcPr>
            <w:tcW w:type="dxa" w:w="720"/>
          </w:tcPr>
          <w:p>
            <w:r/>
            <w:r>
              <w:rPr>
                <w:sz w:val="18"/>
              </w:rPr>
              <w:t>2.5</w:t>
            </w:r>
          </w:p>
        </w:tc>
        <w:tc>
          <w:tcPr>
            <w:tcW w:type="dxa" w:w="6912"/>
          </w:tcPr>
          <w:p>
            <w:r/>
            <w:r>
              <w:rPr>
                <w:sz w:val="18"/>
              </w:rPr>
              <w:t>Review David Nakamura deposition transcript; conference call with client representative Daniel Okafor regarding deposition outcomes and litigation str</w:t>
            </w:r>
          </w:p>
        </w:tc>
        <w:tc>
          <w:tcPr>
            <w:tcW w:type="dxa" w:w="1440"/>
          </w:tcPr>
          <w:p>
            <w:r/>
            <w:r>
              <w:rPr>
                <w:sz w:val="18"/>
              </w:rPr>
              <w:t>$2,237.50</w:t>
            </w:r>
          </w:p>
        </w:tc>
        <w:tc>
          <w:tcPr>
            <w:tcW w:type="dxa" w:w="1584"/>
          </w:tcPr>
          <w:p>
            <w:r/>
            <w:r>
              <w:rPr>
                <w:sz w:val="18"/>
              </w:rPr>
              <w:t>$671.25</w:t>
            </w:r>
          </w:p>
        </w:tc>
      </w:tr>
      <w:tr>
        <w:tc>
          <w:tcPr>
            <w:tcW w:type="dxa" w:w="720"/>
          </w:tcPr>
          <w:p>
            <w:r/>
            <w:r>
              <w:rPr>
                <w:sz w:val="18"/>
              </w:rPr>
              <w:t>126</w:t>
            </w:r>
          </w:p>
        </w:tc>
        <w:tc>
          <w:tcPr>
            <w:tcW w:type="dxa" w:w="2016"/>
          </w:tcPr>
          <w:p>
            <w:r/>
            <w:r>
              <w:rPr>
                <w:sz w:val="18"/>
              </w:rPr>
              <w:t>Sandra Messina</w:t>
            </w:r>
          </w:p>
        </w:tc>
        <w:tc>
          <w:tcPr>
            <w:tcW w:type="dxa" w:w="720"/>
          </w:tcPr>
          <w:p>
            <w:r/>
            <w:r>
              <w:rPr>
                <w:sz w:val="18"/>
              </w:rPr>
              <w:t>1.8</w:t>
            </w:r>
          </w:p>
        </w:tc>
        <w:tc>
          <w:tcPr>
            <w:tcW w:type="dxa" w:w="6912"/>
          </w:tcPr>
          <w:p>
            <w:r/>
            <w:r>
              <w:rPr>
                <w:sz w:val="18"/>
              </w:rPr>
              <w:t>Final review and approval of motion for protective order prior to filing; conference with J. Pryce-Hall on filing strategy.</w:t>
            </w:r>
          </w:p>
        </w:tc>
        <w:tc>
          <w:tcPr>
            <w:tcW w:type="dxa" w:w="1440"/>
          </w:tcPr>
          <w:p>
            <w:r/>
            <w:r>
              <w:rPr>
                <w:sz w:val="18"/>
              </w:rPr>
              <w:t>$1,611.00</w:t>
            </w:r>
          </w:p>
        </w:tc>
        <w:tc>
          <w:tcPr>
            <w:tcW w:type="dxa" w:w="1584"/>
          </w:tcPr>
          <w:p>
            <w:r/>
            <w:r>
              <w:rPr>
                <w:sz w:val="18"/>
              </w:rPr>
              <w:t>$483.30</w:t>
            </w:r>
          </w:p>
        </w:tc>
      </w:tr>
    </w:tbl>
    <w:p/>
    <w:p>
      <w:r>
        <w:rPr>
          <w:b w:val="0"/>
          <w:i w:val="0"/>
        </w:rPr>
        <w:t>These ten entries combine clearly different activities in a single time allocation: conferences or client calls with drafting or review, preparation with attendance and a debrief, or drafting with research, exhibit compilation and case review. More than 100 other entries join tasks with semicolons (e.g., "review …; prepare memorandum"). They are not reduced here, but the firm should be told to break them out on resubmission. Repeat violations support the further remedies in §4.2.</w:t>
      </w:r>
    </w:p>
    <w:p>
      <w:r>
        <w:rPr>
          <w:b/>
          <w:i w:val="0"/>
        </w:rPr>
        <w:t>D-20 — LEDES/UTBMS coding (§4.4, §8.1, Appendices A–B).</w:t>
      </w:r>
    </w:p>
    <w:p>
      <w:pPr>
        <w:pStyle w:val="ListBullet"/>
      </w:pPr>
      <w:r>
        <w:rPr>
          <w:b/>
        </w:rPr>
        <w:t>Task codes.</w:t>
      </w:r>
      <w:r>
        <w:t xml:space="preserve"> Appendix A approves litigation codes L110–L190 only. All 139 fee entries use L510, L520, L530, L540 or L550, which are not on that list. In the standard UTBMS litigation code set, the L500 series is the Appeal phase, which misdescribes the work. For example, discovery work should be L130 and expert work L140.</w:t>
      </w:r>
    </w:p>
    <w:p>
      <w:pPr>
        <w:pStyle w:val="ListBullet"/>
      </w:pPr>
      <w:r>
        <w:rPr>
          <w:b/>
        </w:rPr>
        <w:t>Activity codes.</w:t>
      </w:r>
      <w:r>
        <w:t xml:space="preserve"> Activity codes appear to be misapplied against the standard UTBMS set. Deposition and inspection attendance is coded A104 (Review/Analyze), not A109 (Appear/Attend). Internal conferences are coded A106 (Communicate with client). Research is coded A101 (Plan and prepare), not A102. Travel is coded A107.</w:t>
      </w:r>
    </w:p>
    <w:p>
      <w:pPr>
        <w:pStyle w:val="ListBullet"/>
      </w:pPr>
      <w:r>
        <w:rPr>
          <w:b/>
        </w:rPr>
        <w:t>Expense codes.</w:t>
      </w:r>
      <w:r>
        <w:t xml:space="preserve"> Measured against the standard UTBMS expense codes, most codes do not fit the charge. Airfare is coded E101 (which is copying), transcripts E107, Westlaw E108, experts E112 and local counsel E115. The standard codes would be E110 for out-of-town travel, E115 for transcripts, E106 for online research, E119 for experts and E122 for local counsel. Appendix A does not reproduce expense codes, so this item should be confirmed with VIH's e-billing administrator.</w:t>
      </w:r>
    </w:p>
    <w:p>
      <w:pPr>
        <w:pStyle w:val="ListBullet"/>
      </w:pPr>
      <w:r>
        <w:rPr>
          <w:b/>
        </w:rPr>
        <w:t>Field set and narratives.</w:t>
      </w:r>
      <w:r>
        <w:t xml:space="preserve"> The LEDES export has no TIMEKEEPER_NAME field, which Appendix B requires. Its narratives are shortened versions of the Excel narratives (for example, entry 2 drops the recommendations, and entry 32 drops the list of documents reviewed). The two versions of the invoice are therefore not the same. The email says a separate LEDES 1998B flat file was attached, but only the Excel export was in the materials reviewed. VIH should confirm what it actually received.</w:t>
      </w:r>
    </w:p>
    <w:p>
      <w:r>
        <w:rPr>
          <w:b/>
          <w:i w:val="0"/>
        </w:rPr>
        <w:t>D-21 — Narrative length (§4.1).</w:t>
      </w:r>
    </w:p>
    <w:p>
      <w:r>
        <w:rPr>
          <w:b w:val="0"/>
          <w:i w:val="0"/>
        </w:rPr>
        <w:t>138 of 139 Excel narratives are under the 30-word minimum; only entry 8 has more than 30 words (32). The median is 18 words, and the shortest entries (travel entries 25 and 26, and 104) have 11. Every LEDES narrative is under 30 words. Some entries are also generic by the standard of §4.1, e.g., 136 ("Finalize October research memoranda; update case law research binder"), 121, 89 and 73 ("Continue technical document review and analysis"). No separate dollar reduction is applied here, but VIH may reduce or disallow entries that lack enough detail (§4.1), and the firm should resubmit with full narratives.</w:t>
      </w:r>
    </w:p>
    <w:p>
      <w:pPr>
        <w:pStyle w:val="Heading2"/>
      </w:pPr>
      <w:r>
        <w:t>4.6 Expenses and prior approvals (D-10 to D-17)</w:t>
      </w:r>
    </w:p>
    <w:tbl>
      <w:tblPr>
        <w:tblStyle w:val="TableGrid"/>
        <w:tblW w:type="auto" w:w="0"/>
        <w:tblLook w:firstColumn="1" w:firstRow="1" w:lastColumn="0" w:lastRow="0" w:noHBand="0" w:noVBand="1" w:val="04A0"/>
      </w:tblPr>
      <w:tblGrid>
        <w:gridCol w:w="2304"/>
        <w:gridCol w:w="2304"/>
        <w:gridCol w:w="2304"/>
        <w:gridCol w:w="2304"/>
        <w:gridCol w:w="2304"/>
        <w:gridCol w:w="2304"/>
      </w:tblGrid>
      <w:tr>
        <w:tc>
          <w:tcPr>
            <w:tcW w:type="dxa" w:w="1152"/>
            <w:shd w:val="clear" w:color="auto" w:fill="1F3A5F"/>
          </w:tcPr>
          <w:p>
            <w:r/>
            <w:r>
              <w:rPr>
                <w:b/>
                <w:color w:val="FFFFFF"/>
                <w:sz w:val="18"/>
              </w:rPr>
              <w:t>Line</w:t>
            </w:r>
          </w:p>
        </w:tc>
        <w:tc>
          <w:tcPr>
            <w:tcW w:type="dxa" w:w="2160"/>
            <w:shd w:val="clear" w:color="auto" w:fill="1F3A5F"/>
          </w:tcPr>
          <w:p>
            <w:r/>
            <w:r>
              <w:rPr>
                <w:b/>
                <w:color w:val="FFFFFF"/>
                <w:sz w:val="18"/>
              </w:rPr>
              <w:t>Description</w:t>
            </w:r>
          </w:p>
        </w:tc>
        <w:tc>
          <w:tcPr>
            <w:tcW w:type="dxa" w:w="1296"/>
            <w:shd w:val="clear" w:color="auto" w:fill="1F3A5F"/>
          </w:tcPr>
          <w:p>
            <w:r/>
            <w:r>
              <w:rPr>
                <w:b/>
                <w:color w:val="FFFFFF"/>
                <w:sz w:val="18"/>
              </w:rPr>
              <w:t>Billed</w:t>
            </w:r>
          </w:p>
        </w:tc>
        <w:tc>
          <w:tcPr>
            <w:tcW w:type="dxa" w:w="1296"/>
            <w:shd w:val="clear" w:color="auto" w:fill="1F3A5F"/>
          </w:tcPr>
          <w:p>
            <w:r/>
            <w:r>
              <w:rPr>
                <w:b/>
                <w:color w:val="FFFFFF"/>
                <w:sz w:val="18"/>
              </w:rPr>
              <w:t>Action</w:t>
            </w:r>
          </w:p>
        </w:tc>
        <w:tc>
          <w:tcPr>
            <w:tcW w:type="dxa" w:w="1872"/>
            <w:shd w:val="clear" w:color="auto" w:fill="1F3A5F"/>
          </w:tcPr>
          <w:p>
            <w:r/>
            <w:r>
              <w:rPr>
                <w:b/>
                <w:color w:val="FFFFFF"/>
                <w:sz w:val="18"/>
              </w:rPr>
              <w:t>Adjustment / Hold</w:t>
            </w:r>
          </w:p>
        </w:tc>
        <w:tc>
          <w:tcPr>
            <w:tcW w:type="dxa" w:w="5760"/>
            <w:shd w:val="clear" w:color="auto" w:fill="1F3A5F"/>
          </w:tcPr>
          <w:p>
            <w:r/>
            <w:r>
              <w:rPr>
                <w:b/>
                <w:color w:val="FFFFFF"/>
                <w:sz w:val="18"/>
              </w:rPr>
              <w:t>Analysis</w:t>
            </w:r>
          </w:p>
        </w:tc>
      </w:tr>
      <w:tr>
        <w:tc>
          <w:tcPr>
            <w:tcW w:type="dxa" w:w="1152"/>
          </w:tcPr>
          <w:p>
            <w:r/>
            <w:r>
              <w:rPr>
                <w:sz w:val="18"/>
              </w:rPr>
              <w:t>E-001</w:t>
            </w:r>
          </w:p>
        </w:tc>
        <w:tc>
          <w:tcPr>
            <w:tcW w:type="dxa" w:w="2160"/>
          </w:tcPr>
          <w:p>
            <w:r/>
            <w:r>
              <w:rPr>
                <w:sz w:val="18"/>
              </w:rPr>
              <w:t>Dr. Voss — October</w:t>
            </w:r>
          </w:p>
        </w:tc>
        <w:tc>
          <w:tcPr>
            <w:tcW w:type="dxa" w:w="1296"/>
          </w:tcPr>
          <w:p>
            <w:r/>
            <w:r>
              <w:rPr>
                <w:sz w:val="18"/>
              </w:rPr>
              <w:t>$87,500.00</w:t>
            </w:r>
          </w:p>
        </w:tc>
        <w:tc>
          <w:tcPr>
            <w:tcW w:type="dxa" w:w="1296"/>
          </w:tcPr>
          <w:p>
            <w:r/>
            <w:r>
              <w:rPr>
                <w:sz w:val="18"/>
              </w:rPr>
              <w:t>Withhold</w:t>
            </w:r>
          </w:p>
        </w:tc>
        <w:tc>
          <w:tcPr>
            <w:tcW w:type="dxa" w:w="1872"/>
          </w:tcPr>
          <w:p>
            <w:r/>
            <w:r>
              <w:rPr>
                <w:sz w:val="18"/>
              </w:rPr>
              <w:t>$87,500.00</w:t>
            </w:r>
          </w:p>
        </w:tc>
        <w:tc>
          <w:tcPr>
            <w:tcW w:type="dxa" w:w="5760"/>
          </w:tcPr>
          <w:p>
            <w:r/>
            <w:r>
              <w:rPr>
                <w:sz w:val="18"/>
              </w:rPr>
              <w:t>Approved (PA-001; cap $150,000). §7.1 requires the expert's own invoice with every invoice that includes expert charges, and none was provided. $87,500 is 140 hours at $625/hr in one month. Ask for cumulative billings to date to confirm the cap is not exceeded (Ex. B requires re-authorisation before any overage).</w:t>
            </w:r>
          </w:p>
        </w:tc>
      </w:tr>
      <w:tr>
        <w:tc>
          <w:tcPr>
            <w:tcW w:type="dxa" w:w="1152"/>
          </w:tcPr>
          <w:p>
            <w:r/>
            <w:r>
              <w:rPr>
                <w:sz w:val="18"/>
              </w:rPr>
              <w:t>E-002</w:t>
            </w:r>
          </w:p>
        </w:tc>
        <w:tc>
          <w:tcPr>
            <w:tcW w:type="dxa" w:w="2160"/>
          </w:tcPr>
          <w:p>
            <w:r/>
            <w:r>
              <w:rPr>
                <w:sz w:val="18"/>
              </w:rPr>
              <w:t>Prof. Huang — October</w:t>
            </w:r>
          </w:p>
        </w:tc>
        <w:tc>
          <w:tcPr>
            <w:tcW w:type="dxa" w:w="1296"/>
          </w:tcPr>
          <w:p>
            <w:r/>
            <w:r>
              <w:rPr>
                <w:sz w:val="18"/>
              </w:rPr>
              <w:t>$42,000.00</w:t>
            </w:r>
          </w:p>
        </w:tc>
        <w:tc>
          <w:tcPr>
            <w:tcW w:type="dxa" w:w="1296"/>
          </w:tcPr>
          <w:p>
            <w:r/>
            <w:r>
              <w:rPr>
                <w:sz w:val="18"/>
              </w:rPr>
              <w:t>Withhold</w:t>
            </w:r>
          </w:p>
        </w:tc>
        <w:tc>
          <w:tcPr>
            <w:tcW w:type="dxa" w:w="1872"/>
          </w:tcPr>
          <w:p>
            <w:r/>
            <w:r>
              <w:rPr>
                <w:sz w:val="18"/>
              </w:rPr>
              <w:t>$42,000.00</w:t>
            </w:r>
          </w:p>
        </w:tc>
        <w:tc>
          <w:tcPr>
            <w:tcW w:type="dxa" w:w="5760"/>
          </w:tcPr>
          <w:p>
            <w:r/>
            <w:r>
              <w:rPr>
                <w:sz w:val="18"/>
              </w:rPr>
              <w:t>Approved (PA-002; cap $100,000; $550/hr, about 76.4 hrs). Expert invoice and cumulative-to-date figures required.</w:t>
            </w:r>
          </w:p>
        </w:tc>
      </w:tr>
      <w:tr>
        <w:tc>
          <w:tcPr>
            <w:tcW w:type="dxa" w:w="1152"/>
          </w:tcPr>
          <w:p>
            <w:r/>
            <w:r>
              <w:rPr>
                <w:sz w:val="18"/>
              </w:rPr>
              <w:t>E-003</w:t>
            </w:r>
          </w:p>
        </w:tc>
        <w:tc>
          <w:tcPr>
            <w:tcW w:type="dxa" w:w="2160"/>
          </w:tcPr>
          <w:p>
            <w:r/>
            <w:r>
              <w:rPr>
                <w:sz w:val="18"/>
              </w:rPr>
              <w:t>Torres transcript (expedited)</w:t>
            </w:r>
          </w:p>
        </w:tc>
        <w:tc>
          <w:tcPr>
            <w:tcW w:type="dxa" w:w="1296"/>
          </w:tcPr>
          <w:p>
            <w:r/>
            <w:r>
              <w:rPr>
                <w:sz w:val="18"/>
              </w:rPr>
              <w:t>$5,240.00</w:t>
            </w:r>
          </w:p>
        </w:tc>
        <w:tc>
          <w:tcPr>
            <w:tcW w:type="dxa" w:w="1296"/>
          </w:tcPr>
          <w:p>
            <w:r/>
            <w:r>
              <w:rPr>
                <w:sz w:val="18"/>
              </w:rPr>
              <w:t>Withhold</w:t>
            </w:r>
          </w:p>
        </w:tc>
        <w:tc>
          <w:tcPr>
            <w:tcW w:type="dxa" w:w="1872"/>
          </w:tcPr>
          <w:p>
            <w:r/>
            <w:r>
              <w:rPr>
                <w:sz w:val="18"/>
              </w:rPr>
              <w:t>$5,240.00</w:t>
            </w:r>
          </w:p>
        </w:tc>
        <w:tc>
          <w:tcPr>
            <w:tcW w:type="dxa" w:w="5760"/>
          </w:tcPr>
          <w:p>
            <w:r/>
            <w:r>
              <w:rPr>
                <w:sz w:val="18"/>
              </w:rPr>
              <w:t>Over the $5,000 single-deposition pre-approval threshold. PA-003 covers "fact discovery depositions," but fact discovery closed 9/15/2024. Confirm the deposition falls within PA-003 (and was authorised by stipulation or court order), justify the expedited premium, and supply the cumulative amount against the $65,000 estimate. Receipt required.</w:t>
            </w:r>
          </w:p>
        </w:tc>
      </w:tr>
      <w:tr>
        <w:tc>
          <w:tcPr>
            <w:tcW w:type="dxa" w:w="1152"/>
          </w:tcPr>
          <w:p>
            <w:r/>
            <w:r>
              <w:rPr>
                <w:sz w:val="18"/>
              </w:rPr>
              <w:t>E-004 / E-005</w:t>
            </w:r>
          </w:p>
        </w:tc>
        <w:tc>
          <w:tcPr>
            <w:tcW w:type="dxa" w:w="2160"/>
          </w:tcPr>
          <w:p>
            <w:r/>
            <w:r>
              <w:rPr>
                <w:sz w:val="18"/>
              </w:rPr>
              <w:t>Lindgren / Nakamura transcripts</w:t>
            </w:r>
          </w:p>
        </w:tc>
        <w:tc>
          <w:tcPr>
            <w:tcW w:type="dxa" w:w="1296"/>
          </w:tcPr>
          <w:p>
            <w:r/>
            <w:r>
              <w:rPr>
                <w:sz w:val="18"/>
              </w:rPr>
              <w:t>$9,632.50</w:t>
            </w:r>
          </w:p>
        </w:tc>
        <w:tc>
          <w:tcPr>
            <w:tcW w:type="dxa" w:w="1296"/>
          </w:tcPr>
          <w:p>
            <w:r/>
            <w:r>
              <w:rPr>
                <w:sz w:val="18"/>
              </w:rPr>
              <w:t>Allow*</w:t>
            </w:r>
          </w:p>
        </w:tc>
        <w:tc>
          <w:tcPr>
            <w:tcW w:type="dxa" w:w="1872"/>
          </w:tcPr>
          <w:p>
            <w:r/>
            <w:r>
              <w:rPr>
                <w:sz w:val="18"/>
              </w:rPr>
              <w:t>—</w:t>
            </w:r>
          </w:p>
        </w:tc>
        <w:tc>
          <w:tcPr>
            <w:tcW w:type="dxa" w:w="5760"/>
          </w:tcPr>
          <w:p>
            <w:r/>
            <w:r>
              <w:rPr>
                <w:sz w:val="18"/>
              </w:rPr>
              <w:t>Each under $5,000. *Subject to vendor invoice and the same PA-003 scope confirmation.</w:t>
            </w:r>
          </w:p>
        </w:tc>
      </w:tr>
      <w:tr>
        <w:tc>
          <w:tcPr>
            <w:tcW w:type="dxa" w:w="1152"/>
          </w:tcPr>
          <w:p>
            <w:r/>
            <w:r>
              <w:rPr>
                <w:sz w:val="18"/>
              </w:rPr>
              <w:t>E-006</w:t>
            </w:r>
          </w:p>
        </w:tc>
        <w:tc>
          <w:tcPr>
            <w:tcW w:type="dxa" w:w="2160"/>
          </w:tcPr>
          <w:p>
            <w:r/>
            <w:r>
              <w:rPr>
                <w:sz w:val="18"/>
              </w:rPr>
              <w:t>Westlaw</w:t>
            </w:r>
          </w:p>
        </w:tc>
        <w:tc>
          <w:tcPr>
            <w:tcW w:type="dxa" w:w="1296"/>
          </w:tcPr>
          <w:p>
            <w:r/>
            <w:r>
              <w:rPr>
                <w:sz w:val="18"/>
              </w:rPr>
              <w:t>$4,218.60</w:t>
            </w:r>
          </w:p>
        </w:tc>
        <w:tc>
          <w:tcPr>
            <w:tcW w:type="dxa" w:w="1296"/>
          </w:tcPr>
          <w:p>
            <w:r/>
            <w:r>
              <w:rPr>
                <w:sz w:val="18"/>
              </w:rPr>
              <w:t>Reduce</w:t>
            </w:r>
          </w:p>
        </w:tc>
        <w:tc>
          <w:tcPr>
            <w:tcW w:type="dxa" w:w="1872"/>
          </w:tcPr>
          <w:p>
            <w:r/>
            <w:r>
              <w:rPr>
                <w:sz w:val="18"/>
              </w:rPr>
              <w:t>$718.60</w:t>
            </w:r>
          </w:p>
        </w:tc>
        <w:tc>
          <w:tcPr>
            <w:tcW w:type="dxa" w:w="5760"/>
          </w:tcPr>
          <w:p>
            <w:r/>
            <w:r>
              <w:rPr>
                <w:sz w:val="18"/>
              </w:rPr>
              <w:t>Capped at $3,500 per month per matter (§7.1); no approval for excess.</w:t>
            </w:r>
          </w:p>
        </w:tc>
      </w:tr>
      <w:tr>
        <w:tc>
          <w:tcPr>
            <w:tcW w:type="dxa" w:w="1152"/>
          </w:tcPr>
          <w:p>
            <w:r/>
            <w:r>
              <w:rPr>
                <w:sz w:val="18"/>
              </w:rPr>
              <w:t>E-007</w:t>
            </w:r>
          </w:p>
        </w:tc>
        <w:tc>
          <w:tcPr>
            <w:tcW w:type="dxa" w:w="2160"/>
          </w:tcPr>
          <w:p>
            <w:r/>
            <w:r>
              <w:rPr>
                <w:sz w:val="18"/>
              </w:rPr>
              <w:t>In-house copying 48,200 pp @ $0.25</w:t>
            </w:r>
          </w:p>
        </w:tc>
        <w:tc>
          <w:tcPr>
            <w:tcW w:type="dxa" w:w="1296"/>
          </w:tcPr>
          <w:p>
            <w:r/>
            <w:r>
              <w:rPr>
                <w:sz w:val="18"/>
              </w:rPr>
              <w:t>$12,050.00</w:t>
            </w:r>
          </w:p>
        </w:tc>
        <w:tc>
          <w:tcPr>
            <w:tcW w:type="dxa" w:w="1296"/>
          </w:tcPr>
          <w:p>
            <w:r/>
            <w:r>
              <w:rPr>
                <w:sz w:val="18"/>
              </w:rPr>
              <w:t>Reduce</w:t>
            </w:r>
          </w:p>
        </w:tc>
        <w:tc>
          <w:tcPr>
            <w:tcW w:type="dxa" w:w="1872"/>
          </w:tcPr>
          <w:p>
            <w:r/>
            <w:r>
              <w:rPr>
                <w:sz w:val="18"/>
              </w:rPr>
              <w:t>$4,820.00</w:t>
            </w:r>
          </w:p>
        </w:tc>
        <w:tc>
          <w:tcPr>
            <w:tcW w:type="dxa" w:w="5760"/>
          </w:tcPr>
          <w:p>
            <w:r/>
            <w:r>
              <w:rPr>
                <w:sz w:val="18"/>
              </w:rPr>
              <w:t>Capped at $0.15/page, so $7,230. The excess is a markup (§7.3). Large-volume copying should be outsourced, and the volume is doubtful given electronic review.</w:t>
            </w:r>
          </w:p>
        </w:tc>
      </w:tr>
      <w:tr>
        <w:tc>
          <w:tcPr>
            <w:tcW w:type="dxa" w:w="1152"/>
          </w:tcPr>
          <w:p>
            <w:r/>
            <w:r>
              <w:rPr>
                <w:sz w:val="18"/>
              </w:rPr>
              <w:t>E-008–E-015</w:t>
            </w:r>
          </w:p>
        </w:tc>
        <w:tc>
          <w:tcPr>
            <w:tcW w:type="dxa" w:w="2160"/>
          </w:tcPr>
          <w:p>
            <w:r/>
            <w:r>
              <w:rPr>
                <w:sz w:val="18"/>
              </w:rPr>
              <w:t>SF travel</w:t>
            </w:r>
          </w:p>
        </w:tc>
        <w:tc>
          <w:tcPr>
            <w:tcW w:type="dxa" w:w="1296"/>
          </w:tcPr>
          <w:p>
            <w:r/>
            <w:r>
              <w:rPr>
                <w:sz w:val="18"/>
              </w:rPr>
              <w:t>$7,234.00</w:t>
            </w:r>
          </w:p>
        </w:tc>
        <w:tc>
          <w:tcPr>
            <w:tcW w:type="dxa" w:w="1296"/>
          </w:tcPr>
          <w:p>
            <w:r/>
            <w:r>
              <w:rPr>
                <w:sz w:val="18"/>
              </w:rPr>
              <w:t>Disallow</w:t>
            </w:r>
          </w:p>
        </w:tc>
        <w:tc>
          <w:tcPr>
            <w:tcW w:type="dxa" w:w="1872"/>
          </w:tcPr>
          <w:p>
            <w:r/>
            <w:r>
              <w:rPr>
                <w:sz w:val="18"/>
              </w:rPr>
              <w:t>$7,234.00</w:t>
            </w:r>
          </w:p>
        </w:tc>
        <w:tc>
          <w:tcPr>
            <w:tcW w:type="dxa" w:w="5760"/>
          </w:tcPr>
          <w:p>
            <w:r/>
            <w:r>
              <w:rPr>
                <w:sz w:val="18"/>
              </w:rPr>
              <w:t>No out-of-forum travel approval (see §4.4).</w:t>
            </w:r>
          </w:p>
        </w:tc>
      </w:tr>
      <w:tr>
        <w:tc>
          <w:tcPr>
            <w:tcW w:type="dxa" w:w="1152"/>
          </w:tcPr>
          <w:p>
            <w:r/>
            <w:r>
              <w:rPr>
                <w:sz w:val="18"/>
              </w:rPr>
              <w:t>E-016</w:t>
            </w:r>
          </w:p>
        </w:tc>
        <w:tc>
          <w:tcPr>
            <w:tcW w:type="dxa" w:w="2160"/>
          </w:tcPr>
          <w:p>
            <w:r/>
            <w:r>
              <w:rPr>
                <w:sz w:val="18"/>
              </w:rPr>
              <w:t>Courier — "various"</w:t>
            </w:r>
          </w:p>
        </w:tc>
        <w:tc>
          <w:tcPr>
            <w:tcW w:type="dxa" w:w="1296"/>
          </w:tcPr>
          <w:p>
            <w:r/>
            <w:r>
              <w:rPr>
                <w:sz w:val="18"/>
              </w:rPr>
              <w:t>$872.04</w:t>
            </w:r>
          </w:p>
        </w:tc>
        <w:tc>
          <w:tcPr>
            <w:tcW w:type="dxa" w:w="1296"/>
          </w:tcPr>
          <w:p>
            <w:r/>
            <w:r>
              <w:rPr>
                <w:sz w:val="18"/>
              </w:rPr>
              <w:t>Withhold</w:t>
            </w:r>
          </w:p>
        </w:tc>
        <w:tc>
          <w:tcPr>
            <w:tcW w:type="dxa" w:w="1872"/>
          </w:tcPr>
          <w:p>
            <w:r/>
            <w:r>
              <w:rPr>
                <w:sz w:val="18"/>
              </w:rPr>
              <w:t>$872.04</w:t>
            </w:r>
          </w:p>
        </w:tc>
        <w:tc>
          <w:tcPr>
            <w:tcW w:type="dxa" w:w="5760"/>
          </w:tcPr>
          <w:p>
            <w:r/>
            <w:r>
              <w:rPr>
                <w:sz w:val="18"/>
              </w:rPr>
              <w:t>Not itemised; §7.2 requires vendor invoices.</w:t>
            </w:r>
          </w:p>
        </w:tc>
      </w:tr>
      <w:tr>
        <w:tc>
          <w:tcPr>
            <w:tcW w:type="dxa" w:w="1152"/>
          </w:tcPr>
          <w:p>
            <w:r/>
            <w:r>
              <w:rPr>
                <w:sz w:val="18"/>
              </w:rPr>
              <w:t>E-017</w:t>
            </w:r>
          </w:p>
        </w:tc>
        <w:tc>
          <w:tcPr>
            <w:tcW w:type="dxa" w:w="2160"/>
          </w:tcPr>
          <w:p>
            <w:r/>
            <w:r>
              <w:rPr>
                <w:sz w:val="18"/>
              </w:rPr>
              <w:t>Relativity hosting</w:t>
            </w:r>
          </w:p>
        </w:tc>
        <w:tc>
          <w:tcPr>
            <w:tcW w:type="dxa" w:w="1296"/>
          </w:tcPr>
          <w:p>
            <w:r/>
            <w:r>
              <w:rPr>
                <w:sz w:val="18"/>
              </w:rPr>
              <w:t>$18,500.00</w:t>
            </w:r>
          </w:p>
        </w:tc>
        <w:tc>
          <w:tcPr>
            <w:tcW w:type="dxa" w:w="1296"/>
          </w:tcPr>
          <w:p>
            <w:r/>
            <w:r>
              <w:rPr>
                <w:sz w:val="18"/>
              </w:rPr>
              <w:t>Reduce + withhold</w:t>
            </w:r>
          </w:p>
        </w:tc>
        <w:tc>
          <w:tcPr>
            <w:tcW w:type="dxa" w:w="1872"/>
          </w:tcPr>
          <w:p>
            <w:r/>
            <w:r>
              <w:rPr>
                <w:sz w:val="18"/>
              </w:rPr>
              <w:t>$3,500.00 + $15,000.00 withheld</w:t>
            </w:r>
          </w:p>
        </w:tc>
        <w:tc>
          <w:tcPr>
            <w:tcW w:type="dxa" w:w="5760"/>
          </w:tcPr>
          <w:p>
            <w:r/>
            <w:r>
              <w:rPr>
                <w:sz w:val="18"/>
              </w:rPr>
              <w:t>PA-004 approved hosting through third-party vendor CloudStar Technologies at an estimated $12–15K/month. The invoice does not name the vendor. If this is a firm-internal platform, it is not reimbursable at all (§7.1(c)). Amount above the approved range is disallowed. The balance is withheld pending the CloudStar invoice and confirmation that the Phase II review phase is still ongoing.</w:t>
            </w:r>
          </w:p>
        </w:tc>
      </w:tr>
      <w:tr>
        <w:tc>
          <w:tcPr>
            <w:tcW w:type="dxa" w:w="1152"/>
          </w:tcPr>
          <w:p>
            <w:r/>
            <w:r>
              <w:rPr>
                <w:sz w:val="18"/>
              </w:rPr>
              <w:t>E-018</w:t>
            </w:r>
          </w:p>
        </w:tc>
        <w:tc>
          <w:tcPr>
            <w:tcW w:type="dxa" w:w="2160"/>
          </w:tcPr>
          <w:p>
            <w:r/>
            <w:r>
              <w:rPr>
                <w:sz w:val="18"/>
              </w:rPr>
              <w:t>After-hours word processing / admin</w:t>
            </w:r>
          </w:p>
        </w:tc>
        <w:tc>
          <w:tcPr>
            <w:tcW w:type="dxa" w:w="1296"/>
          </w:tcPr>
          <w:p>
            <w:r/>
            <w:r>
              <w:rPr>
                <w:sz w:val="18"/>
              </w:rPr>
              <w:t>$2,345.00</w:t>
            </w:r>
          </w:p>
        </w:tc>
        <w:tc>
          <w:tcPr>
            <w:tcW w:type="dxa" w:w="1296"/>
          </w:tcPr>
          <w:p>
            <w:r/>
            <w:r>
              <w:rPr>
                <w:sz w:val="18"/>
              </w:rPr>
              <w:t>Disallow</w:t>
            </w:r>
          </w:p>
        </w:tc>
        <w:tc>
          <w:tcPr>
            <w:tcW w:type="dxa" w:w="1872"/>
          </w:tcPr>
          <w:p>
            <w:r/>
            <w:r>
              <w:rPr>
                <w:sz w:val="18"/>
              </w:rPr>
              <w:t>$2,345.00</w:t>
            </w:r>
          </w:p>
        </w:tc>
        <w:tc>
          <w:tcPr>
            <w:tcW w:type="dxa" w:w="5760"/>
          </w:tcPr>
          <w:p>
            <w:r/>
            <w:r>
              <w:rPr>
                <w:sz w:val="18"/>
              </w:rPr>
              <w:t>§7.1(a),(d); Engagement Letter §5.</w:t>
            </w:r>
          </w:p>
        </w:tc>
      </w:tr>
      <w:tr>
        <w:tc>
          <w:tcPr>
            <w:tcW w:type="dxa" w:w="1152"/>
          </w:tcPr>
          <w:p>
            <w:r/>
            <w:r>
              <w:rPr>
                <w:sz w:val="18"/>
              </w:rPr>
              <w:t>E-019</w:t>
            </w:r>
          </w:p>
        </w:tc>
        <w:tc>
          <w:tcPr>
            <w:tcW w:type="dxa" w:w="2160"/>
          </w:tcPr>
          <w:p>
            <w:r/>
            <w:r>
              <w:rPr>
                <w:sz w:val="18"/>
              </w:rPr>
              <w:t>Technology surcharge 2%</w:t>
            </w:r>
          </w:p>
        </w:tc>
        <w:tc>
          <w:tcPr>
            <w:tcW w:type="dxa" w:w="1296"/>
          </w:tcPr>
          <w:p>
            <w:r/>
            <w:r>
              <w:rPr>
                <w:sz w:val="18"/>
              </w:rPr>
              <w:t>$4,853.74</w:t>
            </w:r>
          </w:p>
        </w:tc>
        <w:tc>
          <w:tcPr>
            <w:tcW w:type="dxa" w:w="1296"/>
          </w:tcPr>
          <w:p>
            <w:r/>
            <w:r>
              <w:rPr>
                <w:sz w:val="18"/>
              </w:rPr>
              <w:t>Disallow</w:t>
            </w:r>
          </w:p>
        </w:tc>
        <w:tc>
          <w:tcPr>
            <w:tcW w:type="dxa" w:w="1872"/>
          </w:tcPr>
          <w:p>
            <w:r/>
            <w:r>
              <w:rPr>
                <w:sz w:val="18"/>
              </w:rPr>
              <w:t>$4,853.74</w:t>
            </w:r>
          </w:p>
        </w:tc>
        <w:tc>
          <w:tcPr>
            <w:tcW w:type="dxa" w:w="5760"/>
          </w:tcPr>
          <w:p>
            <w:r/>
            <w:r>
              <w:rPr>
                <w:sz w:val="18"/>
              </w:rPr>
              <w:t>§7.1(b); §7.3 (surcharge prohibited).</w:t>
            </w:r>
          </w:p>
        </w:tc>
      </w:tr>
      <w:tr>
        <w:tc>
          <w:tcPr>
            <w:tcW w:type="dxa" w:w="1152"/>
          </w:tcPr>
          <w:p>
            <w:r/>
            <w:r>
              <w:rPr>
                <w:sz w:val="18"/>
              </w:rPr>
              <w:t>E-020</w:t>
            </w:r>
          </w:p>
        </w:tc>
        <w:tc>
          <w:tcPr>
            <w:tcW w:type="dxa" w:w="2160"/>
          </w:tcPr>
          <w:p>
            <w:r/>
            <w:r>
              <w:rPr>
                <w:sz w:val="18"/>
              </w:rPr>
              <w:t>Forrest Data Solutions</w:t>
            </w:r>
          </w:p>
        </w:tc>
        <w:tc>
          <w:tcPr>
            <w:tcW w:type="dxa" w:w="1296"/>
          </w:tcPr>
          <w:p>
            <w:r/>
            <w:r>
              <w:rPr>
                <w:sz w:val="18"/>
              </w:rPr>
              <w:t>$48,250.00</w:t>
            </w:r>
          </w:p>
        </w:tc>
        <w:tc>
          <w:tcPr>
            <w:tcW w:type="dxa" w:w="1296"/>
          </w:tcPr>
          <w:p>
            <w:r/>
            <w:r>
              <w:rPr>
                <w:sz w:val="18"/>
              </w:rPr>
              <w:t>Disallow</w:t>
            </w:r>
          </w:p>
        </w:tc>
        <w:tc>
          <w:tcPr>
            <w:tcW w:type="dxa" w:w="1872"/>
          </w:tcPr>
          <w:p>
            <w:r/>
            <w:r>
              <w:rPr>
                <w:sz w:val="18"/>
              </w:rPr>
              <w:t>$48,250.00</w:t>
            </w:r>
          </w:p>
        </w:tc>
        <w:tc>
          <w:tcPr>
            <w:tcW w:type="dxa" w:w="5760"/>
          </w:tcPr>
          <w:p>
            <w:r/>
            <w:r>
              <w:rPr>
                <w:sz w:val="18"/>
              </w:rPr>
              <w:t>A single expense over $10,000 and a vendor over $10,000 require prior approval (§9.1(2),(7)); none in the log. The vendor is not the approved CloudStar, and the charge includes "hosting." Fee entries 37 and 39 show the vendor was engaged during the trip on 10/8–10/9 without a request.</w:t>
            </w:r>
          </w:p>
        </w:tc>
      </w:tr>
      <w:tr>
        <w:tc>
          <w:tcPr>
            <w:tcW w:type="dxa" w:w="1152"/>
          </w:tcPr>
          <w:p>
            <w:r/>
            <w:r>
              <w:rPr>
                <w:sz w:val="18"/>
              </w:rPr>
              <w:t>E-021</w:t>
            </w:r>
          </w:p>
        </w:tc>
        <w:tc>
          <w:tcPr>
            <w:tcW w:type="dxa" w:w="2160"/>
          </w:tcPr>
          <w:p>
            <w:r/>
            <w:r>
              <w:rPr>
                <w:sz w:val="18"/>
              </w:rPr>
              <w:t>Brixton &amp; Associates (local counsel, SF)</w:t>
            </w:r>
          </w:p>
        </w:tc>
        <w:tc>
          <w:tcPr>
            <w:tcW w:type="dxa" w:w="1296"/>
          </w:tcPr>
          <w:p>
            <w:r/>
            <w:r>
              <w:rPr>
                <w:sz w:val="18"/>
              </w:rPr>
              <w:t>$1,500.00</w:t>
            </w:r>
          </w:p>
        </w:tc>
        <w:tc>
          <w:tcPr>
            <w:tcW w:type="dxa" w:w="1296"/>
          </w:tcPr>
          <w:p>
            <w:r/>
            <w:r>
              <w:rPr>
                <w:sz w:val="18"/>
              </w:rPr>
              <w:t>Disallow</w:t>
            </w:r>
          </w:p>
        </w:tc>
        <w:tc>
          <w:tcPr>
            <w:tcW w:type="dxa" w:w="1872"/>
          </w:tcPr>
          <w:p>
            <w:r/>
            <w:r>
              <w:rPr>
                <w:sz w:val="18"/>
              </w:rPr>
              <w:t>$1,500.00</w:t>
            </w:r>
          </w:p>
        </w:tc>
        <w:tc>
          <w:tcPr>
            <w:tcW w:type="dxa" w:w="5760"/>
          </w:tcPr>
          <w:p>
            <w:r/>
            <w:r>
              <w:rPr>
                <w:sz w:val="18"/>
              </w:rPr>
              <w:t>Engaging local counsel requires prior approval with firm, attorney, rates and scope (§9.1(5); EL §8(5)). None in the log. Also ask whether Brixton has billed or will bill more.</w:t>
            </w:r>
          </w:p>
        </w:tc>
      </w:tr>
      <w:tr>
        <w:tc>
          <w:tcPr>
            <w:tcW w:type="dxa" w:w="1152"/>
          </w:tcPr>
          <w:p>
            <w:r/>
            <w:r>
              <w:rPr>
                <w:sz w:val="18"/>
              </w:rPr>
              <w:t>E-022</w:t>
            </w:r>
          </w:p>
        </w:tc>
        <w:tc>
          <w:tcPr>
            <w:tcW w:type="dxa" w:w="2160"/>
          </w:tcPr>
          <w:p>
            <w:r/>
            <w:r>
              <w:rPr>
                <w:sz w:val="18"/>
              </w:rPr>
              <w:t>Filing fees / service of process</w:t>
            </w:r>
          </w:p>
        </w:tc>
        <w:tc>
          <w:tcPr>
            <w:tcW w:type="dxa" w:w="1296"/>
          </w:tcPr>
          <w:p>
            <w:r/>
            <w:r>
              <w:rPr>
                <w:sz w:val="18"/>
              </w:rPr>
              <w:t>$456.26</w:t>
            </w:r>
          </w:p>
        </w:tc>
        <w:tc>
          <w:tcPr>
            <w:tcW w:type="dxa" w:w="1296"/>
          </w:tcPr>
          <w:p>
            <w:r/>
            <w:r>
              <w:rPr>
                <w:sz w:val="18"/>
              </w:rPr>
              <w:t>Allow*</w:t>
            </w:r>
          </w:p>
        </w:tc>
        <w:tc>
          <w:tcPr>
            <w:tcW w:type="dxa" w:w="1872"/>
          </w:tcPr>
          <w:p>
            <w:r/>
            <w:r>
              <w:rPr>
                <w:sz w:val="18"/>
              </w:rPr>
              <w:t>—</w:t>
            </w:r>
          </w:p>
        </w:tc>
        <w:tc>
          <w:tcPr>
            <w:tcW w:type="dxa" w:w="5760"/>
          </w:tcPr>
          <w:p>
            <w:r/>
            <w:r>
              <w:rPr>
                <w:sz w:val="18"/>
              </w:rPr>
              <w:t>No approval required. *Receipts required; Nexon service costs fall within PA-006 ($5,000).</w:t>
            </w:r>
          </w:p>
        </w:tc>
      </w:tr>
    </w:tbl>
    <w:p/>
    <w:p>
      <w:pPr>
        <w:pStyle w:val="Heading2"/>
      </w:pPr>
      <w:r>
        <w:t>4.7 Budget and invoice-level requirements (D-18, D-19)</w:t>
      </w:r>
    </w:p>
    <w:p>
      <w:pPr>
        <w:pStyle w:val="ListBullet"/>
      </w:pPr>
      <w:r>
        <w:rPr>
          <w:b/>
        </w:rPr>
        <w:t>75% threshold (D-18).</w:t>
      </w:r>
      <w:r>
        <w:t xml:space="preserve"> Cumulative 2024 spend through September was $1,743,612.00 (62.3%). October takes it to $2,230,941.14 on the firm's figures or $2,257,818.14 on the line items. Either way it is above the $2,100,000 threshold, which triggers the §10.1 / Engagement Letter §7 requirement to give written notice within 5 business days, with a summary of work, the remaining tasks and a revised estimate for the year. The transmittal email and the Matter Status tab give a utilisation figure (79.7%) but no notice, no description of remaining work and no revised budget.</w:t>
      </w:r>
    </w:p>
    <w:p>
      <w:pPr>
        <w:pStyle w:val="ListBullet"/>
      </w:pPr>
      <w:r>
        <w:rPr>
          <w:b/>
        </w:rPr>
        <w:t>Budget trajectory.</w:t>
      </w:r>
      <w:r>
        <w:t xml:space="preserve"> This invoice is more than twice the 2024 monthly average of about $193,700. With $569,058.86 remaining on the firm's own figures, and expert reports due December 20, 2024, the matter is likely to overrun the budget. An overrun of more than 10% ($280,000) requires a meeting between the lead partner and the General Counsel (§10.1). VIH should ask for a November–December forecast now.</w:t>
      </w:r>
    </w:p>
    <w:p>
      <w:pPr>
        <w:pStyle w:val="ListBullet"/>
      </w:pPr>
      <w:r>
        <w:rPr>
          <w:b/>
        </w:rPr>
        <w:t>$350,000 monthly threshold (D-19).</w:t>
      </w:r>
      <w:r>
        <w:t xml:space="preserve"> Any invoice over $350,000 must be accompanied by a written explanation of the cost drivers, why the work was necessary and the expected spending trajectory. None was provided. The email simply states the total.</w:t>
      </w:r>
    </w:p>
    <w:p>
      <w:pPr>
        <w:pStyle w:val="ListBullet"/>
      </w:pPr>
      <w:r>
        <w:rPr>
          <w:b/>
        </w:rPr>
        <w:t>Timing / status summary.</w:t>
      </w:r>
      <w:r>
        <w:t xml:space="preserve"> The invoice was submitted on November 4, within 45 days of month-end (compliant). The Matter Status tab includes upcoming deadlines (compliant in form, but see D-22 on accuracy).</w:t>
      </w:r>
    </w:p>
    <w:p>
      <w:pPr>
        <w:pStyle w:val="Heading2"/>
      </w:pPr>
      <w:r>
        <w:t>4.8 Transmittal email and status-summary accuracy (D-22)</w:t>
      </w:r>
    </w:p>
    <w:p>
      <w:pPr>
        <w:pStyle w:val="ListBullet"/>
      </w:pPr>
      <w:r>
        <w:rPr>
          <w:b/>
        </w:rPr>
        <w:t>Omitted depositions.</w:t>
      </w:r>
      <w:r>
        <w:t xml:space="preserve"> The email mentions only the Torres deposition. The Matter Status tab and the time entries show that the Lindgren (10/18) and Nakamura (10/24) depositions were also taken.</w:t>
      </w:r>
    </w:p>
    <w:p>
      <w:pPr>
        <w:pStyle w:val="ListBullet"/>
      </w:pPr>
      <w:r>
        <w:rPr>
          <w:b/>
        </w:rPr>
        <w:t>Motion filing status.</w:t>
      </w:r>
      <w:r>
        <w:t xml:space="preserve"> The email says the protective-order motion will be filed "in early November." Entries 124 ("coordinate electronic filing with court clerk"), 120 ("prepare final filing package") and 126 ("Final review … prior to filing") suggest it was filed in October. The firm should confirm the filing status. If the motion has not been filed, entry 124 should be revisited.</w:t>
      </w:r>
    </w:p>
    <w:p>
      <w:pPr>
        <w:pStyle w:val="ListBullet"/>
      </w:pPr>
      <w:r>
        <w:rPr>
          <w:b/>
        </w:rPr>
        <w:t>Non-disclosure.</w:t>
      </w:r>
      <w:r>
        <w:t xml:space="preserve"> The email does not mention the summer associate, the expired contract-attorney approval, the Forrest vendor, local counsel, or the fact that San Francisco travel had not been approved. It justifies two attorneys at the inspection "to ensure a comprehensive review" but does not refer to any approval. Under §1.2, submitting an invoice is a representation that it complies with the Guidelines.</w:t>
      </w:r>
    </w:p>
    <w:p>
      <w:pPr>
        <w:pStyle w:val="ListBullet"/>
      </w:pPr>
      <w:r>
        <w:rPr>
          <w:b/>
        </w:rPr>
        <w:t>Name inconsistency.</w:t>
      </w:r>
      <w:r>
        <w:t xml:space="preserve"> The narratives spell the senior associate's name "Pryce-Hall," and so does the cc email address (jprycehall@). Exhibit A and the timekeeper records use "Pryor-Hall." The firm should confirm the timekeeper identity for the LEDES record.</w:t>
      </w:r>
    </w:p>
    <w:p>
      <w:pPr>
        <w:pStyle w:val="ListBullet"/>
      </w:pPr>
      <w:r>
        <w:rPr>
          <w:b/>
        </w:rPr>
        <w:t>Post-close fact discovery.</w:t>
      </w:r>
      <w:r>
        <w:t xml:space="preserve"> Fact discovery closed September 15, 2024, but three fact-witness depositions and a third-party document inspection took place in October. The firm should confirm the authority for this (stipulation or court order), because it affects the scope of PA-003 and PA-006.</w:t>
      </w:r>
    </w:p>
    <w:p>
      <w:pPr>
        <w:pStyle w:val="Heading1"/>
      </w:pPr>
      <w:r>
        <w:t>5. Discretionary Review Items (not included in recommended totals)</w:t>
      </w:r>
    </w:p>
    <w:tbl>
      <w:tblPr>
        <w:tblStyle w:val="TableGrid"/>
        <w:tblW w:type="auto" w:w="0"/>
        <w:tblLook w:firstColumn="1" w:firstRow="1" w:lastColumn="0" w:lastRow="0" w:noHBand="0" w:noVBand="1" w:val="04A0"/>
      </w:tblPr>
      <w:tblGrid>
        <w:gridCol w:w="2765"/>
        <w:gridCol w:w="2765"/>
        <w:gridCol w:w="2765"/>
        <w:gridCol w:w="2765"/>
        <w:gridCol w:w="2765"/>
      </w:tblGrid>
      <w:tr>
        <w:tc>
          <w:tcPr>
            <w:tcW w:type="dxa" w:w="1296"/>
            <w:shd w:val="clear" w:color="auto" w:fill="1F3A5F"/>
          </w:tcPr>
          <w:p>
            <w:r/>
            <w:r>
              <w:rPr>
                <w:b/>
                <w:color w:val="FFFFFF"/>
                <w:sz w:val="18"/>
              </w:rPr>
              <w:t>Entries</w:t>
            </w:r>
          </w:p>
        </w:tc>
        <w:tc>
          <w:tcPr>
            <w:tcW w:type="dxa" w:w="5760"/>
            <w:shd w:val="clear" w:color="auto" w:fill="1F3A5F"/>
          </w:tcPr>
          <w:p>
            <w:r/>
            <w:r>
              <w:rPr>
                <w:b/>
                <w:color w:val="FFFFFF"/>
                <w:sz w:val="18"/>
              </w:rPr>
              <w:t>Issue</w:t>
            </w:r>
          </w:p>
        </w:tc>
        <w:tc>
          <w:tcPr>
            <w:tcW w:type="dxa" w:w="1728"/>
            <w:shd w:val="clear" w:color="auto" w:fill="1F3A5F"/>
          </w:tcPr>
          <w:p>
            <w:r/>
            <w:r>
              <w:rPr>
                <w:b/>
                <w:color w:val="FFFFFF"/>
                <w:sz w:val="18"/>
              </w:rPr>
              <w:t>Amount at issue</w:t>
            </w:r>
          </w:p>
        </w:tc>
        <w:tc>
          <w:tcPr>
            <w:tcW w:type="dxa" w:w="1728"/>
            <w:shd w:val="clear" w:color="auto" w:fill="1F3A5F"/>
          </w:tcPr>
          <w:p>
            <w:r/>
            <w:r>
              <w:rPr>
                <w:b/>
                <w:color w:val="FFFFFF"/>
                <w:sz w:val="18"/>
              </w:rPr>
              <w:t>Authority</w:t>
            </w:r>
          </w:p>
        </w:tc>
        <w:tc>
          <w:tcPr>
            <w:tcW w:type="dxa" w:w="3024"/>
            <w:shd w:val="clear" w:color="auto" w:fill="1F3A5F"/>
          </w:tcPr>
          <w:p>
            <w:r/>
            <w:r>
              <w:rPr>
                <w:b/>
                <w:color w:val="FFFFFF"/>
                <w:sz w:val="18"/>
              </w:rPr>
              <w:t>Suggested position</w:t>
            </w:r>
          </w:p>
        </w:tc>
      </w:tr>
      <w:tr>
        <w:tc>
          <w:tcPr>
            <w:tcW w:type="dxa" w:w="1296"/>
          </w:tcPr>
          <w:p>
            <w:r/>
            <w:r>
              <w:rPr>
                <w:sz w:val="18"/>
              </w:rPr>
              <w:t>33, 39</w:t>
            </w:r>
          </w:p>
        </w:tc>
        <w:tc>
          <w:tcPr>
            <w:tcW w:type="dxa" w:w="5760"/>
          </w:tcPr>
          <w:p>
            <w:r/>
            <w:r>
              <w:rPr>
                <w:sz w:val="18"/>
              </w:rPr>
              <w:t>Second attorney (Pryor-Hall) at the Nexon document inspection alongside the lead partner; review and cataloguing could have been done by one attorney or a more junior one</w:t>
            </w:r>
          </w:p>
        </w:tc>
        <w:tc>
          <w:tcPr>
            <w:tcW w:type="dxa" w:w="1728"/>
          </w:tcPr>
          <w:p>
            <w:r/>
            <w:r>
              <w:rPr>
                <w:sz w:val="18"/>
              </w:rPr>
              <w:t>$7,762.50</w:t>
            </w:r>
          </w:p>
        </w:tc>
        <w:tc>
          <w:tcPr>
            <w:tcW w:type="dxa" w:w="1728"/>
          </w:tcPr>
          <w:p>
            <w:r/>
            <w:r>
              <w:rPr>
                <w:sz w:val="18"/>
              </w:rPr>
              <w:t>§4.3(f); §5.2</w:t>
            </w:r>
          </w:p>
        </w:tc>
        <w:tc>
          <w:tcPr>
            <w:tcW w:type="dxa" w:w="3024"/>
          </w:tcPr>
          <w:p>
            <w:r/>
            <w:r>
              <w:rPr>
                <w:sz w:val="18"/>
              </w:rPr>
              <w:t>Ask for justification; consider disallowing</w:t>
            </w:r>
          </w:p>
        </w:tc>
      </w:tr>
      <w:tr>
        <w:tc>
          <w:tcPr>
            <w:tcW w:type="dxa" w:w="1296"/>
          </w:tcPr>
          <w:p>
            <w:r/>
            <w:r>
              <w:rPr>
                <w:sz w:val="18"/>
              </w:rPr>
              <w:t>68, 69</w:t>
            </w:r>
          </w:p>
        </w:tc>
        <w:tc>
          <w:tcPr>
            <w:tcW w:type="dxa" w:w="5760"/>
          </w:tcPr>
          <w:p>
            <w:r/>
            <w:r>
              <w:rPr>
                <w:sz w:val="18"/>
              </w:rPr>
              <w:t>Tanaka and DeVries each reviewed the Torres transcript, in addition to Pryor-Hall's summary (67)</w:t>
            </w:r>
          </w:p>
        </w:tc>
        <w:tc>
          <w:tcPr>
            <w:tcW w:type="dxa" w:w="1728"/>
          </w:tcPr>
          <w:p>
            <w:r/>
            <w:r>
              <w:rPr>
                <w:sz w:val="18"/>
              </w:rPr>
              <w:t>$3,147.50</w:t>
            </w:r>
          </w:p>
        </w:tc>
        <w:tc>
          <w:tcPr>
            <w:tcW w:type="dxa" w:w="1728"/>
          </w:tcPr>
          <w:p>
            <w:r/>
            <w:r>
              <w:rPr>
                <w:sz w:val="18"/>
              </w:rPr>
              <w:t>§4.3(f)</w:t>
            </w:r>
          </w:p>
        </w:tc>
        <w:tc>
          <w:tcPr>
            <w:tcW w:type="dxa" w:w="3024"/>
          </w:tcPr>
          <w:p>
            <w:r/>
            <w:r>
              <w:rPr>
                <w:sz w:val="18"/>
              </w:rPr>
              <w:t>Consider disallowing as duplicative</w:t>
            </w:r>
          </w:p>
        </w:tc>
      </w:tr>
      <w:tr>
        <w:tc>
          <w:tcPr>
            <w:tcW w:type="dxa" w:w="1296"/>
          </w:tcPr>
          <w:p>
            <w:r/>
            <w:r>
              <w:rPr>
                <w:sz w:val="18"/>
              </w:rPr>
              <w:t>108</w:t>
            </w:r>
          </w:p>
        </w:tc>
        <w:tc>
          <w:tcPr>
            <w:tcW w:type="dxa" w:w="5760"/>
          </w:tcPr>
          <w:p>
            <w:r/>
            <w:r>
              <w:rPr>
                <w:sz w:val="18"/>
              </w:rPr>
              <w:t>DeVries reviewed the Nakamura transcript, in addition to Messina (105) and Pryor-Hall (106)</w:t>
            </w:r>
          </w:p>
        </w:tc>
        <w:tc>
          <w:tcPr>
            <w:tcW w:type="dxa" w:w="1728"/>
          </w:tcPr>
          <w:p>
            <w:r/>
            <w:r>
              <w:rPr>
                <w:sz w:val="18"/>
              </w:rPr>
              <w:t>$1,365.00</w:t>
            </w:r>
          </w:p>
        </w:tc>
        <w:tc>
          <w:tcPr>
            <w:tcW w:type="dxa" w:w="1728"/>
          </w:tcPr>
          <w:p>
            <w:r/>
            <w:r>
              <w:rPr>
                <w:sz w:val="18"/>
              </w:rPr>
              <w:t>§4.3(f)</w:t>
            </w:r>
          </w:p>
        </w:tc>
        <w:tc>
          <w:tcPr>
            <w:tcW w:type="dxa" w:w="3024"/>
          </w:tcPr>
          <w:p>
            <w:r/>
            <w:r>
              <w:rPr>
                <w:sz w:val="18"/>
              </w:rPr>
              <w:t>Consider disallowing</w:t>
            </w:r>
          </w:p>
        </w:tc>
      </w:tr>
      <w:tr>
        <w:tc>
          <w:tcPr>
            <w:tcW w:type="dxa" w:w="1296"/>
          </w:tcPr>
          <w:p>
            <w:r/>
            <w:r>
              <w:rPr>
                <w:sz w:val="18"/>
              </w:rPr>
              <w:t>46</w:t>
            </w:r>
          </w:p>
        </w:tc>
        <w:tc>
          <w:tcPr>
            <w:tcW w:type="dxa" w:w="5760"/>
          </w:tcPr>
          <w:p>
            <w:r/>
            <w:r>
              <w:rPr>
                <w:sz w:val="18"/>
              </w:rPr>
              <w:t>"Supplemental" research memo on the same topic as entry 22 (permissible deposition topics for former employees)</w:t>
            </w:r>
          </w:p>
        </w:tc>
        <w:tc>
          <w:tcPr>
            <w:tcW w:type="dxa" w:w="1728"/>
          </w:tcPr>
          <w:p>
            <w:r/>
            <w:r>
              <w:rPr>
                <w:sz w:val="18"/>
              </w:rPr>
              <w:t>$1,137.50</w:t>
            </w:r>
          </w:p>
        </w:tc>
        <w:tc>
          <w:tcPr>
            <w:tcW w:type="dxa" w:w="1728"/>
          </w:tcPr>
          <w:p>
            <w:r/>
            <w:r>
              <w:rPr>
                <w:sz w:val="18"/>
              </w:rPr>
              <w:t>§4.3(f)</w:t>
            </w:r>
          </w:p>
        </w:tc>
        <w:tc>
          <w:tcPr>
            <w:tcW w:type="dxa" w:w="3024"/>
          </w:tcPr>
          <w:p>
            <w:r/>
            <w:r>
              <w:rPr>
                <w:sz w:val="18"/>
              </w:rPr>
              <w:t>Request work product / justification</w:t>
            </w:r>
          </w:p>
        </w:tc>
      </w:tr>
      <w:tr>
        <w:tc>
          <w:tcPr>
            <w:tcW w:type="dxa" w:w="1296"/>
          </w:tcPr>
          <w:p>
            <w:r/>
            <w:r>
              <w:rPr>
                <w:sz w:val="18"/>
              </w:rPr>
              <w:t>138</w:t>
            </w:r>
          </w:p>
        </w:tc>
        <w:tc>
          <w:tcPr>
            <w:tcW w:type="dxa" w:w="5760"/>
          </w:tcPr>
          <w:p>
            <w:r/>
            <w:r>
              <w:rPr>
                <w:sz w:val="18"/>
              </w:rPr>
              <w:t>"Archive completed deposition materials" and month-end reports — administrative</w:t>
            </w:r>
          </w:p>
        </w:tc>
        <w:tc>
          <w:tcPr>
            <w:tcW w:type="dxa" w:w="1728"/>
          </w:tcPr>
          <w:p>
            <w:r/>
            <w:r>
              <w:rPr>
                <w:sz w:val="18"/>
              </w:rPr>
              <w:t>$780.00</w:t>
            </w:r>
          </w:p>
        </w:tc>
        <w:tc>
          <w:tcPr>
            <w:tcW w:type="dxa" w:w="1728"/>
          </w:tcPr>
          <w:p>
            <w:r/>
            <w:r>
              <w:rPr>
                <w:sz w:val="18"/>
              </w:rPr>
              <w:t>§4.3(b)</w:t>
            </w:r>
          </w:p>
        </w:tc>
        <w:tc>
          <w:tcPr>
            <w:tcW w:type="dxa" w:w="3024"/>
          </w:tcPr>
          <w:p>
            <w:r/>
            <w:r>
              <w:rPr>
                <w:sz w:val="18"/>
              </w:rPr>
              <w:t>Consider disallowing</w:t>
            </w:r>
          </w:p>
        </w:tc>
      </w:tr>
      <w:tr>
        <w:tc>
          <w:tcPr>
            <w:tcW w:type="dxa" w:w="1296"/>
          </w:tcPr>
          <w:p>
            <w:r/>
            <w:r>
              <w:rPr>
                <w:sz w:val="18"/>
              </w:rPr>
              <w:t>124</w:t>
            </w:r>
          </w:p>
        </w:tc>
        <w:tc>
          <w:tcPr>
            <w:tcW w:type="dxa" w:w="5760"/>
          </w:tcPr>
          <w:p>
            <w:r/>
            <w:r>
              <w:rPr>
                <w:sz w:val="18"/>
              </w:rPr>
              <w:t>Filing coordination, if the motion was not in fact filed in October</w:t>
            </w:r>
          </w:p>
        </w:tc>
        <w:tc>
          <w:tcPr>
            <w:tcW w:type="dxa" w:w="1728"/>
          </w:tcPr>
          <w:p>
            <w:r/>
            <w:r>
              <w:rPr>
                <w:sz w:val="18"/>
              </w:rPr>
              <w:t>$682.50</w:t>
            </w:r>
          </w:p>
        </w:tc>
        <w:tc>
          <w:tcPr>
            <w:tcW w:type="dxa" w:w="1728"/>
          </w:tcPr>
          <w:p>
            <w:r/>
            <w:r>
              <w:rPr>
                <w:sz w:val="18"/>
              </w:rPr>
              <w:t>§4.3(c)</w:t>
            </w:r>
          </w:p>
        </w:tc>
        <w:tc>
          <w:tcPr>
            <w:tcW w:type="dxa" w:w="3024"/>
          </w:tcPr>
          <w:p>
            <w:r/>
            <w:r>
              <w:rPr>
                <w:sz w:val="18"/>
              </w:rPr>
              <w:t>Depends on filing status</w:t>
            </w:r>
          </w:p>
        </w:tc>
      </w:tr>
      <w:tr>
        <w:tc>
          <w:tcPr>
            <w:tcW w:type="dxa" w:w="1296"/>
          </w:tcPr>
          <w:p>
            <w:r/>
            <w:r>
              <w:rPr>
                <w:sz w:val="18"/>
              </w:rPr>
              <w:t>Total</w:t>
            </w:r>
          </w:p>
        </w:tc>
        <w:tc>
          <w:tcPr>
            <w:tcW w:type="dxa" w:w="5760"/>
          </w:tcPr>
          <w:p>
            <w:r/>
            <w:r>
              <w:rPr>
                <w:sz w:val="18"/>
              </w:rPr>
            </w:r>
          </w:p>
        </w:tc>
        <w:tc>
          <w:tcPr>
            <w:tcW w:type="dxa" w:w="1728"/>
          </w:tcPr>
          <w:p>
            <w:r/>
            <w:r>
              <w:rPr>
                <w:sz w:val="18"/>
              </w:rPr>
              <w:t>$14,875.00</w:t>
            </w:r>
          </w:p>
        </w:tc>
        <w:tc>
          <w:tcPr>
            <w:tcW w:type="dxa" w:w="1728"/>
          </w:tcPr>
          <w:p>
            <w:r/>
            <w:r>
              <w:rPr>
                <w:sz w:val="18"/>
              </w:rPr>
            </w:r>
          </w:p>
        </w:tc>
        <w:tc>
          <w:tcPr>
            <w:tcW w:type="dxa" w:w="3024"/>
          </w:tcPr>
          <w:p>
            <w:r/>
            <w:r>
              <w:rPr>
                <w:sz w:val="18"/>
              </w:rPr>
            </w:r>
          </w:p>
        </w:tc>
      </w:tr>
    </w:tbl>
    <w:p/>
    <w:p>
      <w:r>
        <w:rPr>
          <w:b w:val="0"/>
          <w:i w:val="0"/>
        </w:rPr>
        <w:t>Other staffing observations: five timekeepers billed about 60 hours preparing for the Torres deposition. The lead partner billed routine items such as reviewing the case management order (entry 1, 1.5h). Deposition preparation entries at several levels overlap (e.g., DeVries 57 and Tanaka 51 both prepared a "deposition summary template"). VIH may reclassify or reduce these under §5.2.</w:t>
      </w:r>
    </w:p>
    <w:p>
      <w:pPr>
        <w:pStyle w:val="Heading1"/>
      </w:pPr>
      <w:r>
        <w:t>6. Items Tested and Found Compliant</w:t>
      </w:r>
    </w:p>
    <w:p>
      <w:pPr>
        <w:pStyle w:val="ListBullet"/>
      </w:pPr>
      <w:r>
        <w:t>All billed rates for approved timekeepers (Messina $895, Pryor-Hall $575, Tanaka $425, DeVries $325, Briggs $195, Rosenberg $195) match Exhibit A and the approval log. No retroactive rate increases.</w:t>
      </w:r>
    </w:p>
    <w:p>
      <w:pPr>
        <w:pStyle w:val="ListBullet"/>
      </w:pPr>
      <w:r>
        <w:t>All time is recorded in 0.1-hour increments.</w:t>
      </w:r>
    </w:p>
    <w:p>
      <w:pPr>
        <w:pStyle w:val="ListBullet"/>
      </w:pPr>
      <w:r>
        <w:t>The motion for protective order is not dispositive, so no §9.1(4) approval was required. No dispositive motion or appeal was billed.</w:t>
      </w:r>
    </w:p>
    <w:p>
      <w:pPr>
        <w:pStyle w:val="ListBullet"/>
      </w:pPr>
      <w:r>
        <w:t>Expert retentions (Voss, Huang) were pre-approved at stated rates. Billing is subject to documentation and cap monitoring (D-16).</w:t>
      </w:r>
    </w:p>
    <w:p>
      <w:pPr>
        <w:pStyle w:val="ListBullet"/>
      </w:pPr>
      <w:r>
        <w:t>Lindgren deposition staffing (two attorneys) is within §5.1.</w:t>
      </w:r>
    </w:p>
    <w:p>
      <w:pPr>
        <w:pStyle w:val="ListBullet"/>
      </w:pPr>
      <w:r>
        <w:t>Pryor-Hall economy airfare, ride-share and meals are within policy (the travel itself was unapproved).</w:t>
      </w:r>
    </w:p>
    <w:p>
      <w:pPr>
        <w:pStyle w:val="ListBullet"/>
      </w:pPr>
      <w:r>
        <w:t>The invoice was submitted within 45 days. It includes the invoice number and date, matter name, case number, billing period and a matter status summary.</w:t>
      </w:r>
    </w:p>
    <w:p>
      <w:pPr>
        <w:pStyle w:val="Heading1"/>
      </w:pPr>
      <w:r>
        <w:t>7. Recommended Adjustment Schedule</w:t>
      </w:r>
    </w:p>
    <w:tbl>
      <w:tblPr>
        <w:tblStyle w:val="TableGrid"/>
        <w:tblW w:type="auto" w:w="0"/>
        <w:tblLook w:firstColumn="1" w:firstRow="1" w:lastColumn="0" w:lastRow="0" w:noHBand="0" w:noVBand="1" w:val="04A0"/>
      </w:tblPr>
      <w:tblGrid>
        <w:gridCol w:w="3456"/>
        <w:gridCol w:w="3456"/>
        <w:gridCol w:w="3456"/>
        <w:gridCol w:w="3456"/>
      </w:tblGrid>
      <w:tr>
        <w:tc>
          <w:tcPr>
            <w:tcW w:type="dxa" w:w="1152"/>
            <w:shd w:val="clear" w:color="auto" w:fill="1F3A5F"/>
          </w:tcPr>
          <w:p>
            <w:r/>
            <w:r>
              <w:rPr>
                <w:b/>
                <w:color w:val="FFFFFF"/>
                <w:sz w:val="18"/>
              </w:rPr>
              <w:t>Ref</w:t>
            </w:r>
          </w:p>
        </w:tc>
        <w:tc>
          <w:tcPr>
            <w:tcW w:type="dxa" w:w="8064"/>
            <w:shd w:val="clear" w:color="auto" w:fill="1F3A5F"/>
          </w:tcPr>
          <w:p>
            <w:r/>
            <w:r>
              <w:rPr>
                <w:b/>
                <w:color w:val="FFFFFF"/>
                <w:sz w:val="18"/>
              </w:rPr>
              <w:t>Adjustment</w:t>
            </w:r>
          </w:p>
        </w:tc>
        <w:tc>
          <w:tcPr>
            <w:tcW w:type="dxa" w:w="1728"/>
            <w:shd w:val="clear" w:color="auto" w:fill="1F3A5F"/>
          </w:tcPr>
          <w:p>
            <w:r/>
            <w:r>
              <w:rPr>
                <w:b/>
                <w:color w:val="FFFFFF"/>
                <w:sz w:val="18"/>
              </w:rPr>
              <w:t>Type</w:t>
            </w:r>
          </w:p>
        </w:tc>
        <w:tc>
          <w:tcPr>
            <w:tcW w:type="dxa" w:w="2592"/>
            <w:shd w:val="clear" w:color="auto" w:fill="1F3A5F"/>
          </w:tcPr>
          <w:p>
            <w:r/>
            <w:r>
              <w:rPr>
                <w:b/>
                <w:color w:val="FFFFFF"/>
                <w:sz w:val="18"/>
              </w:rPr>
              <w:t>Amount</w:t>
            </w:r>
          </w:p>
        </w:tc>
      </w:tr>
      <w:tr>
        <w:tc>
          <w:tcPr>
            <w:tcW w:type="dxa" w:w="1152"/>
          </w:tcPr>
          <w:p>
            <w:r/>
            <w:r>
              <w:rPr>
                <w:sz w:val="18"/>
              </w:rPr>
              <w:t>D-2</w:t>
            </w:r>
          </w:p>
        </w:tc>
        <w:tc>
          <w:tcPr>
            <w:tcW w:type="dxa" w:w="8064"/>
          </w:tcPr>
          <w:p>
            <w:r/>
            <w:r>
              <w:rPr>
                <w:sz w:val="18"/>
              </w:rPr>
              <w:t>Kwan — all entries</w:t>
            </w:r>
          </w:p>
        </w:tc>
        <w:tc>
          <w:tcPr>
            <w:tcW w:type="dxa" w:w="1728"/>
          </w:tcPr>
          <w:p>
            <w:r/>
            <w:r>
              <w:rPr>
                <w:sz w:val="18"/>
              </w:rPr>
              <w:t>Fees</w:t>
            </w:r>
          </w:p>
        </w:tc>
        <w:tc>
          <w:tcPr>
            <w:tcW w:type="dxa" w:w="2592"/>
          </w:tcPr>
          <w:p>
            <w:r/>
            <w:r>
              <w:rPr>
                <w:sz w:val="18"/>
              </w:rPr>
              <w:t>$10,177.50</w:t>
            </w:r>
          </w:p>
        </w:tc>
      </w:tr>
      <w:tr>
        <w:tc>
          <w:tcPr>
            <w:tcW w:type="dxa" w:w="1152"/>
          </w:tcPr>
          <w:p>
            <w:r/>
            <w:r>
              <w:rPr>
                <w:sz w:val="18"/>
              </w:rPr>
              <w:t>D-3</w:t>
            </w:r>
          </w:p>
        </w:tc>
        <w:tc>
          <w:tcPr>
            <w:tcW w:type="dxa" w:w="8064"/>
          </w:tcPr>
          <w:p>
            <w:r/>
            <w:r>
              <w:rPr>
                <w:sz w:val="18"/>
              </w:rPr>
              <w:t>Cho — all entries (post-expiry)</w:t>
            </w:r>
          </w:p>
        </w:tc>
        <w:tc>
          <w:tcPr>
            <w:tcW w:type="dxa" w:w="1728"/>
          </w:tcPr>
          <w:p>
            <w:r/>
            <w:r>
              <w:rPr>
                <w:sz w:val="18"/>
              </w:rPr>
              <w:t>Fees</w:t>
            </w:r>
          </w:p>
        </w:tc>
        <w:tc>
          <w:tcPr>
            <w:tcW w:type="dxa" w:w="2592"/>
          </w:tcPr>
          <w:p>
            <w:r/>
            <w:r>
              <w:rPr>
                <w:sz w:val="18"/>
              </w:rPr>
              <w:t>$41,730.00</w:t>
            </w:r>
          </w:p>
        </w:tc>
      </w:tr>
      <w:tr>
        <w:tc>
          <w:tcPr>
            <w:tcW w:type="dxa" w:w="1152"/>
          </w:tcPr>
          <w:p>
            <w:r/>
            <w:r>
              <w:rPr>
                <w:sz w:val="18"/>
              </w:rPr>
              <w:t>D-4</w:t>
            </w:r>
          </w:p>
        </w:tc>
        <w:tc>
          <w:tcPr>
            <w:tcW w:type="dxa" w:w="8064"/>
          </w:tcPr>
          <w:p>
            <w:r/>
            <w:r>
              <w:rPr>
                <w:sz w:val="18"/>
              </w:rPr>
              <w:t>Deposition excess attorneys (63, 64, 102)</w:t>
            </w:r>
          </w:p>
        </w:tc>
        <w:tc>
          <w:tcPr>
            <w:tcW w:type="dxa" w:w="1728"/>
          </w:tcPr>
          <w:p>
            <w:r/>
            <w:r>
              <w:rPr>
                <w:sz w:val="18"/>
              </w:rPr>
              <w:t>Fees</w:t>
            </w:r>
          </w:p>
        </w:tc>
        <w:tc>
          <w:tcPr>
            <w:tcW w:type="dxa" w:w="2592"/>
          </w:tcPr>
          <w:p>
            <w:r/>
            <w:r>
              <w:rPr>
                <w:sz w:val="18"/>
              </w:rPr>
              <w:t>$5,660.00</w:t>
            </w:r>
          </w:p>
        </w:tc>
      </w:tr>
      <w:tr>
        <w:tc>
          <w:tcPr>
            <w:tcW w:type="dxa" w:w="1152"/>
          </w:tcPr>
          <w:p>
            <w:r/>
            <w:r>
              <w:rPr>
                <w:sz w:val="18"/>
              </w:rPr>
              <w:t>D-5</w:t>
            </w:r>
          </w:p>
        </w:tc>
        <w:tc>
          <w:tcPr>
            <w:tcW w:type="dxa" w:w="8064"/>
          </w:tcPr>
          <w:p>
            <w:r/>
            <w:r>
              <w:rPr>
                <w:sz w:val="18"/>
              </w:rPr>
              <w:t>10/28 conference reduced to 4 attorney-hrs (112–115)</w:t>
            </w:r>
          </w:p>
        </w:tc>
        <w:tc>
          <w:tcPr>
            <w:tcW w:type="dxa" w:w="1728"/>
          </w:tcPr>
          <w:p>
            <w:r/>
            <w:r>
              <w:rPr>
                <w:sz w:val="18"/>
              </w:rPr>
              <w:t>Fees</w:t>
            </w:r>
          </w:p>
        </w:tc>
        <w:tc>
          <w:tcPr>
            <w:tcW w:type="dxa" w:w="2592"/>
          </w:tcPr>
          <w:p>
            <w:r/>
            <w:r>
              <w:rPr>
                <w:sz w:val="18"/>
              </w:rPr>
              <w:t>$6,216.00</w:t>
            </w:r>
          </w:p>
        </w:tc>
      </w:tr>
      <w:tr>
        <w:tc>
          <w:tcPr>
            <w:tcW w:type="dxa" w:w="1152"/>
          </w:tcPr>
          <w:p>
            <w:r/>
            <w:r>
              <w:rPr>
                <w:sz w:val="18"/>
              </w:rPr>
              <w:t>D-6</w:t>
            </w:r>
          </w:p>
        </w:tc>
        <w:tc>
          <w:tcPr>
            <w:tcW w:type="dxa" w:w="8064"/>
          </w:tcPr>
          <w:p>
            <w:r/>
            <w:r>
              <w:rPr>
                <w:sz w:val="18"/>
              </w:rPr>
              <w:t>Unapproved travel time (25, 26)</w:t>
            </w:r>
          </w:p>
        </w:tc>
        <w:tc>
          <w:tcPr>
            <w:tcW w:type="dxa" w:w="1728"/>
          </w:tcPr>
          <w:p>
            <w:r/>
            <w:r>
              <w:rPr>
                <w:sz w:val="18"/>
              </w:rPr>
              <w:t>Fees</w:t>
            </w:r>
          </w:p>
        </w:tc>
        <w:tc>
          <w:tcPr>
            <w:tcW w:type="dxa" w:w="2592"/>
          </w:tcPr>
          <w:p>
            <w:r/>
            <w:r>
              <w:rPr>
                <w:sz w:val="18"/>
              </w:rPr>
              <w:t>$6,174.00</w:t>
            </w:r>
          </w:p>
        </w:tc>
      </w:tr>
      <w:tr>
        <w:tc>
          <w:tcPr>
            <w:tcW w:type="dxa" w:w="1152"/>
          </w:tcPr>
          <w:p>
            <w:r/>
            <w:r>
              <w:rPr>
                <w:sz w:val="18"/>
              </w:rPr>
              <w:t>D-8</w:t>
            </w:r>
          </w:p>
        </w:tc>
        <w:tc>
          <w:tcPr>
            <w:tcW w:type="dxa" w:w="8064"/>
          </w:tcPr>
          <w:p>
            <w:r/>
            <w:r>
              <w:rPr>
                <w:sz w:val="18"/>
              </w:rPr>
              <w:t>Billing/admin time (125, 133, 139)</w:t>
            </w:r>
          </w:p>
        </w:tc>
        <w:tc>
          <w:tcPr>
            <w:tcW w:type="dxa" w:w="1728"/>
          </w:tcPr>
          <w:p>
            <w:r/>
            <w:r>
              <w:rPr>
                <w:sz w:val="18"/>
              </w:rPr>
              <w:t>Fees</w:t>
            </w:r>
          </w:p>
        </w:tc>
        <w:tc>
          <w:tcPr>
            <w:tcW w:type="dxa" w:w="2592"/>
          </w:tcPr>
          <w:p>
            <w:r/>
            <w:r>
              <w:rPr>
                <w:sz w:val="18"/>
              </w:rPr>
              <w:t>$2,715.50</w:t>
            </w:r>
          </w:p>
        </w:tc>
      </w:tr>
      <w:tr>
        <w:tc>
          <w:tcPr>
            <w:tcW w:type="dxa" w:w="1152"/>
          </w:tcPr>
          <w:p>
            <w:r/>
            <w:r>
              <w:rPr>
                <w:sz w:val="18"/>
              </w:rPr>
              <w:t>D-9</w:t>
            </w:r>
          </w:p>
        </w:tc>
        <w:tc>
          <w:tcPr>
            <w:tcW w:type="dxa" w:w="8064"/>
          </w:tcPr>
          <w:p>
            <w:r/>
            <w:r>
              <w:rPr>
                <w:sz w:val="18"/>
              </w:rPr>
              <w:t>Block billing 30% (10 entries)</w:t>
            </w:r>
          </w:p>
        </w:tc>
        <w:tc>
          <w:tcPr>
            <w:tcW w:type="dxa" w:w="1728"/>
          </w:tcPr>
          <w:p>
            <w:r/>
            <w:r>
              <w:rPr>
                <w:sz w:val="18"/>
              </w:rPr>
              <w:t>Fees</w:t>
            </w:r>
          </w:p>
        </w:tc>
        <w:tc>
          <w:tcPr>
            <w:tcW w:type="dxa" w:w="2592"/>
          </w:tcPr>
          <w:p>
            <w:r/>
            <w:r>
              <w:rPr>
                <w:sz w:val="18"/>
              </w:rPr>
              <w:t>$10,758.45</w:t>
            </w:r>
          </w:p>
        </w:tc>
      </w:tr>
      <w:tr>
        <w:tc>
          <w:tcPr>
            <w:tcW w:type="dxa" w:w="1152"/>
          </w:tcPr>
          <w:p>
            <w:r/>
            <w:r>
              <w:rPr>
                <w:sz w:val="18"/>
              </w:rPr>
            </w:r>
          </w:p>
        </w:tc>
        <w:tc>
          <w:tcPr>
            <w:tcW w:type="dxa" w:w="8064"/>
          </w:tcPr>
          <w:p>
            <w:r/>
            <w:r>
              <w:rPr>
                <w:sz w:val="18"/>
              </w:rPr>
              <w:t>Subtotal — fees</w:t>
            </w:r>
          </w:p>
        </w:tc>
        <w:tc>
          <w:tcPr>
            <w:tcW w:type="dxa" w:w="1728"/>
          </w:tcPr>
          <w:p>
            <w:r/>
            <w:r>
              <w:rPr>
                <w:sz w:val="18"/>
              </w:rPr>
            </w:r>
          </w:p>
        </w:tc>
        <w:tc>
          <w:tcPr>
            <w:tcW w:type="dxa" w:w="2592"/>
          </w:tcPr>
          <w:p>
            <w:r/>
            <w:r>
              <w:rPr>
                <w:sz w:val="18"/>
              </w:rPr>
              <w:t>$83,431.45</w:t>
            </w:r>
          </w:p>
        </w:tc>
      </w:tr>
      <w:tr>
        <w:tc>
          <w:tcPr>
            <w:tcW w:type="dxa" w:w="1152"/>
          </w:tcPr>
          <w:p>
            <w:r/>
            <w:r>
              <w:rPr>
                <w:sz w:val="18"/>
              </w:rPr>
              <w:t>D-7</w:t>
            </w:r>
          </w:p>
        </w:tc>
        <w:tc>
          <w:tcPr>
            <w:tcW w:type="dxa" w:w="8064"/>
          </w:tcPr>
          <w:p>
            <w:r/>
            <w:r>
              <w:rPr>
                <w:sz w:val="18"/>
              </w:rPr>
              <w:t>SF travel expenses (E-008–E-015)</w:t>
            </w:r>
          </w:p>
        </w:tc>
        <w:tc>
          <w:tcPr>
            <w:tcW w:type="dxa" w:w="1728"/>
          </w:tcPr>
          <w:p>
            <w:r/>
            <w:r>
              <w:rPr>
                <w:sz w:val="18"/>
              </w:rPr>
              <w:t>Expenses</w:t>
            </w:r>
          </w:p>
        </w:tc>
        <w:tc>
          <w:tcPr>
            <w:tcW w:type="dxa" w:w="2592"/>
          </w:tcPr>
          <w:p>
            <w:r/>
            <w:r>
              <w:rPr>
                <w:sz w:val="18"/>
              </w:rPr>
              <w:t>$7,234.00</w:t>
            </w:r>
          </w:p>
        </w:tc>
      </w:tr>
      <w:tr>
        <w:tc>
          <w:tcPr>
            <w:tcW w:type="dxa" w:w="1152"/>
          </w:tcPr>
          <w:p>
            <w:r/>
            <w:r>
              <w:rPr>
                <w:sz w:val="18"/>
              </w:rPr>
              <w:t>D-10</w:t>
            </w:r>
          </w:p>
        </w:tc>
        <w:tc>
          <w:tcPr>
            <w:tcW w:type="dxa" w:w="8064"/>
          </w:tcPr>
          <w:p>
            <w:r/>
            <w:r>
              <w:rPr>
                <w:sz w:val="18"/>
              </w:rPr>
              <w:t>Forrest Data Solutions (E-020)</w:t>
            </w:r>
          </w:p>
        </w:tc>
        <w:tc>
          <w:tcPr>
            <w:tcW w:type="dxa" w:w="1728"/>
          </w:tcPr>
          <w:p>
            <w:r/>
            <w:r>
              <w:rPr>
                <w:sz w:val="18"/>
              </w:rPr>
              <w:t>Expenses</w:t>
            </w:r>
          </w:p>
        </w:tc>
        <w:tc>
          <w:tcPr>
            <w:tcW w:type="dxa" w:w="2592"/>
          </w:tcPr>
          <w:p>
            <w:r/>
            <w:r>
              <w:rPr>
                <w:sz w:val="18"/>
              </w:rPr>
              <w:t>$48,250.00</w:t>
            </w:r>
          </w:p>
        </w:tc>
      </w:tr>
      <w:tr>
        <w:tc>
          <w:tcPr>
            <w:tcW w:type="dxa" w:w="1152"/>
          </w:tcPr>
          <w:p>
            <w:r/>
            <w:r>
              <w:rPr>
                <w:sz w:val="18"/>
              </w:rPr>
              <w:t>D-11</w:t>
            </w:r>
          </w:p>
        </w:tc>
        <w:tc>
          <w:tcPr>
            <w:tcW w:type="dxa" w:w="8064"/>
          </w:tcPr>
          <w:p>
            <w:r/>
            <w:r>
              <w:rPr>
                <w:sz w:val="18"/>
              </w:rPr>
              <w:t>Local counsel (E-021)</w:t>
            </w:r>
          </w:p>
        </w:tc>
        <w:tc>
          <w:tcPr>
            <w:tcW w:type="dxa" w:w="1728"/>
          </w:tcPr>
          <w:p>
            <w:r/>
            <w:r>
              <w:rPr>
                <w:sz w:val="18"/>
              </w:rPr>
              <w:t>Expenses</w:t>
            </w:r>
          </w:p>
        </w:tc>
        <w:tc>
          <w:tcPr>
            <w:tcW w:type="dxa" w:w="2592"/>
          </w:tcPr>
          <w:p>
            <w:r/>
            <w:r>
              <w:rPr>
                <w:sz w:val="18"/>
              </w:rPr>
              <w:t>$1,500.00</w:t>
            </w:r>
          </w:p>
        </w:tc>
      </w:tr>
      <w:tr>
        <w:tc>
          <w:tcPr>
            <w:tcW w:type="dxa" w:w="1152"/>
          </w:tcPr>
          <w:p>
            <w:r/>
            <w:r>
              <w:rPr>
                <w:sz w:val="18"/>
              </w:rPr>
              <w:t>D-12</w:t>
            </w:r>
          </w:p>
        </w:tc>
        <w:tc>
          <w:tcPr>
            <w:tcW w:type="dxa" w:w="8064"/>
          </w:tcPr>
          <w:p>
            <w:r/>
            <w:r>
              <w:rPr>
                <w:sz w:val="18"/>
              </w:rPr>
              <w:t>Admin support + tech surcharge (E-018, E-019)</w:t>
            </w:r>
          </w:p>
        </w:tc>
        <w:tc>
          <w:tcPr>
            <w:tcW w:type="dxa" w:w="1728"/>
          </w:tcPr>
          <w:p>
            <w:r/>
            <w:r>
              <w:rPr>
                <w:sz w:val="18"/>
              </w:rPr>
              <w:t>Expenses</w:t>
            </w:r>
          </w:p>
        </w:tc>
        <w:tc>
          <w:tcPr>
            <w:tcW w:type="dxa" w:w="2592"/>
          </w:tcPr>
          <w:p>
            <w:r/>
            <w:r>
              <w:rPr>
                <w:sz w:val="18"/>
              </w:rPr>
              <w:t>$7,198.74</w:t>
            </w:r>
          </w:p>
        </w:tc>
      </w:tr>
      <w:tr>
        <w:tc>
          <w:tcPr>
            <w:tcW w:type="dxa" w:w="1152"/>
          </w:tcPr>
          <w:p>
            <w:r/>
            <w:r>
              <w:rPr>
                <w:sz w:val="18"/>
              </w:rPr>
              <w:t>D-13</w:t>
            </w:r>
          </w:p>
        </w:tc>
        <w:tc>
          <w:tcPr>
            <w:tcW w:type="dxa" w:w="8064"/>
          </w:tcPr>
          <w:p>
            <w:r/>
            <w:r>
              <w:rPr>
                <w:sz w:val="18"/>
              </w:rPr>
              <w:t>Copying excess (E-007)</w:t>
            </w:r>
          </w:p>
        </w:tc>
        <w:tc>
          <w:tcPr>
            <w:tcW w:type="dxa" w:w="1728"/>
          </w:tcPr>
          <w:p>
            <w:r/>
            <w:r>
              <w:rPr>
                <w:sz w:val="18"/>
              </w:rPr>
              <w:t>Expenses</w:t>
            </w:r>
          </w:p>
        </w:tc>
        <w:tc>
          <w:tcPr>
            <w:tcW w:type="dxa" w:w="2592"/>
          </w:tcPr>
          <w:p>
            <w:r/>
            <w:r>
              <w:rPr>
                <w:sz w:val="18"/>
              </w:rPr>
              <w:t>$4,820.00</w:t>
            </w:r>
          </w:p>
        </w:tc>
      </w:tr>
      <w:tr>
        <w:tc>
          <w:tcPr>
            <w:tcW w:type="dxa" w:w="1152"/>
          </w:tcPr>
          <w:p>
            <w:r/>
            <w:r>
              <w:rPr>
                <w:sz w:val="18"/>
              </w:rPr>
              <w:t>D-14</w:t>
            </w:r>
          </w:p>
        </w:tc>
        <w:tc>
          <w:tcPr>
            <w:tcW w:type="dxa" w:w="8064"/>
          </w:tcPr>
          <w:p>
            <w:r/>
            <w:r>
              <w:rPr>
                <w:sz w:val="18"/>
              </w:rPr>
              <w:t>Westlaw excess (E-006)</w:t>
            </w:r>
          </w:p>
        </w:tc>
        <w:tc>
          <w:tcPr>
            <w:tcW w:type="dxa" w:w="1728"/>
          </w:tcPr>
          <w:p>
            <w:r/>
            <w:r>
              <w:rPr>
                <w:sz w:val="18"/>
              </w:rPr>
              <w:t>Expenses</w:t>
            </w:r>
          </w:p>
        </w:tc>
        <w:tc>
          <w:tcPr>
            <w:tcW w:type="dxa" w:w="2592"/>
          </w:tcPr>
          <w:p>
            <w:r/>
            <w:r>
              <w:rPr>
                <w:sz w:val="18"/>
              </w:rPr>
              <w:t>$718.60</w:t>
            </w:r>
          </w:p>
        </w:tc>
      </w:tr>
      <w:tr>
        <w:tc>
          <w:tcPr>
            <w:tcW w:type="dxa" w:w="1152"/>
          </w:tcPr>
          <w:p>
            <w:r/>
            <w:r>
              <w:rPr>
                <w:sz w:val="18"/>
              </w:rPr>
              <w:t>D-15</w:t>
            </w:r>
          </w:p>
        </w:tc>
        <w:tc>
          <w:tcPr>
            <w:tcW w:type="dxa" w:w="8064"/>
          </w:tcPr>
          <w:p>
            <w:r/>
            <w:r>
              <w:rPr>
                <w:sz w:val="18"/>
              </w:rPr>
              <w:t>Relativity excess over PA-004 range (E-017)</w:t>
            </w:r>
          </w:p>
        </w:tc>
        <w:tc>
          <w:tcPr>
            <w:tcW w:type="dxa" w:w="1728"/>
          </w:tcPr>
          <w:p>
            <w:r/>
            <w:r>
              <w:rPr>
                <w:sz w:val="18"/>
              </w:rPr>
              <w:t>Expenses</w:t>
            </w:r>
          </w:p>
        </w:tc>
        <w:tc>
          <w:tcPr>
            <w:tcW w:type="dxa" w:w="2592"/>
          </w:tcPr>
          <w:p>
            <w:r/>
            <w:r>
              <w:rPr>
                <w:sz w:val="18"/>
              </w:rPr>
              <w:t>$3,500.00</w:t>
            </w:r>
          </w:p>
        </w:tc>
      </w:tr>
      <w:tr>
        <w:tc>
          <w:tcPr>
            <w:tcW w:type="dxa" w:w="1152"/>
          </w:tcPr>
          <w:p>
            <w:r/>
            <w:r>
              <w:rPr>
                <w:sz w:val="18"/>
              </w:rPr>
            </w:r>
          </w:p>
        </w:tc>
        <w:tc>
          <w:tcPr>
            <w:tcW w:type="dxa" w:w="8064"/>
          </w:tcPr>
          <w:p>
            <w:r/>
            <w:r>
              <w:rPr>
                <w:sz w:val="18"/>
              </w:rPr>
              <w:t>Subtotal — expenses</w:t>
            </w:r>
          </w:p>
        </w:tc>
        <w:tc>
          <w:tcPr>
            <w:tcW w:type="dxa" w:w="1728"/>
          </w:tcPr>
          <w:p>
            <w:r/>
            <w:r>
              <w:rPr>
                <w:sz w:val="18"/>
              </w:rPr>
            </w:r>
          </w:p>
        </w:tc>
        <w:tc>
          <w:tcPr>
            <w:tcW w:type="dxa" w:w="2592"/>
          </w:tcPr>
          <w:p>
            <w:r/>
            <w:r>
              <w:rPr>
                <w:sz w:val="18"/>
              </w:rPr>
              <w:t>$73,221.34</w:t>
            </w:r>
          </w:p>
        </w:tc>
      </w:tr>
      <w:tr>
        <w:tc>
          <w:tcPr>
            <w:tcW w:type="dxa" w:w="1152"/>
          </w:tcPr>
          <w:p>
            <w:r/>
            <w:r>
              <w:rPr>
                <w:sz w:val="18"/>
              </w:rPr>
            </w:r>
          </w:p>
        </w:tc>
        <w:tc>
          <w:tcPr>
            <w:tcW w:type="dxa" w:w="8064"/>
          </w:tcPr>
          <w:p>
            <w:r/>
            <w:r>
              <w:rPr>
                <w:sz w:val="18"/>
              </w:rPr>
              <w:t>TOTAL RECOMMENDED DISALLOWANCE</w:t>
            </w:r>
          </w:p>
        </w:tc>
        <w:tc>
          <w:tcPr>
            <w:tcW w:type="dxa" w:w="1728"/>
          </w:tcPr>
          <w:p>
            <w:r/>
            <w:r>
              <w:rPr>
                <w:sz w:val="18"/>
              </w:rPr>
            </w:r>
          </w:p>
        </w:tc>
        <w:tc>
          <w:tcPr>
            <w:tcW w:type="dxa" w:w="2592"/>
          </w:tcPr>
          <w:p>
            <w:r/>
            <w:r>
              <w:rPr>
                <w:sz w:val="18"/>
              </w:rPr>
              <w:t>$156,652.79</w:t>
            </w:r>
          </w:p>
        </w:tc>
      </w:tr>
      <w:tr>
        <w:tc>
          <w:tcPr>
            <w:tcW w:type="dxa" w:w="1152"/>
          </w:tcPr>
          <w:p>
            <w:r/>
            <w:r>
              <w:rPr>
                <w:sz w:val="18"/>
              </w:rPr>
              <w:t>Hold</w:t>
            </w:r>
          </w:p>
        </w:tc>
        <w:tc>
          <w:tcPr>
            <w:tcW w:type="dxa" w:w="8064"/>
          </w:tcPr>
          <w:p>
            <w:r/>
            <w:r>
              <w:rPr>
                <w:sz w:val="18"/>
              </w:rPr>
              <w:t>E-001, E-002, E-003, E-016, E-017 balance</w:t>
            </w:r>
          </w:p>
        </w:tc>
        <w:tc>
          <w:tcPr>
            <w:tcW w:type="dxa" w:w="1728"/>
          </w:tcPr>
          <w:p>
            <w:r/>
            <w:r>
              <w:rPr>
                <w:sz w:val="18"/>
              </w:rPr>
              <w:t>Expenses</w:t>
            </w:r>
          </w:p>
        </w:tc>
        <w:tc>
          <w:tcPr>
            <w:tcW w:type="dxa" w:w="2592"/>
          </w:tcPr>
          <w:p>
            <w:r/>
            <w:r>
              <w:rPr>
                <w:sz w:val="18"/>
              </w:rPr>
              <w:t>$150,612.04</w:t>
            </w:r>
          </w:p>
        </w:tc>
      </w:tr>
    </w:tbl>
    <w:p/>
    <w:p>
      <w:pPr>
        <w:pStyle w:val="Heading1"/>
      </w:pPr>
      <w:r>
        <w:t>8. Recommended Actions</w:t>
      </w:r>
    </w:p>
    <w:p>
      <w:pPr>
        <w:pStyle w:val="ListNumber"/>
      </w:pPr>
      <w:r>
        <w:rPr>
          <w:b/>
        </w:rPr>
        <w:t xml:space="preserve">Return the invoice (§8.1, §7.3, §11.2(f)). </w:t>
      </w:r>
      <w:r>
        <w:t>Send written notice to Sandra Messina and Howard Blackwell III listing the adjustments and their basis (§8.2). The firm has 15 days from notice to dispute them.</w:t>
      </w:r>
    </w:p>
    <w:p>
      <w:pPr>
        <w:pStyle w:val="ListNumber"/>
      </w:pPr>
      <w:r>
        <w:rPr>
          <w:b/>
        </w:rPr>
        <w:t xml:space="preserve">Require a corrected LEDES 1998B submission </w:t>
      </w:r>
      <w:r>
        <w:t>with: reconciled subtotals and totals; Appendix A task codes; correct activity and expense codes; a TIMEKEEPER_NAME field; narratives of at least 30 words that match the Excel detail; and separate entries for block-billed tasks.</w:t>
      </w:r>
    </w:p>
    <w:p>
      <w:pPr>
        <w:pStyle w:val="ListNumber"/>
      </w:pPr>
      <w:r>
        <w:rPr>
          <w:b/>
        </w:rPr>
        <w:t xml:space="preserve">Request documentation: </w:t>
      </w:r>
      <w:r>
        <w:t>Voss and Huang invoices and cumulative billings to date; the CloudStar invoice (or confirmation that the Relativity platform is internal); the Meridian invoice for Torres and cumulative PA-003 spend; itemised courier charges; travel receipts and the flight itinerary; the Forrest Data Solutions engagement terms; the Brixton engagement terms; and Elaine Cho's July–September hours.</w:t>
      </w:r>
    </w:p>
    <w:p>
      <w:pPr>
        <w:pStyle w:val="ListNumber"/>
      </w:pPr>
      <w:r>
        <w:rPr>
          <w:b/>
        </w:rPr>
        <w:t xml:space="preserve">Require the §10.1 disclosures: </w:t>
      </w:r>
      <w:r>
        <w:t>a 75%-threshold notice with a revised 2024 budget, and a written explanation for the invoice exceeding $350,000. Schedule the lead-partner / General Counsel meeting if the projected overrun is more than 10%.</w:t>
      </w:r>
    </w:p>
    <w:p>
      <w:pPr>
        <w:pStyle w:val="ListNumber"/>
      </w:pPr>
      <w:r>
        <w:rPr>
          <w:b/>
        </w:rPr>
        <w:t xml:space="preserve">Decide on retroactive approvals </w:t>
      </w:r>
      <w:r>
        <w:t>(travel, Forrest, Brixton, Cho extension, Kwan) strictly under §9.3(b). If Cho's review work is still needed, require a new PA request before any further contract-attorney time is billed.</w:t>
      </w:r>
    </w:p>
    <w:p>
      <w:pPr>
        <w:pStyle w:val="ListNumber"/>
      </w:pPr>
      <w:r>
        <w:rPr>
          <w:b/>
        </w:rPr>
        <w:t xml:space="preserve">Pay undisputed amounts </w:t>
      </w:r>
      <w:r>
        <w:t>once the corrected invoice is received (§11.3), and never more than the stated total of $487,329.14 unless the firm formally re-invoices.</w:t>
      </w:r>
    </w:p>
    <w:p>
      <w:pPr>
        <w:pStyle w:val="ListNumber"/>
      </w:pPr>
      <w:r>
        <w:rPr>
          <w:b/>
        </w:rPr>
        <w:t xml:space="preserve">Put the firm on notice </w:t>
      </w:r>
      <w:r>
        <w:t>that repeated failures to obtain approval may lead to reconsideration of the engagement (§9.3(c), §11.2(g)). Remind it that no course of dealing waives the Guidelines (§12.3).</w:t>
      </w:r>
    </w:p>
    <w:p>
      <w:pPr>
        <w:pStyle w:val="ListNumber"/>
      </w:pPr>
      <w:r>
        <w:rPr>
          <w:b/>
        </w:rPr>
        <w:t xml:space="preserve">Housekeeping in VIH's own records: </w:t>
      </w:r>
      <w:r>
        <w:t>the Guidelines use both "Vanguard Industrial Holdings" and "Saxonbrook Industrial Holdings" for the client, and the Guidelines signature block is dated before the firm's acknowledgment. Exhibit A dates M. DeVries's approval to 12/12/2023 and lists A. Rosenberg on the original March 2023 team, while the approval log records 1/15/2024 and 5/10/2024 respectively. These discrepancies do not affect the October adjustments, but the records should be aligned before any dispute escalates.</w:t>
      </w:r>
    </w:p>
    <w:p>
      <w:pPr>
        <w:pStyle w:val="Heading1"/>
      </w:pPr>
      <w:r>
        <w:t>Appendix A — Fee Entries Under 30 Words (word counts)</w:t>
      </w:r>
    </w:p>
    <w:p>
      <w:r>
        <w:rPr>
          <w:b w:val="0"/>
          <w:i w:val="0"/>
        </w:rPr>
        <w:t>Word counts are taken from the Excel "Professional Fees Detail" narratives. Entry 8 is the only one that meets the minimum.</w:t>
      </w:r>
    </w:p>
    <w:tbl>
      <w:tblPr>
        <w:tblStyle w:val="TableGrid"/>
        <w:tblW w:type="auto" w:w="0"/>
        <w:tblLook w:firstColumn="1" w:firstRow="1" w:lastColumn="0" w:lastRow="0" w:noHBand="0" w:noVBand="1" w:val="04A0"/>
      </w:tblPr>
      <w:tblGrid>
        <w:gridCol w:w="13824"/>
      </w:tblGrid>
      <w:tr>
        <w:tc>
          <w:tcPr>
            <w:tcW w:type="dxa" w:w="13536"/>
            <w:shd w:val="clear" w:color="auto" w:fill="1F3A5F"/>
          </w:tcPr>
          <w:p>
            <w:r/>
            <w:r>
              <w:rPr>
                <w:b/>
                <w:color w:val="FFFFFF"/>
                <w:sz w:val="18"/>
              </w:rPr>
              <w:t>Entry: word count</w:t>
            </w:r>
          </w:p>
        </w:tc>
      </w:tr>
      <w:tr>
        <w:tc>
          <w:tcPr>
            <w:tcW w:type="dxa" w:w="13536"/>
          </w:tcPr>
          <w:p>
            <w:r/>
            <w:r>
              <w:rPr>
                <w:sz w:val="18"/>
              </w:rPr>
              <w:t>#1: 23; #2: 27; #3: 26; #4: 25; #5: 24; #6: 22; #7: 23; #8: 32; #9: 18; #10: 18</w:t>
            </w:r>
          </w:p>
        </w:tc>
      </w:tr>
      <w:tr>
        <w:tc>
          <w:tcPr>
            <w:tcW w:type="dxa" w:w="13536"/>
          </w:tcPr>
          <w:p>
            <w:r/>
            <w:r>
              <w:rPr>
                <w:sz w:val="18"/>
              </w:rPr>
              <w:t>#11: 21; #12: 17; #13: 16; #14: 25; #15: 20; #16: 20; #17: 18; #18: 23; #19: 16; #20: 23</w:t>
            </w:r>
          </w:p>
        </w:tc>
      </w:tr>
      <w:tr>
        <w:tc>
          <w:tcPr>
            <w:tcW w:type="dxa" w:w="13536"/>
          </w:tcPr>
          <w:p>
            <w:r/>
            <w:r>
              <w:rPr>
                <w:sz w:val="18"/>
              </w:rPr>
              <w:t>#21: 20; #22: 21; #23: 20; #24: 16; #25: 11; #26: 11; #27: 18; #28: 18; #29: 23; #30: 15</w:t>
            </w:r>
          </w:p>
        </w:tc>
      </w:tr>
      <w:tr>
        <w:tc>
          <w:tcPr>
            <w:tcW w:type="dxa" w:w="13536"/>
          </w:tcPr>
          <w:p>
            <w:r/>
            <w:r>
              <w:rPr>
                <w:sz w:val="18"/>
              </w:rPr>
              <w:t>#31: 13; #32: 29; #33: 25; #34: 19; #35: 19; #36: 20; #37: 16; #38: 22; #39: 24; #40: 15</w:t>
            </w:r>
          </w:p>
        </w:tc>
      </w:tr>
      <w:tr>
        <w:tc>
          <w:tcPr>
            <w:tcW w:type="dxa" w:w="13536"/>
          </w:tcPr>
          <w:p>
            <w:r/>
            <w:r>
              <w:rPr>
                <w:sz w:val="18"/>
              </w:rPr>
              <w:t>#41: 18; #42: 23; #43: 16; #44: 20; #45: 17; #46: 16; #47: 20; #48: 15; #49: 15; #50: 15</w:t>
            </w:r>
          </w:p>
        </w:tc>
      </w:tr>
      <w:tr>
        <w:tc>
          <w:tcPr>
            <w:tcW w:type="dxa" w:w="13536"/>
          </w:tcPr>
          <w:p>
            <w:r/>
            <w:r>
              <w:rPr>
                <w:sz w:val="18"/>
              </w:rPr>
              <w:t>#51: 17; #52: 23; #53: 16; #54: 22; #55: 16; #56: 16; #57: 13; #58: 13; #59: 20; #60: 14</w:t>
            </w:r>
          </w:p>
        </w:tc>
      </w:tr>
      <w:tr>
        <w:tc>
          <w:tcPr>
            <w:tcW w:type="dxa" w:w="13536"/>
          </w:tcPr>
          <w:p>
            <w:r/>
            <w:r>
              <w:rPr>
                <w:sz w:val="18"/>
              </w:rPr>
              <w:t>#61: 15; #62: 17; #63: 14; #64: 15; #65: 23; #66: 14; #67: 18; #68: 16; #69: 15; #70: 15</w:t>
            </w:r>
          </w:p>
        </w:tc>
      </w:tr>
      <w:tr>
        <w:tc>
          <w:tcPr>
            <w:tcW w:type="dxa" w:w="13536"/>
          </w:tcPr>
          <w:p>
            <w:r/>
            <w:r>
              <w:rPr>
                <w:sz w:val="18"/>
              </w:rPr>
              <w:t>#71: 20; #72: 15; #73: 17; #74: 20; #75: 16; #76: 17; #77: 17; #78: 15; #79: 20; #80: 13</w:t>
            </w:r>
          </w:p>
        </w:tc>
      </w:tr>
      <w:tr>
        <w:tc>
          <w:tcPr>
            <w:tcW w:type="dxa" w:w="13536"/>
          </w:tcPr>
          <w:p>
            <w:r/>
            <w:r>
              <w:rPr>
                <w:sz w:val="18"/>
              </w:rPr>
              <w:t>#81: 16; #82: 21; #83: 21; #84: 14; #85: 23; #86: 18; #87: 19; #88: 26; #89: 17; #90: 16</w:t>
            </w:r>
          </w:p>
        </w:tc>
      </w:tr>
      <w:tr>
        <w:tc>
          <w:tcPr>
            <w:tcW w:type="dxa" w:w="13536"/>
          </w:tcPr>
          <w:p>
            <w:r/>
            <w:r>
              <w:rPr>
                <w:sz w:val="18"/>
              </w:rPr>
              <w:t>#91: 20; #92: 16; #93: 20; #94: 18; #95: 16; #96: 16; #97: 20; #98: 23; #99: 15; #100: 17</w:t>
            </w:r>
          </w:p>
        </w:tc>
      </w:tr>
      <w:tr>
        <w:tc>
          <w:tcPr>
            <w:tcW w:type="dxa" w:w="13536"/>
          </w:tcPr>
          <w:p>
            <w:r/>
            <w:r>
              <w:rPr>
                <w:sz w:val="18"/>
              </w:rPr>
              <w:t>#101: 16; #102: 15; #103: 20; #104: 11; #105: 19; #106: 16; #107: 18; #108: 14; #109: 16; #110: 23</w:t>
            </w:r>
          </w:p>
        </w:tc>
      </w:tr>
      <w:tr>
        <w:tc>
          <w:tcPr>
            <w:tcW w:type="dxa" w:w="13536"/>
          </w:tcPr>
          <w:p>
            <w:r/>
            <w:r>
              <w:rPr>
                <w:sz w:val="18"/>
              </w:rPr>
              <w:t>#111: 17; #112: 20; #113: 20; #114: 20; #115: 20; #116: 20; #117: 20; #118: 14; #119: 14; #120: 14</w:t>
            </w:r>
          </w:p>
        </w:tc>
      </w:tr>
      <w:tr>
        <w:tc>
          <w:tcPr>
            <w:tcW w:type="dxa" w:w="13536"/>
          </w:tcPr>
          <w:p>
            <w:r/>
            <w:r>
              <w:rPr>
                <w:sz w:val="18"/>
              </w:rPr>
              <w:t>#121: 17; #122: 17; #123: 23; #124: 14; #125: 13; #126: 19; #127: 19; #128: 17; #129: 19; #130: 15</w:t>
            </w:r>
          </w:p>
        </w:tc>
      </w:tr>
      <w:tr>
        <w:tc>
          <w:tcPr>
            <w:tcW w:type="dxa" w:w="13536"/>
          </w:tcPr>
          <w:p>
            <w:r/>
            <w:r>
              <w:rPr>
                <w:sz w:val="18"/>
              </w:rPr>
              <w:t>#131: 20; #132: 16; #133: 17; #134: 18; #135: 14; #136: 16; #137: 23; #138: 12; #139: 13</w:t>
            </w:r>
          </w:p>
        </w:tc>
      </w:tr>
    </w:tbl>
    <w:p/>
    <w:sectPr w:rsidR="00FC693F" w:rsidRPr="0006063C" w:rsidSect="00034616">
      <w:footerReference w:type="default" r:id="rId9"/>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Privileged &amp; Confidential — Attorney-Client Communication / Attorney Work Product — Prepared for VIH Office of the General Counsel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